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14892">
      <w:pPr>
        <w:keepNext w:val="0"/>
        <w:keepLines w:val="0"/>
        <w:pageBreakBefore w:val="0"/>
        <w:kinsoku/>
        <w:wordWrap/>
        <w:overflowPunct/>
        <w:topLinePunct w:val="0"/>
        <w:autoSpaceDE/>
        <w:autoSpaceDN/>
        <w:bidi w:val="0"/>
        <w:adjustRightInd/>
        <w:snapToGrid/>
        <w:spacing w:line="590" w:lineRule="exact"/>
        <w:ind w:right="-105" w:rightChars="-50"/>
        <w:textAlignment w:val="auto"/>
        <w:rPr>
          <w:rFonts w:ascii="方正仿宋简体" w:eastAsia="方正仿宋简体"/>
          <w:b/>
          <w:color w:val="000000"/>
          <w:sz w:val="32"/>
          <w:szCs w:val="32"/>
        </w:rPr>
      </w:pPr>
    </w:p>
    <w:p w14:paraId="21133BE7">
      <w:pPr>
        <w:keepNext w:val="0"/>
        <w:keepLines w:val="0"/>
        <w:pageBreakBefore w:val="0"/>
        <w:kinsoku/>
        <w:wordWrap/>
        <w:overflowPunct/>
        <w:topLinePunct w:val="0"/>
        <w:autoSpaceDE/>
        <w:autoSpaceDN/>
        <w:bidi w:val="0"/>
        <w:adjustRightInd/>
        <w:snapToGrid/>
        <w:spacing w:line="590" w:lineRule="exact"/>
        <w:ind w:right="-105" w:rightChars="-50"/>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梁山县民政局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67DF7B80">
      <w:pPr>
        <w:keepNext w:val="0"/>
        <w:keepLines w:val="0"/>
        <w:pageBreakBefore w:val="0"/>
        <w:kinsoku/>
        <w:wordWrap/>
        <w:overflowPunct/>
        <w:topLinePunct w:val="0"/>
        <w:autoSpaceDE/>
        <w:autoSpaceDN/>
        <w:bidi w:val="0"/>
        <w:adjustRightInd/>
        <w:snapToGrid/>
        <w:spacing w:line="590" w:lineRule="exact"/>
        <w:ind w:right="-105" w:rightChars="-50"/>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656FF27E">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方正仿宋简体" w:eastAsia="方正仿宋简体"/>
          <w:b/>
          <w:color w:val="000000"/>
          <w:sz w:val="32"/>
          <w:szCs w:val="32"/>
        </w:rPr>
      </w:pPr>
    </w:p>
    <w:p w14:paraId="65240BD7">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梁山县民政局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14:paraId="2BBDA4AF">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550454A6">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政府门户网站（http://www.liangshan.gov.cn/）查阅或下载。如对本报告有疑问，请与</w:t>
      </w:r>
      <w:r>
        <w:rPr>
          <w:rFonts w:hint="eastAsia" w:ascii="方正仿宋简体" w:eastAsia="方正仿宋简体"/>
          <w:b/>
          <w:color w:val="000000"/>
          <w:sz w:val="32"/>
          <w:szCs w:val="32"/>
          <w:lang w:val="en-US" w:eastAsia="zh-CN"/>
        </w:rPr>
        <w:t>梁山县民政局</w:t>
      </w:r>
      <w:r>
        <w:rPr>
          <w:rFonts w:hint="eastAsia" w:ascii="方正仿宋简体" w:eastAsia="方正仿宋简体"/>
          <w:b/>
          <w:color w:val="000000"/>
          <w:sz w:val="32"/>
          <w:szCs w:val="32"/>
        </w:rPr>
        <w:t>联系（地址：山东省济宁</w:t>
      </w:r>
      <w:r>
        <w:rPr>
          <w:rFonts w:hint="eastAsia" w:ascii="方正仿宋简体" w:eastAsia="方正仿宋简体"/>
          <w:b/>
          <w:color w:val="000000"/>
          <w:sz w:val="32"/>
          <w:szCs w:val="32"/>
          <w:lang w:val="en-US" w:eastAsia="zh-CN"/>
        </w:rPr>
        <w:t>市</w:t>
      </w:r>
      <w:r>
        <w:rPr>
          <w:rFonts w:hint="eastAsia" w:ascii="方正仿宋简体" w:eastAsia="方正仿宋简体"/>
          <w:b/>
          <w:color w:val="000000"/>
          <w:sz w:val="32"/>
          <w:szCs w:val="32"/>
        </w:rPr>
        <w:t>梁山县忠义路1号，联系电话：0537-7367001）。</w:t>
      </w:r>
    </w:p>
    <w:p w14:paraId="19278F8C">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color w:val="auto"/>
          <w:sz w:val="32"/>
          <w:szCs w:val="32"/>
        </w:rPr>
      </w:pPr>
      <w:r>
        <w:rPr>
          <w:rFonts w:hint="eastAsia" w:ascii="方正黑体简体" w:eastAsia="方正黑体简体"/>
          <w:b/>
          <w:color w:val="auto"/>
          <w:sz w:val="32"/>
          <w:szCs w:val="32"/>
        </w:rPr>
        <w:t>一、总体情况</w:t>
      </w:r>
    </w:p>
    <w:p w14:paraId="68F347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auto"/>
          <w:kern w:val="2"/>
          <w:sz w:val="32"/>
          <w:szCs w:val="32"/>
          <w:lang w:val="en-US" w:eastAsia="zh-CN" w:bidi="ar-SA"/>
        </w:rPr>
      </w:pPr>
      <w:r>
        <w:rPr>
          <w:rFonts w:hint="eastAsia" w:ascii="方正仿宋简体" w:hAnsi="Times New Roman" w:eastAsia="方正仿宋简体" w:cs="Times New Roman"/>
          <w:b/>
          <w:color w:val="auto"/>
          <w:kern w:val="2"/>
          <w:sz w:val="32"/>
          <w:szCs w:val="32"/>
          <w:lang w:val="en-US" w:eastAsia="zh-CN" w:bidi="ar-SA"/>
        </w:rPr>
        <w:t>2024年，县民政局坚持以人民为中心的发展思想，认真落实梁山县人民政府办公室关于政务信息、政务公开、政府网站和政务新媒体工作的相关要求，坚持“以公开为常态、不公开为例外”的根本要求，通过网站、微信公众号等各类平台加大政府信息公开力度，强化政策解读，回应社会关注重点，依法、依规、及时、准确地公开相关政府信息，保障公民知情权、参与权和监督权。</w:t>
      </w:r>
    </w:p>
    <w:p w14:paraId="6609D080">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（一）主动公开情况</w:t>
      </w:r>
    </w:p>
    <w:p w14:paraId="36121D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auto"/>
          <w:kern w:val="2"/>
          <w:sz w:val="32"/>
          <w:szCs w:val="32"/>
          <w:lang w:val="en-US" w:eastAsia="zh-CN" w:bidi="ar-SA"/>
        </w:rPr>
      </w:pPr>
      <w:r>
        <w:rPr>
          <w:rFonts w:hint="eastAsia" w:ascii="方正仿宋简体" w:hAnsi="Times New Roman" w:eastAsia="方正仿宋简体" w:cs="Times New Roman"/>
          <w:b/>
          <w:color w:val="auto"/>
          <w:kern w:val="2"/>
          <w:sz w:val="32"/>
          <w:szCs w:val="32"/>
          <w:lang w:val="en-US" w:eastAsia="zh-CN" w:bidi="ar-SA"/>
        </w:rPr>
        <w:t>2024年1月1日至2024年12月31日梁山县民政局公开政务信息205条，其中部门重点领域178条、公告公示10条、行政执法公示1条、主动公开基本目录3条，建议议案13条。与去年相比，减少46条。</w:t>
      </w:r>
    </w:p>
    <w:p w14:paraId="663D4F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Style w:val="10"/>
          <w:rFonts w:hint="default" w:ascii="仿宋_GB2312" w:hAnsi="仿宋_GB2312" w:eastAsia="仿宋_GB2312" w:cs="仿宋_GB2312"/>
          <w:i w:val="0"/>
          <w:iCs w:val="0"/>
          <w:caps w:val="0"/>
          <w:color w:val="auto"/>
          <w:spacing w:val="0"/>
          <w:sz w:val="32"/>
          <w:szCs w:val="32"/>
          <w:lang w:val="en-US" w:eastAsia="zh-CN"/>
        </w:rPr>
      </w:pPr>
      <w:r>
        <w:drawing>
          <wp:inline distT="0" distB="0" distL="114300" distR="114300">
            <wp:extent cx="4831080" cy="2743200"/>
            <wp:effectExtent l="4445" t="4445" r="10795" b="1079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352640">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7ED8AB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ascii="方正仿宋简体" w:eastAsia="方正仿宋简体"/>
          <w:b/>
          <w:color w:val="000000"/>
          <w:sz w:val="32"/>
          <w:szCs w:val="32"/>
        </w:rPr>
      </w:pPr>
      <w:r>
        <w:rPr>
          <w:rFonts w:hint="eastAsia" w:ascii="方正仿宋简体" w:hAnsi="Times New Roman" w:eastAsia="方正仿宋简体" w:cs="Times New Roman"/>
          <w:b/>
          <w:color w:val="000000"/>
          <w:kern w:val="2"/>
          <w:sz w:val="32"/>
          <w:szCs w:val="32"/>
          <w:lang w:val="en-US" w:eastAsia="zh-CN" w:bidi="ar-SA"/>
        </w:rPr>
        <w:t>2024年梁山县民政局收到政府信息公开申请1件。与去年相比，增加1件。</w:t>
      </w:r>
    </w:p>
    <w:p w14:paraId="3C9CE1F5">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14:paraId="4520F0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Style w:val="10"/>
          <w:rFonts w:hint="eastAsia" w:ascii="仿宋_GB2312" w:hAnsi="仿宋_GB2312" w:eastAsia="仿宋_GB2312" w:cs="仿宋_GB2312"/>
          <w:i w:val="0"/>
          <w:iCs w:val="0"/>
          <w:caps w:val="0"/>
          <w:color w:val="auto"/>
          <w:spacing w:val="0"/>
          <w:sz w:val="32"/>
          <w:szCs w:val="32"/>
        </w:rPr>
      </w:pPr>
      <w:r>
        <w:rPr>
          <w:rFonts w:hint="eastAsia" w:ascii="方正仿宋简体" w:hAnsi="Times New Roman" w:eastAsia="方正仿宋简体" w:cs="Times New Roman"/>
          <w:b/>
          <w:color w:val="000000"/>
          <w:kern w:val="2"/>
          <w:sz w:val="32"/>
          <w:szCs w:val="32"/>
          <w:lang w:val="en-US" w:eastAsia="zh-CN" w:bidi="ar-SA"/>
        </w:rPr>
        <w:t>局党组高度重视政务公开工作，紧密结合工作实际和文件精神，落实部署相关工作。由主要领导任组长，分管办公室领导任副组长，局属各科室负责人为小组成员，同时明确专人做好政府信息公开保密审查和发布工作，努力提升信息发布质量。</w:t>
      </w:r>
    </w:p>
    <w:p w14:paraId="2CC51611">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（四）政府信息公开平台建设情况</w:t>
      </w:r>
    </w:p>
    <w:p w14:paraId="7F278C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是完善公开平台，提升服务水平。强化监督保障，夯实政务公开工作基础，加大涉及个人隐私政府信息的排查工作，保证政务信息发布规范性、及时性和科学性。二是强化主体责任、严把信息质量关。规范政府信息公开处理流程，严格落实“三审三校”制度后后，再及时进行网上公开。三是畅通公开渠道，丰富便民载体。</w:t>
      </w:r>
    </w:p>
    <w:p w14:paraId="6ECCDD43">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2FD4A8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是强化领导、科学部署。局领导高度重视政务公开工作，先后召开多次工作会议，听取政务公开工作情况汇报，并对政务公开工作进行了督促和部署。二是查摆问题、立行立改。对反馈问题认真对标对表，逐一整改。做到常态化发布信息，进一步增强公开实效，提升服务水平。</w:t>
      </w:r>
    </w:p>
    <w:p w14:paraId="2A6B411B">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二、主动公开政府信息情况</w:t>
      </w:r>
    </w:p>
    <w:tbl>
      <w:tblPr>
        <w:tblStyle w:val="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0C0C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E7D71B9">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1EC6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F8DD13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28FD8B7A">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3C2FB19B">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44D2D1C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0F7A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C703245">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22FA8127">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14:paraId="41AFEE06">
            <w:pPr>
              <w:widowControl/>
              <w:spacing w:line="340" w:lineRule="exact"/>
              <w:jc w:val="center"/>
              <w:rPr>
                <w:rFonts w:ascii="方正仿宋简体" w:eastAsia="方正仿宋简体"/>
                <w:b/>
                <w:sz w:val="24"/>
                <w:szCs w:val="24"/>
              </w:rPr>
            </w:pPr>
            <w:r>
              <w:rPr>
                <w:rFonts w:hint="eastAsia" w:ascii="方正仿宋简体" w:eastAsia="方正仿宋简体"/>
                <w:b/>
                <w:sz w:val="24"/>
                <w:szCs w:val="24"/>
                <w:lang w:val="en-US" w:eastAsia="zh-CN"/>
              </w:rPr>
              <w:t>0</w:t>
            </w:r>
          </w:p>
        </w:tc>
        <w:tc>
          <w:tcPr>
            <w:tcW w:w="1989" w:type="dxa"/>
            <w:shd w:val="clear" w:color="auto" w:fill="FFFFFF"/>
            <w:noWrap w:val="0"/>
            <w:tcMar>
              <w:left w:w="57" w:type="dxa"/>
              <w:right w:w="57" w:type="dxa"/>
            </w:tcMar>
            <w:vAlign w:val="center"/>
          </w:tcPr>
          <w:p w14:paraId="12AF5921">
            <w:pPr>
              <w:widowControl/>
              <w:spacing w:line="340" w:lineRule="exact"/>
              <w:jc w:val="center"/>
              <w:rPr>
                <w:rFonts w:ascii="方正仿宋简体" w:eastAsia="方正仿宋简体"/>
                <w:b/>
                <w:sz w:val="24"/>
                <w:szCs w:val="24"/>
              </w:rPr>
            </w:pPr>
            <w:r>
              <w:rPr>
                <w:rFonts w:hint="eastAsia" w:ascii="方正仿宋简体" w:eastAsia="方正仿宋简体"/>
                <w:b/>
                <w:sz w:val="24"/>
                <w:szCs w:val="24"/>
                <w:lang w:val="en-US" w:eastAsia="zh-CN"/>
              </w:rPr>
              <w:t>0</w:t>
            </w:r>
          </w:p>
        </w:tc>
      </w:tr>
      <w:tr w14:paraId="44A2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9518A41">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5A8E582E">
            <w:pPr>
              <w:widowControl/>
              <w:spacing w:line="340" w:lineRule="exact"/>
              <w:jc w:val="center"/>
              <w:rPr>
                <w:rFonts w:ascii="方正仿宋简体" w:eastAsia="方正仿宋简体"/>
                <w:b/>
                <w:sz w:val="24"/>
                <w:szCs w:val="24"/>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14:paraId="7807944F">
            <w:pPr>
              <w:widowControl/>
              <w:spacing w:line="340" w:lineRule="exact"/>
              <w:jc w:val="center"/>
              <w:rPr>
                <w:rFonts w:ascii="方正仿宋简体" w:eastAsia="方正仿宋简体"/>
                <w:b/>
                <w:sz w:val="24"/>
                <w:szCs w:val="24"/>
              </w:rPr>
            </w:pPr>
            <w:r>
              <w:rPr>
                <w:rFonts w:hint="eastAsia" w:ascii="方正仿宋简体" w:eastAsia="方正仿宋简体"/>
                <w:b/>
                <w:sz w:val="24"/>
                <w:szCs w:val="24"/>
                <w:lang w:val="en-US" w:eastAsia="zh-CN"/>
              </w:rPr>
              <w:t>0</w:t>
            </w:r>
          </w:p>
        </w:tc>
        <w:tc>
          <w:tcPr>
            <w:tcW w:w="1989" w:type="dxa"/>
            <w:shd w:val="clear" w:color="auto" w:fill="FFFFFF"/>
            <w:noWrap w:val="0"/>
            <w:tcMar>
              <w:left w:w="57" w:type="dxa"/>
              <w:right w:w="57" w:type="dxa"/>
            </w:tcMar>
            <w:vAlign w:val="center"/>
          </w:tcPr>
          <w:p w14:paraId="78587CE0">
            <w:pPr>
              <w:widowControl/>
              <w:spacing w:line="340" w:lineRule="exact"/>
              <w:jc w:val="center"/>
              <w:rPr>
                <w:rFonts w:ascii="方正仿宋简体" w:eastAsia="方正仿宋简体"/>
                <w:b/>
                <w:sz w:val="24"/>
                <w:szCs w:val="24"/>
              </w:rPr>
            </w:pPr>
            <w:r>
              <w:rPr>
                <w:rFonts w:hint="eastAsia" w:ascii="方正仿宋简体" w:eastAsia="方正仿宋简体"/>
                <w:b/>
                <w:sz w:val="24"/>
                <w:szCs w:val="24"/>
                <w:lang w:val="en-US" w:eastAsia="zh-CN"/>
              </w:rPr>
              <w:t>0</w:t>
            </w:r>
          </w:p>
        </w:tc>
      </w:tr>
      <w:tr w14:paraId="222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51C04F6">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137D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E0C32A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56484AB0">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219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CBB18D2">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7B13A6E0">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1857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98CAFD5">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5EBD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94EA9E0">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4D93895D">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255E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7DBBBAC">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5637A652">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26D1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5CF590A">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2467BC78">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206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B891E50">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17F6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510E597">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4A569E28">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620A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8455717">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0DBCFC98">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6BB98BCE">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p>
    <w:p w14:paraId="23E43E69">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p>
    <w:p w14:paraId="173A58A9">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E39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7D5110F9">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6E36FDD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71F8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CB5857A">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42B6B305">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5C9ED6E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4E72FB7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716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660B82EB">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391C3BF4">
            <w:pPr>
              <w:spacing w:line="300" w:lineRule="exact"/>
              <w:rPr>
                <w:rFonts w:ascii="方正仿宋简体" w:eastAsia="方正仿宋简体"/>
                <w:b/>
                <w:sz w:val="21"/>
                <w:szCs w:val="21"/>
              </w:rPr>
            </w:pPr>
          </w:p>
        </w:tc>
        <w:tc>
          <w:tcPr>
            <w:tcW w:w="599" w:type="dxa"/>
            <w:noWrap w:val="0"/>
            <w:tcMar>
              <w:left w:w="57" w:type="dxa"/>
              <w:right w:w="57" w:type="dxa"/>
            </w:tcMar>
            <w:vAlign w:val="center"/>
          </w:tcPr>
          <w:p w14:paraId="764E94F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2D57A8E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76744F0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771FCE93">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214FEEA6">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3E3536F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19510A5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3DA1CA1A">
            <w:pPr>
              <w:spacing w:line="300" w:lineRule="exact"/>
              <w:rPr>
                <w:rFonts w:ascii="方正仿宋简体" w:eastAsia="方正仿宋简体"/>
                <w:b/>
                <w:sz w:val="21"/>
                <w:szCs w:val="21"/>
              </w:rPr>
            </w:pPr>
          </w:p>
        </w:tc>
      </w:tr>
      <w:tr w14:paraId="7D3D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3CCC810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4362BFB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center"/>
          </w:tcPr>
          <w:p w14:paraId="709A4B77">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17363557">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1FE27BC">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FCB951C">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FCD7BB8">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0AB93198">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1</w:t>
            </w:r>
          </w:p>
        </w:tc>
      </w:tr>
      <w:tr w14:paraId="7809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7C19E36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6E44864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1662CF8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5EB0F1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5C9406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8E711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7194CC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DA7E1C2">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14:paraId="6064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5EE9CD9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075C7D0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523DD6D0">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14:paraId="253E382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756D5B0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CE6362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B2220E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B58B54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0E203A4D">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1</w:t>
            </w:r>
          </w:p>
        </w:tc>
      </w:tr>
      <w:tr w14:paraId="2837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16DDB28D">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5B9DB98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6C66891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5A0810B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64ACF5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A95A2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48A1ED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04E005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3FADF86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849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82A4D7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585D679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6097787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32C6CB2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5230577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0B3DD2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98CFF0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58B815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EECE13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41D5100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197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B46183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0BB1F1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B05497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7E9D026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34E2C45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D64F5F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F8CD4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9A37C0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E624F4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1A6EBEC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FFF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1AFBB1B">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12147A4">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054B9C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56E03F8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2B0AB46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97F99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000211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29AC9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F34399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46244F5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11E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3F2343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CC5C07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53F5BD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3734EB8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2037B30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E052F9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30A21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2175D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56E9D5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A14A81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A2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A18409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23149E6">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E576E1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5C70284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15E0572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78F554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1A651B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8A592F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987485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3612462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87F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49D839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5F857A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94E632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1FE2189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0D436C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6F6BA7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F2DC5B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488E7B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0C876B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03E7FCC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C15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36B280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8812878">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51A5CA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460520A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0E5E2E5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A6C9A6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DC0974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84E5E7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12C769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36837F7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2C83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1E61BD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208958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6B2F88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3A339E6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060B440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6324D3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3A0FB0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E15858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18F5D0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39CF06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EB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123EFA0">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4A9009D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57B4A50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4A9BB43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2BFBBAA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43CEC7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CBEC12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7B8E7B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BB2959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6E6161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FAC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AA389D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71B521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DAAF5D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5BA6CD7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5D9ADDC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B9ACFB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4E95CD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7C94BA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ACA835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0F70B90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E4F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8BFEAE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1684C2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6349E9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26CED49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6AA1B43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7314DC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534654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EC8BD2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4F2F19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C9E66F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C95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7582698">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797CB32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6EC8A1E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0E2E28F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597175B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DFF550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6ED18D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ABE575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724E66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54D45F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E5D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067E1E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A34BA8F">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DEA711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61A472C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2944F08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C904C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252CD7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A166CA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935728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330452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C9F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B7761E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2DE568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7A025A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48AFCD7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4580643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F484E4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9D6FB6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B7781A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DF8343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6B76E37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57D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67CDE5">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4B2BEB4">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C9EB44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5EE54A2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2C3E4E4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40DE47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5FC841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90ED7D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D2F558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15F11D0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E0C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2B245A0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0DAAAB4">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7914C0EE">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77D7F13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34C3A65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653692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8D5AE8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8150AB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91DC23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4633F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A0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75EB2C6">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A3C748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6FD527AF">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3425FF6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14:paraId="1DA46B7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36268A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17E2D0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FC664F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EE602D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14:paraId="560D7EB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17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FB8EED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C6AB53C">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4B37FB1C">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7A50B61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5107D8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27F1853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14:paraId="2FF7BC0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14:paraId="315556D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14:paraId="3229567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14:paraId="4CF666AA">
            <w:pPr>
              <w:widowControl/>
              <w:spacing w:line="300" w:lineRule="exact"/>
              <w:jc w:val="center"/>
              <w:rPr>
                <w:rFonts w:hint="eastAsia" w:ascii="方正仿宋简体" w:eastAsia="方正仿宋简体"/>
                <w:b/>
                <w:sz w:val="21"/>
                <w:szCs w:val="21"/>
                <w:lang w:val="en-US" w:eastAsia="zh-CN"/>
              </w:rPr>
            </w:pPr>
          </w:p>
          <w:p w14:paraId="1B18374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7AC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14B51E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D4A7D5C">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7EC0B3D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21057EF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CAB2F5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56736A2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14:paraId="60339D4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14:paraId="7C4B9FD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14:paraId="14B807E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14:paraId="04822272">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0F60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2D5D8F6">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265BFE5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73DA220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center"/>
          </w:tcPr>
          <w:p w14:paraId="2697E4B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506011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14:paraId="1584D46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14:paraId="4F6B422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14:paraId="33F0235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14:paraId="18A31249">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1</w:t>
            </w:r>
          </w:p>
        </w:tc>
      </w:tr>
      <w:tr w14:paraId="0856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1AE1449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3879BBA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5F794D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14:paraId="4236170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14:paraId="4E6F47C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14:paraId="38357A1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14:paraId="3259722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14:paraId="19C1C27B">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0</w:t>
            </w:r>
          </w:p>
        </w:tc>
      </w:tr>
    </w:tbl>
    <w:p w14:paraId="1CB50845">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p>
    <w:p w14:paraId="761B0819">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p>
    <w:p w14:paraId="6F82DFA8">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8"/>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A2B87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CE4EC1">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74F54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269CA9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D2879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997E27D">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22BC1E0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EFAF70">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338A862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A1E40F">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36279C0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3EB34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24061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CB17D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6E709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F01EA4">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1698DF">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271C5E">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3C7841E">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E5B9AC">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1FB8EA">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2DC20A8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EC97B7">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3439A69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0C96E2">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45CF885A">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E85AF8">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0689816B">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DD5ED1">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8E2DF5">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2A8A0AA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0E1636">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0438FA1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796E58">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2320BB9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DEB49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7D3A1B6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D7165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D3326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8D8F37">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99A216">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39F29D4">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1DC16E">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C8CAED">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83EA45">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29DAC1">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仿宋简体" w:hAnsi="Times New Roman" w:eastAsia="方正仿宋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B56599">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仿宋简体" w:hAnsi="Times New Roman" w:eastAsia="方正仿宋简体" w:cs="Times New Roman"/>
                <w:b/>
                <w:sz w:val="21"/>
                <w:szCs w:val="21"/>
                <w:lang w:val="en-US" w:eastAsia="zh-CN"/>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55CB00">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819715">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AE6224">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F1336E">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AB0A59">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29FB89">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仿宋简体" w:hAnsi="Times New Roman" w:eastAsia="方正仿宋简体" w:cs="Times New Roman"/>
                <w:b/>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C11D5A">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仿宋简体" w:eastAsia="方正仿宋简体"/>
                <w:b/>
                <w:sz w:val="21"/>
                <w:szCs w:val="21"/>
                <w:lang w:val="en-US" w:eastAsia="zh-CN"/>
              </w:rPr>
              <w:t>0</w:t>
            </w:r>
          </w:p>
        </w:tc>
      </w:tr>
    </w:tbl>
    <w:p w14:paraId="58A9F037">
      <w:pPr>
        <w:keepNext w:val="0"/>
        <w:keepLines w:val="0"/>
        <w:pageBreakBefore w:val="0"/>
        <w:kinsoku/>
        <w:wordWrap/>
        <w:overflowPunct/>
        <w:topLinePunct w:val="0"/>
        <w:autoSpaceDE/>
        <w:autoSpaceDN/>
        <w:bidi w:val="0"/>
        <w:adjustRightInd/>
        <w:snapToGrid/>
        <w:spacing w:line="590" w:lineRule="exact"/>
        <w:ind w:right="-105"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五、存在的主要问题及改进情况</w:t>
      </w:r>
    </w:p>
    <w:p w14:paraId="62CA1F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2024年，我局政府信息公开工作虽取得了新的进展，但仍存在一些薄弱环节，主要表现在：一是政务公开内容的广度和深度方面存有短板，精细化水平有待提升；二是政务公开队伍建设还需进一步加强。</w:t>
      </w:r>
    </w:p>
    <w:p w14:paraId="6A90A737">
      <w:pPr>
        <w:keepNext w:val="0"/>
        <w:keepLines w:val="0"/>
        <w:pageBreakBefore w:val="0"/>
        <w:kinsoku/>
        <w:wordWrap/>
        <w:overflowPunct/>
        <w:topLinePunct w:val="0"/>
        <w:autoSpaceDE/>
        <w:autoSpaceDN/>
        <w:bidi w:val="0"/>
        <w:adjustRightInd/>
        <w:snapToGrid/>
        <w:spacing w:line="590" w:lineRule="exact"/>
        <w:ind w:right="-105" w:rightChars="-50" w:firstLine="643" w:firstLineChars="200"/>
        <w:rPr>
          <w:rStyle w:val="10"/>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下一步，我局将坚持以习近平新时代中国特色社会主义思想为指导，坚持以人民为中心的发展思想，加强相关业务学习培训，提高认真履行政务公开工作职责的能力，对存在的问题以补齐短板、发挥优势，持之以恒做好政务公开工作。</w:t>
      </w:r>
    </w:p>
    <w:p w14:paraId="0F2D04AE">
      <w:pPr>
        <w:keepNext w:val="0"/>
        <w:keepLines w:val="0"/>
        <w:pageBreakBefore w:val="0"/>
        <w:kinsoku/>
        <w:wordWrap/>
        <w:overflowPunct/>
        <w:topLinePunct w:val="0"/>
        <w:autoSpaceDE/>
        <w:autoSpaceDN/>
        <w:bidi w:val="0"/>
        <w:adjustRightInd/>
        <w:snapToGrid/>
        <w:spacing w:line="590" w:lineRule="exact"/>
        <w:ind w:right="-105"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六、其他需要报告的事项</w:t>
      </w:r>
    </w:p>
    <w:p w14:paraId="22D1C4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主要报告本行政机关认为需要报告的其他事项，以及其他有关文件专门要求通过政府信息公开工作年度报告予以报告的事项，包括但不限于：</w:t>
      </w:r>
    </w:p>
    <w:p w14:paraId="1A6B92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（一）依据《政府信息公开信息处理费管理办法》，梁山县民政局2024年未收取信息处理费;</w:t>
      </w:r>
    </w:p>
    <w:p w14:paraId="72B0D3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（二）本行政机关落实上级年度政务公开工作要点情况：</w:t>
      </w:r>
      <w:r>
        <w:rPr>
          <w:rFonts w:hint="eastAsia" w:ascii="方正仿宋简体" w:hAnsi="Times New Roman" w:eastAsia="方正仿宋简体" w:cs="Times New Roman"/>
          <w:b/>
          <w:color w:val="000000"/>
          <w:kern w:val="2"/>
          <w:sz w:val="32"/>
          <w:szCs w:val="32"/>
          <w:lang w:val="en-US" w:eastAsia="zh-CN" w:bidi="ar-SA"/>
        </w:rPr>
        <w:t>民政局认真贯彻落实《中华人民共和国政府信息公开条例》，严格按照工作部署和相关要求，同时结合民政工作实际，以提高办事效率和权力运行透明度为抓手，以提高管理服务水平为目标，不断完善公开制度，拓展公开内容，创新公开方式，全面提升政务公开效率和质量；</w:t>
      </w:r>
    </w:p>
    <w:p w14:paraId="03ECD9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（三）本行政机关人大代表建议和政协提案办理结果公开情况：梁山县民政局始终高度重视人大建议</w:t>
      </w:r>
      <w:bookmarkStart w:id="0" w:name="_GoBack"/>
      <w:bookmarkEnd w:id="0"/>
      <w:r>
        <w:rPr>
          <w:rFonts w:hint="eastAsia" w:ascii="方正仿宋简体" w:hAnsi="Times New Roman" w:eastAsia="方正仿宋简体" w:cs="Times New Roman"/>
          <w:b/>
          <w:color w:val="000000"/>
          <w:kern w:val="2"/>
          <w:sz w:val="32"/>
          <w:szCs w:val="32"/>
          <w:lang w:val="en-US" w:eastAsia="zh-CN" w:bidi="ar-SA"/>
        </w:rPr>
        <w:t>和政协提案的办理工作，切实将办理工作作为接受监督、改进工作、推动发展、改善民生的实际举措，不断增强办理工作的紧迫感、责任感和使命感，推动人大建议和政协提案办理工作再上新台阶</w:t>
      </w:r>
      <w:r>
        <w:rPr>
          <w:rFonts w:hint="eastAsia" w:ascii="方正仿宋简体" w:hAnsi="Times New Roman" w:eastAsia="方正仿宋简体" w:cs="Times New Roman"/>
          <w:b/>
          <w:color w:val="000000"/>
          <w:kern w:val="2"/>
          <w:sz w:val="32"/>
          <w:szCs w:val="32"/>
          <w:lang w:val="en-US" w:eastAsia="zh-CN" w:bidi="ar-SA"/>
        </w:rPr>
        <w:t>；</w:t>
      </w:r>
    </w:p>
    <w:p w14:paraId="03F3E4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（四）本行政机关年度政务公开工作创新情况：无；</w:t>
      </w:r>
    </w:p>
    <w:p w14:paraId="151FC3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（五）本行政机关政府信息公开工作年度报告数据统计需要说明的事项：无；</w:t>
      </w:r>
    </w:p>
    <w:p w14:paraId="46AFC3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（六）本行政机关认为需要报告的其他事项：无；</w:t>
      </w:r>
    </w:p>
    <w:p w14:paraId="7E6FB3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pPr>
      <w:r>
        <w:rPr>
          <w:rFonts w:hint="eastAsia" w:ascii="方正仿宋简体" w:hAnsi="Times New Roman" w:eastAsia="方正仿宋简体" w:cs="Times New Roman"/>
          <w:b/>
          <w:color w:val="000000"/>
          <w:kern w:val="2"/>
          <w:sz w:val="32"/>
          <w:szCs w:val="32"/>
          <w:lang w:val="en-US" w:eastAsia="zh-CN" w:bidi="ar-SA"/>
        </w:rPr>
        <w:t>（七）其他有关文件专门要求通过政府信息公开工作年度报告予以报告的事项：无。</w:t>
      </w: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9757">
    <w:pPr>
      <w:pStyle w:val="5"/>
      <w:framePr w:wrap="around" w:vAnchor="text" w:hAnchor="margin" w:xAlign="center" w:yAlign="top"/>
    </w:pPr>
    <w:r>
      <w:fldChar w:fldCharType="begin"/>
    </w:r>
    <w:r>
      <w:rPr>
        <w:rStyle w:val="11"/>
      </w:rPr>
      <w:instrText xml:space="preserve"> PAGE  </w:instrText>
    </w:r>
    <w:r>
      <w:fldChar w:fldCharType="separate"/>
    </w:r>
    <w:r>
      <w:rPr>
        <w:rStyle w:val="11"/>
      </w:rPr>
      <w:t>2</w:t>
    </w:r>
    <w:r>
      <w:fldChar w:fldCharType="end"/>
    </w:r>
  </w:p>
  <w:p w14:paraId="76B670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210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D1A02"/>
    <w:rsid w:val="01A7647D"/>
    <w:rsid w:val="057B5C57"/>
    <w:rsid w:val="2AB67D6A"/>
    <w:rsid w:val="2B113A59"/>
    <w:rsid w:val="2D7D7F0E"/>
    <w:rsid w:val="3A4149AD"/>
    <w:rsid w:val="3C7919D1"/>
    <w:rsid w:val="41A558E2"/>
    <w:rsid w:val="48D662CD"/>
    <w:rsid w:val="4BD81325"/>
    <w:rsid w:val="4DAD1A02"/>
    <w:rsid w:val="58FA20F9"/>
    <w:rsid w:val="5D8131F5"/>
    <w:rsid w:val="5DEF3EBD"/>
    <w:rsid w:val="654E64B1"/>
    <w:rsid w:val="79FE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560" w:lineRule="exact"/>
      <w:outlineLvl w:val="0"/>
    </w:pPr>
    <w:rPr>
      <w:rFonts w:eastAsia="黑体"/>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eastAsia="楷体_GB2312"/>
      <w:b/>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10">
    <w:name w:val="Strong"/>
    <w:basedOn w:val="9"/>
    <w:qFormat/>
    <w:uiPriority w:val="0"/>
    <w:rPr>
      <w:b/>
      <w:bCs/>
    </w:rPr>
  </w:style>
  <w:style w:type="character" w:styleId="11">
    <w:name w:val="page number"/>
    <w:qFormat/>
    <w:uiPriority w:val="0"/>
  </w:style>
  <w:style w:type="paragraph" w:customStyle="1" w:styleId="12">
    <w:name w:val="BodyText"/>
    <w:basedOn w:val="1"/>
    <w:qFormat/>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政务信息公开情况</a:t>
            </a:r>
          </a:p>
        </c:rich>
      </c:tx>
      <c:layout/>
      <c:overlay val="0"/>
      <c:spPr>
        <a:noFill/>
        <a:ln>
          <a:noFill/>
        </a:ln>
        <a:effectLst/>
      </c:spPr>
    </c:title>
    <c:autoTitleDeleted val="0"/>
    <c:plotArea>
      <c:layout/>
      <c:pieChart>
        <c:varyColors val="1"/>
        <c:ser>
          <c:idx val="1"/>
          <c:order val="0"/>
          <c:spPr/>
          <c:explosion val="0"/>
          <c:dPt>
            <c:idx val="0"/>
            <c:bubble3D val="0"/>
            <c:spPr>
              <a:gradFill>
                <a:gsLst>
                  <a:gs pos="0">
                    <a:srgbClr val="B9CDE5">
                      <a:lumMod val="40000"/>
                      <a:lumOff val="60000"/>
                    </a:srgbClr>
                  </a:gs>
                  <a:gs pos="90000">
                    <a:srgbClr val="4F81BD"/>
                  </a:gs>
                </a:gsLst>
                <a:lin ang="5400000" scaled="0"/>
              </a:gradFill>
              <a:ln>
                <a:gradFill>
                  <a:gsLst>
                    <a:gs pos="0">
                      <a:srgbClr val="4F81BD"/>
                    </a:gs>
                    <a:gs pos="100000">
                      <a:srgbClr val="376092">
                        <a:lumMod val="75000"/>
                      </a:srgbClr>
                    </a:gs>
                  </a:gsLst>
                  <a:lin ang="5400000" scaled="1"/>
                </a:gradFill>
              </a:ln>
              <a:effectLst>
                <a:outerShdw blurRad="76200" dist="25400" dir="2700000" algn="tl" rotWithShape="0">
                  <a:srgbClr val="254061">
                    <a:lumMod val="50000"/>
                    <a:alpha val="30000"/>
                  </a:srgbClr>
                </a:outerShdw>
              </a:effectLst>
            </c:spPr>
          </c:dPt>
          <c:dPt>
            <c:idx val="1"/>
            <c:bubble3D val="0"/>
            <c:spPr>
              <a:gradFill>
                <a:gsLst>
                  <a:gs pos="0">
                    <a:srgbClr val="E6B9B8">
                      <a:lumMod val="40000"/>
                      <a:lumOff val="60000"/>
                    </a:srgbClr>
                  </a:gs>
                  <a:gs pos="90000">
                    <a:srgbClr val="C0504D"/>
                  </a:gs>
                </a:gsLst>
                <a:lin ang="5400000" scaled="0"/>
              </a:gradFill>
              <a:ln>
                <a:gradFill>
                  <a:gsLst>
                    <a:gs pos="0">
                      <a:srgbClr val="C0504D"/>
                    </a:gs>
                    <a:gs pos="100000">
                      <a:srgbClr val="953735">
                        <a:lumMod val="75000"/>
                      </a:srgbClr>
                    </a:gs>
                  </a:gsLst>
                  <a:lin ang="5400000" scaled="1"/>
                </a:gradFill>
              </a:ln>
              <a:effectLst>
                <a:outerShdw blurRad="76200" dist="25400" dir="2700000" algn="tl" rotWithShape="0">
                  <a:srgbClr val="632523">
                    <a:lumMod val="50000"/>
                    <a:alpha val="30000"/>
                  </a:srgbClr>
                </a:outerShdw>
              </a:effectLst>
            </c:spPr>
          </c:dPt>
          <c:dPt>
            <c:idx val="2"/>
            <c:bubble3D val="0"/>
            <c:spPr>
              <a:gradFill>
                <a:gsLst>
                  <a:gs pos="0">
                    <a:srgbClr val="D7E4BD">
                      <a:lumMod val="40000"/>
                      <a:lumOff val="60000"/>
                    </a:srgbClr>
                  </a:gs>
                  <a:gs pos="90000">
                    <a:srgbClr val="9BBB59"/>
                  </a:gs>
                </a:gsLst>
                <a:lin ang="5400000" scaled="0"/>
              </a:gradFill>
              <a:ln>
                <a:gradFill>
                  <a:gsLst>
                    <a:gs pos="0">
                      <a:srgbClr val="9BBB59"/>
                    </a:gs>
                    <a:gs pos="100000">
                      <a:srgbClr val="77933C">
                        <a:lumMod val="75000"/>
                      </a:srgbClr>
                    </a:gs>
                  </a:gsLst>
                  <a:lin ang="5400000" scaled="1"/>
                </a:gradFill>
              </a:ln>
              <a:effectLst>
                <a:outerShdw blurRad="76200" dist="25400" dir="2700000" algn="tl" rotWithShape="0">
                  <a:srgbClr val="4F6228">
                    <a:lumMod val="50000"/>
                    <a:alpha val="30000"/>
                  </a:srgbClr>
                </a:outerShdw>
              </a:effectLst>
            </c:spPr>
          </c:dPt>
          <c:dPt>
            <c:idx val="3"/>
            <c:bubble3D val="0"/>
            <c:spPr>
              <a:gradFill>
                <a:gsLst>
                  <a:gs pos="0">
                    <a:srgbClr val="CCC1DA">
                      <a:lumMod val="40000"/>
                      <a:lumOff val="60000"/>
                    </a:srgbClr>
                  </a:gs>
                  <a:gs pos="90000">
                    <a:srgbClr val="8064A2"/>
                  </a:gs>
                </a:gsLst>
                <a:lin ang="5400000" scaled="0"/>
              </a:gradFill>
              <a:ln>
                <a:gradFill>
                  <a:gsLst>
                    <a:gs pos="0">
                      <a:srgbClr val="8064A2"/>
                    </a:gs>
                    <a:gs pos="100000">
                      <a:srgbClr val="604A7B">
                        <a:lumMod val="75000"/>
                      </a:srgbClr>
                    </a:gs>
                  </a:gsLst>
                  <a:lin ang="5400000" scaled="1"/>
                </a:gradFill>
              </a:ln>
              <a:effectLst>
                <a:outerShdw blurRad="76200" dist="25400" dir="2700000" algn="tl" rotWithShape="0">
                  <a:srgbClr val="403152">
                    <a:lumMod val="50000"/>
                    <a:alpha val="30000"/>
                  </a:srgbClr>
                </a:outerShdw>
              </a:effectLst>
            </c:spPr>
          </c:dPt>
          <c:dPt>
            <c:idx val="4"/>
            <c:bubble3D val="0"/>
            <c:spPr>
              <a:gradFill>
                <a:gsLst>
                  <a:gs pos="0">
                    <a:srgbClr val="B7DEE8">
                      <a:lumMod val="40000"/>
                      <a:lumOff val="60000"/>
                    </a:srgbClr>
                  </a:gs>
                  <a:gs pos="90000">
                    <a:srgbClr val="4BACC6"/>
                  </a:gs>
                </a:gsLst>
                <a:lin ang="5400000" scaled="0"/>
              </a:gradFill>
              <a:ln>
                <a:gradFill>
                  <a:gsLst>
                    <a:gs pos="0">
                      <a:srgbClr val="4BACC6"/>
                    </a:gs>
                    <a:gs pos="100000">
                      <a:srgbClr val="31859C">
                        <a:lumMod val="75000"/>
                      </a:srgbClr>
                    </a:gs>
                  </a:gsLst>
                  <a:lin ang="5400000" scaled="1"/>
                </a:gradFill>
              </a:ln>
              <a:effectLst>
                <a:outerShdw blurRad="76200" dist="25400" dir="2700000" algn="tl" rotWithShape="0">
                  <a:srgbClr val="215968">
                    <a:lumMod val="50000"/>
                    <a:alpha val="30000"/>
                  </a:srgb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[工作簿1]Sheet1!$A$1:$A$5</c:f>
              <c:strCache>
                <c:ptCount val="5"/>
                <c:pt idx="0">
                  <c:v>部门重点领域</c:v>
                </c:pt>
                <c:pt idx="1">
                  <c:v>公告公示</c:v>
                </c:pt>
                <c:pt idx="2">
                  <c:v>行政执法公示</c:v>
                </c:pt>
                <c:pt idx="3">
                  <c:v>主动公开基本目录</c:v>
                </c:pt>
                <c:pt idx="4">
                  <c:v>建议议案</c:v>
                </c:pt>
              </c:strCache>
            </c:strRef>
          </c:cat>
          <c:val>
            <c:numRef>
              <c:f>[工作簿1]Sheet1!$B$1:$B$5</c:f>
              <c:numCache>
                <c:formatCode>General</c:formatCode>
                <c:ptCount val="5"/>
                <c:pt idx="0">
                  <c:v>178</c:v>
                </c:pt>
                <c:pt idx="1">
                  <c:v>10</c:v>
                </c:pt>
                <c:pt idx="2">
                  <c:v>1</c:v>
                </c:pt>
                <c:pt idx="3">
                  <c:v>3</c:v>
                </c:pt>
                <c:pt idx="4">
                  <c:v>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069ab89-2dff-453a-a55a-21bb469add5b}"/>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rgbClr val="000000"/>
    </cs:fontRef>
    <cs:spPr>
      <a:gradFill>
        <a:gsLst>
          <a:gs pos="0">
            <a:srgbClr val="FFFFFF">
              <a:lumMod val="40000"/>
              <a:lumOff val="60000"/>
            </a:srgbClr>
          </a:gs>
          <a:gs pos="90000">
            <a:srgbClr val="FFFFFF"/>
          </a:gs>
        </a:gsLst>
        <a:lin ang="5400000" scaled="0"/>
      </a:gradFill>
      <a:ln>
        <a:gradFill>
          <a:gsLst>
            <a:gs pos="0">
              <a:srgbClr val="FFFFFF"/>
            </a:gs>
            <a:gs pos="100000">
              <a:srgbClr val="BFBFBF">
                <a:lumMod val="75000"/>
              </a:srgbClr>
            </a:gs>
          </a:gsLst>
          <a:lin ang="5400000" scaled="1"/>
        </a:gradFill>
      </a:ln>
      <a:effectLst>
        <a:outerShdw blurRad="76200" dist="25400" dir="2700000" algn="tl" rotWithShape="0">
          <a:srgbClr val="808080">
            <a:lumMod val="50000"/>
            <a:alpha val="30000"/>
          </a:srgbClr>
        </a:outerShdw>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2556</Words>
  <Characters>2655</Characters>
  <Lines>0</Lines>
  <Paragraphs>0</Paragraphs>
  <TotalTime>1</TotalTime>
  <ScaleCrop>false</ScaleCrop>
  <LinksUpToDate>false</LinksUpToDate>
  <CharactersWithSpaces>2655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2025-01-15T04:05:00Z</dcterms:created>
  <dc:creator>超甜的东东</dc:creator>
  <cp:lastModifiedBy>Administrator</cp:lastModifiedBy>
  <dcterms:modified xsi:type="dcterms:W3CDTF">2025-01-22T08:55:43Z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D8C9F3D7B8E043A096E15D2824F87C1E_13</vt:lpwstr>
  </property>
  <property fmtid="{D5CDD505-2E9C-101B-9397-08002B2CF9AE}" pid="4" name="KSOTemplateDocerSaveRecord">
    <vt:lpwstr>eyJoZGlkIjoiMjU2MzQzYTI5OThmY2MxOTRlYjI4OTRkNzczZjMyZWYiLCJ1c2VySWQiOiI1NTEwMzg1ODcifQ==</vt:lpwstr>
  </property>
</Properties>
</file>