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val="en-US" w:eastAsia="zh-CN"/>
        </w:rPr>
        <w:t>关于加快集聚“良善英才”支撑高质量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val="en-US" w:eastAsia="zh-CN"/>
        </w:rPr>
        <w:t>发展的二十条措施</w:t>
      </w:r>
    </w:p>
    <w:bookmarkEnd w:id="0"/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560" w:lineRule="exact"/>
        <w:jc w:val="center"/>
        <w:textAlignment w:val="auto"/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2" w:firstLineChars="200"/>
        <w:jc w:val="both"/>
        <w:textAlignment w:val="auto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为深入贯彻党的二十大精神，充分发挥人才“第一资源”作用，全面落实省、市人才工作部署，精准高效集聚创新要素和人才资源，促进创新链与产业链深度融合，为建设“经济强县、美丽梁山”提供坚强人才支撑，制定措施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2" w:firstLineChars="200"/>
        <w:jc w:val="both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一、高端人才支持计划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2" w:firstLineChars="200"/>
        <w:jc w:val="both"/>
        <w:textAlignment w:val="auto"/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1.实施顶尖人才引进工程。</w:t>
      </w: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</w:rPr>
        <w:t>加大</w:t>
      </w: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lang w:eastAsia="zh-CN"/>
        </w:rPr>
        <w:t>顶尖人才</w:t>
      </w: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</w:rPr>
        <w:t>引进力度，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设立县级“一事一议”引才通道。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eastAsia="zh-CN"/>
        </w:rPr>
        <w:t>因岗位需要聘用的顶尖人才以及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特别重大的人才项目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经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eastAsia="zh-CN"/>
        </w:rPr>
        <w:t>县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委人才工作领导小组审批后给予支持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通过我县申报入选省“一事一议”人才项目，一次性给予申报单位最高500万元资金资助，入选市“一事一议”人才项目，一次性给予申报单位最高300万元资金资助。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（组织部、科技局牵头，县委人才工作领导小组各成员单位配合）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2" w:firstLineChars="200"/>
        <w:jc w:val="both"/>
        <w:textAlignment w:val="auto"/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2.激励重点人才工程申报。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对用人单位全职引进或自主培育的符合国家、省级重点人才工程申报条件（含已入选）的高层次人才，按用人单位实际给付计缴所得税年度薪酬总额的30%予以补助，最高30万元，最长补助3年；对通过我县申报入选国家级重点人才工程、省泰山产业领军人才工程的高层次人才，在享受上级政策扶持基础上，一次性分别给予最高100万元、50万元奖励；对入围国家级、省级重点人才工程最终评审环节但未成功入选的，按申报层次给予最高10万元人才经费资助。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（组织部牵头，工信局、科技局、人社局、发改局具体实施，财政局配合）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2" w:firstLineChars="200"/>
        <w:jc w:val="both"/>
        <w:textAlignment w:val="auto"/>
        <w:rPr>
          <w:rFonts w:hint="default" w:ascii="Times New Roman" w:hAnsi="Times New Roman" w:eastAsia="黑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3.创新“企业引才券”制度。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鼓励重点企业（拥有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eastAsia="zh-CN"/>
        </w:rPr>
        <w:t>省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级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eastAsia="zh-CN"/>
        </w:rPr>
        <w:t>及以上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人才工程相关领军人才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或省级及以上创新平台的企业）引进国家级、省级领军人才。综合考虑科技创新、社会贡献、行业带动等情况，经县委人才工作领导小组认定，给予人才配额。采取政策前置方式，对每名全职、兼职人才分别一次性给予企业30万元、10万元资金支持。全职人选须签订不低于3年劳动（聘用）合同，在我县缴纳社保1年以上；兼职人选须每年在企业工作不少于3个月。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（组织部牵头，工信局具体实施，财政局配合）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2" w:firstLineChars="200"/>
        <w:jc w:val="both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二、产业紧缺人才支持计划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4.支持引进产业紧缺技术人才。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鼓励重点企业自主引进产业紧缺技术人才（不包括集团公司内部人员调动）。对新全职引进的支付年薪在20万元（税前）以上产业紧缺技术人才，经认定，按照企业支付年薪的30%给予用人单位一次性补贴，每人最高补贴10万元。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（工信局牵头，人社局、科技局、财政局配合）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default" w:ascii="Times New Roman" w:hAnsi="Times New Roman" w:cs="Times New Roman"/>
          <w:b/>
          <w:bCs/>
          <w:color w:val="auto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5.支持引进产业紧缺经营管理人才。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鼓励重点企业大力引进熟练掌握现代企业管理制度、商业规则、财务知识的高级经营管理人才（不包括集团公司内部人员调动）。对新全职引进的支付年薪在30万元（税前）以上的高级管理人才，经认定，按照企业支付年薪的20%给予用人单位一次性补贴，每人最高补贴10万元。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（工信局牵头，财政局配合）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default" w:ascii="Times New Roman" w:hAnsi="Times New Roman" w:eastAsia="黑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6.强化专业技术人才培育。</w:t>
      </w:r>
      <w:r>
        <w:rPr>
          <w:rFonts w:hint="default" w:ascii="Times New Roman" w:hAnsi="Times New Roman" w:eastAsia="仿宋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对自主成功申报国务院政府特殊津贴专家，省有突出贡献的中青年专家、齐鲁文化名家等荣誉称号的，除享受上级津贴补助外，分别一次性给予10万元、5万元奖励；对新获得齐鲁文化之星、齐鲁首席技师、齐鲁乡村之星、齐鲁和谐使者、齐鲁基层名医等荣誉称号的，除享受上级津贴补助外，分别一次性给予1万元奖励。对新入选市级相应人才荣誉称号的，除享受上级津贴补助外，一次性给予5000元奖励。推进专业技术人才知识更新，对承办省级、市级高级研修项目的继续教育基地，分别给予10万元、5万元承办补贴。</w:t>
      </w:r>
      <w:r>
        <w:rPr>
          <w:rFonts w:hint="default" w:ascii="Times New Roman" w:hAnsi="Times New Roman" w:eastAsia="楷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（组织部牵头，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县委人才工作领导小组各成员单位</w:t>
      </w:r>
      <w:r>
        <w:rPr>
          <w:rFonts w:hint="default" w:ascii="Times New Roman" w:hAnsi="Times New Roman" w:eastAsia="楷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分头负责本系统所对应的人才工程，财政局配合）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2" w:firstLineChars="200"/>
        <w:jc w:val="both"/>
        <w:textAlignment w:val="auto"/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7.实施高技能人才培育行动。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对新取得特级技师、高级技师、技师职业资格（职业技能等级）的企业职工，按每人5000元、3000元、2000元的标准给予个人一次性补贴，同时根据企业新培养特级技师、高级技师、技师的人数，按每人2500元、1500元、1000元的标准给予企业补助。推动企业积极承办职业技能竞赛活动，对承办省级、市级、县级职业技能大赛的企业，分别给予最高20万元、10万元、3万元的办赛补贴。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（人社局牵头，财政局配合）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2" w:firstLineChars="200"/>
        <w:jc w:val="both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三、创新平台载体建设支持计划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2" w:firstLineChars="200"/>
        <w:jc w:val="both"/>
        <w:textAlignment w:val="auto"/>
        <w:rPr>
          <w:rFonts w:hint="default" w:ascii="Times New Roman" w:hAnsi="Times New Roman" w:cs="Times New Roman"/>
          <w:b/>
          <w:bCs/>
          <w:color w:val="auto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8.打造高端人才承载平台。</w:t>
      </w:r>
      <w:r>
        <w:rPr>
          <w:rFonts w:hint="default" w:ascii="Times New Roman" w:hAnsi="Times New Roman" w:eastAsia="仿宋" w:cs="Times New Roman"/>
          <w:b/>
          <w:bCs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对“中字头”、“国字号”大院大所，“双一流”高校在我县设立具有独立法人资格、配置核心团队实体化开展研发活动的研发机构，在享受上级政策的基础上每处给予最高100万元补助。对新认定的国家级、省级重点实验室、产业创新中心、技术创新中心、制造业创新中心参照市奖励标准分别给予300万元、100万元研发补助；对新认定的国家级工程研究中心、企业技术中心，参照市奖励标准给予200万元研发补助；对新设立的院士工作站、新获批的国家级、省级博士后科研工作站等其他科创平台，参照市奖励标准给予获批单位同等数额奖励。全职博士后出站后留梁就业创业的，按新引进人员享受政策。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（科技局、工信局、人社局、发改局分头负责所对应平台建设，财政局配合）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2" w:firstLineChars="200"/>
        <w:jc w:val="both"/>
        <w:textAlignment w:val="auto"/>
        <w:rPr>
          <w:rFonts w:hint="default" w:ascii="Times New Roman" w:hAnsi="Times New Roman" w:eastAsia="黑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9.支持企业整合人才创新资源。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eastAsia="zh-CN"/>
        </w:rPr>
        <w:t>企业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在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eastAsia="zh-CN"/>
        </w:rPr>
        <w:t>市外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人才聚集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eastAsia="zh-CN"/>
        </w:rPr>
        <w:t>地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设立研发机构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对研发机构拥有实际控制权并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eastAsia="zh-CN"/>
        </w:rPr>
        <w:t>正常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运营，且具有稳定的经费来源、研发场地、实验仪器设备和技术人员，研发成果在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eastAsia="zh-CN"/>
        </w:rPr>
        <w:t>梁山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转化落地。经认定合格的，按总投入的30%给予运营经费补助，最高补助50万元（科研成效突出的，经费补助可“一事一议”适当上浮）。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eastAsia="zh-CN"/>
        </w:rPr>
        <w:t>经认定为“人才飞地”的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企业驻外研发机构全职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eastAsia="zh-CN"/>
        </w:rPr>
        <w:t>引进硕士研究生学历及以上人员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，与我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eastAsia="zh-CN"/>
        </w:rPr>
        <w:t>县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企业或研发机构签订劳动合同，可享受与在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eastAsia="zh-CN"/>
        </w:rPr>
        <w:t>梁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工作的各类人才同等待遇。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（科技局、人社局牵头，财政局配合）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2" w:firstLineChars="200"/>
        <w:jc w:val="both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四、青年人才引进支持计划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2" w:firstLineChars="200"/>
        <w:jc w:val="both"/>
        <w:textAlignment w:val="auto"/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10.吸引梁山籍学子“梁雁归巢”。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eastAsia="zh-CN"/>
        </w:rPr>
        <w:t>鼓励梁山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籍在外学子毕业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eastAsia="zh-CN"/>
        </w:rPr>
        <w:t>返乡就业创业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，对毕业3年内首次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eastAsia="zh-CN"/>
        </w:rPr>
        <w:t>在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我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eastAsia="zh-CN"/>
        </w:rPr>
        <w:t>县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就业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eastAsia="zh-CN"/>
        </w:rPr>
        <w:t>创业且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按规定缴纳社会保险的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，在规模以上工业企业、高新技术企业、科技型中小企业连续工作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eastAsia="zh-CN"/>
        </w:rPr>
        <w:t>或自主创业满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3年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的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eastAsia="zh-CN"/>
        </w:rPr>
        <w:t>全日制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博士研究生、硕士研究生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eastAsia="zh-CN"/>
        </w:rPr>
        <w:t>，一次性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发放“学业补贴”，标准分别为10万元、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万元。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（人社局、团县委牵头，工信局、财政局配合）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2" w:firstLineChars="200"/>
        <w:jc w:val="both"/>
        <w:textAlignment w:val="auto"/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11.支持推荐毕业生来梁工作。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在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eastAsia="zh-CN"/>
        </w:rPr>
        <w:t>重点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院校设立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eastAsia="zh-CN"/>
        </w:rPr>
        <w:t>梁山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引才工作站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院校推荐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eastAsia="zh-CN"/>
        </w:rPr>
        <w:t>优秀应届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毕业生到我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eastAsia="zh-CN"/>
        </w:rPr>
        <w:t>县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规模以上工业企业、高新技术企业、科技型中小企业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eastAsia="zh-CN"/>
        </w:rPr>
        <w:t>就业，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在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eastAsia="zh-CN"/>
        </w:rPr>
        <w:t>梁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缴纳社会保险满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1年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的，按博士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eastAsia="zh-CN"/>
        </w:rPr>
        <w:t>研究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生每人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000元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硕士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eastAsia="zh-CN"/>
        </w:rPr>
        <w:t>研究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生每人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000元、本科生每人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000元的标准奖励院校。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（人社局牵头，团县委、财政局配合）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2" w:firstLineChars="200"/>
        <w:jc w:val="both"/>
        <w:textAlignment w:val="auto"/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12.鼓励校企联合育才。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对新进入我县博士后科研工作站、博士后创新实践基地开展研究的博士后人员，按照在站（基地）实际工作月数，每月给予2500元生活补贴，补贴时限最长24个月。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鼓励我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eastAsia="zh-CN"/>
        </w:rPr>
        <w:t>县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企业与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eastAsia="zh-CN"/>
        </w:rPr>
        <w:t>高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校（技工院校）开展实习合作，对到我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eastAsia="zh-CN"/>
        </w:rPr>
        <w:t>县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规模以上工业企业、高新技术企业、科技型中小企业实习3-6个月的毕业学年在校生，按博士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eastAsia="zh-CN"/>
        </w:rPr>
        <w:t>研究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生每人每月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00元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硕士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eastAsia="zh-CN"/>
        </w:rPr>
        <w:t>研究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生每人每月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2000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元、本科生每人每月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15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00元、大专生每人每月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1000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元的标准发放实习补贴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（人社局牵头，工信局、财政局配合）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2" w:firstLineChars="200"/>
        <w:jc w:val="both"/>
        <w:textAlignment w:val="auto"/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13.激励企业引才用才。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对企业新全职引进以及来梁自主创业的博士研究生、硕士研究生、全日制本科生（含全日制预备技师、技师班毕业生）和攀登企业新全职引进的全日制专科毕业生（含全日制高级工班毕业生），首次在梁就业且按规定缴纳社会保险的，3年内分别按照每人每年6万元、2.4万元、1.2万元、6000元的标准给予用人单位引才补贴（全球TOP200、国内"双一流"高校毕业和攀登企业引进的博士研究生、硕士研究生、全日制本科生延长至5年），并对博士研究生、硕士研究生人才家庭分别给予10万元、3万元奖励。对上年度新全职引进全日制博士研究生2人以上，或全日制硕士研究生及以上学历5人以上，或全日制本科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eastAsia="zh-CN"/>
        </w:rPr>
        <w:t>（含全日制预备技师、技师班毕业生）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及以上学历20人以上，或全日制专科（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eastAsia="zh-CN"/>
        </w:rPr>
        <w:t>含全日制高级工班毕业生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）及以上学历30人以上的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规模以上工业企业、高新技术企业、科技型中小企业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，给予企业3万元奖励。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鼓励企业参加政府部门或公共就业服务机构组织赴省外、市外招聘活动，分别给予每家企业每次2000元、1000元的引才补助。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（人社局牵头，工信局、财政局配合）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2" w:firstLineChars="200"/>
        <w:jc w:val="both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五、重点人才引育支持计划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2" w:firstLineChars="200"/>
        <w:jc w:val="both"/>
        <w:textAlignment w:val="auto"/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14.鼓励高层次人才来梁创业。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高校、科研院所拥有副教授（副研究员）等副高级以上职称的高层次人才，带项目、带技术，来我县新创办企业，有清晰的商业模式和产业化路径，具有良好的市场效益前景，持股比例不低于30%，且为企业第一大股东的，根据厂房、设备的实际投入情况，给予创业企业最高不超过300万元的创业资金扶持；创办企业有贷款的，一次性给予不超过贷款利息50%的贷款补助，最高50万元。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（工信局牵头，科技局、人社局、发改局、财政局配合）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2" w:firstLineChars="200"/>
        <w:jc w:val="both"/>
        <w:textAlignment w:val="auto"/>
        <w:rPr>
          <w:rFonts w:hint="default" w:ascii="Times New Roman" w:hAnsi="Times New Roman" w:eastAsia="楷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highlight w:val="none"/>
          <w:lang w:val="en-US" w:eastAsia="zh-CN"/>
        </w:rPr>
        <w:t>15.</w:t>
      </w:r>
      <w:r>
        <w:rPr>
          <w:rFonts w:hint="default" w:ascii="Times New Roman" w:hAnsi="Times New Roman" w:eastAsia="楷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积极引进海外人才。</w:t>
      </w:r>
      <w:r>
        <w:rPr>
          <w:rFonts w:hint="default" w:ascii="Times New Roman" w:hAnsi="Times New Roman" w:eastAsia="仿宋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支持企业多渠道、多形式引进各类海外人才来梁就业创业，对全职到企业工作1年以上的海外博士研究生、硕士研究生，按照每人分别给予用人单位一次性5万元、2万元补助。对在梁无就业经历，首次在梁创业的本科及以上学历海外留学人员，给予一次性2000元创业补助。对获批留学人员来鲁创业支持计划人选、省留学人员回国创业奖的，给予用人单位一次性5万元奖励。</w:t>
      </w:r>
      <w:r>
        <w:rPr>
          <w:rFonts w:hint="default" w:ascii="Times New Roman" w:hAnsi="Times New Roman" w:eastAsia="楷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（人社局牵头，科技局、行政审批局、财政局配合）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2" w:firstLineChars="200"/>
        <w:jc w:val="both"/>
        <w:textAlignment w:val="auto"/>
        <w:rPr>
          <w:rFonts w:hint="default" w:ascii="Times New Roman" w:hAnsi="Times New Roman" w:eastAsia="楷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16.探索市场化引才。</w:t>
      </w:r>
      <w:r>
        <w:rPr>
          <w:rFonts w:hint="default" w:ascii="Times New Roman" w:hAnsi="Times New Roman" w:eastAsia="仿宋" w:cs="Times New Roman"/>
          <w:b/>
          <w:bCs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面向第三方引才机构开展高层次领军人才（团队）、青年人才引进服务整体外包，约定年度目标任务，根据完成情况落实引才补贴、奖励等政策。对推荐申报入选国家级重点人才工程、省“一事一议”顶尖人才、省泰山产业领军人才工程及同等层次的，分别给予最高50万元、30万元、20万元奖励；对引进取得外国人来华工作许可证（不含延期）的外籍人才，按照每人4万元标准给予一次性奖励。对引进青年人才到我县企业就业，连续缴纳社保1年以上的，按照博士研究生1000元/人、硕士研究生500元/人、本科生200元/人、大专生100元/人的标准，给予第三方机构一次性服务补贴。对企业委托第三方引才机构引进自主申报入选国家级、省级重点人才工程的，按引才费用的50%，分别给予企业最高20万元、10万元补贴。</w:t>
      </w:r>
      <w:r>
        <w:rPr>
          <w:rFonts w:hint="default" w:ascii="Times New Roman" w:hAnsi="Times New Roman" w:eastAsia="楷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（组织部牵头，人社局、科技局、工信局、发改局具体实施，财政局配合）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2" w:firstLineChars="200"/>
        <w:jc w:val="both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六、人才服务保障计划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2" w:firstLineChars="200"/>
        <w:jc w:val="both"/>
        <w:textAlignment w:val="auto"/>
        <w:rPr>
          <w:rFonts w:hint="default" w:ascii="Times New Roman" w:hAnsi="Times New Roman" w:eastAsia="楷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17.畅通人才服务绿色通道。</w:t>
      </w:r>
      <w:r>
        <w:rPr>
          <w:rFonts w:hint="default" w:ascii="Times New Roman" w:hAnsi="Times New Roman" w:eastAsia="仿宋" w:cs="Times New Roman"/>
          <w:b/>
          <w:bCs/>
          <w:color w:val="auto"/>
          <w:spacing w:val="6"/>
          <w:kern w:val="2"/>
          <w:sz w:val="32"/>
          <w:szCs w:val="32"/>
          <w:highlight w:val="none"/>
          <w:u w:val="none"/>
          <w:lang w:val="en-US" w:eastAsia="zh-CN" w:bidi="ar-SA"/>
        </w:rPr>
        <w:t>加强高层次人才的联系服务，将高层次人才纳入县级领导联系专家名单，按每人每年2000元标准列支走访慰问经费。</w:t>
      </w:r>
      <w:r>
        <w:rPr>
          <w:rFonts w:hint="default" w:ascii="Times New Roman" w:hAnsi="Times New Roman" w:eastAsia="仿宋" w:cs="Times New Roman"/>
          <w:b/>
          <w:bCs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将受到市委市政府、县委县政府表彰的优秀企业家，纳入绿色服务通道支持范围。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为规模以上工业企业确定人才服务专员，实行“一站式”服务，点对点定期联系，帮助解决实际困难。向经认定的各领域高层次人才发放“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eastAsia="zh-CN"/>
        </w:rPr>
        <w:t>良善英才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”卡，按“高效、便利、优质”的原则，为持卡人提供全面快捷服务。</w:t>
      </w:r>
      <w:r>
        <w:rPr>
          <w:rFonts w:hint="default" w:ascii="Times New Roman" w:hAnsi="Times New Roman" w:eastAsia="楷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（组织部牵头，人社局、工信局具体实施，财政局配合）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2" w:firstLineChars="200"/>
        <w:jc w:val="both"/>
        <w:textAlignment w:val="auto"/>
        <w:rPr>
          <w:rFonts w:hint="default" w:ascii="Times New Roman" w:hAnsi="Times New Roman" w:eastAsia="楷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18.强化医疗教育保障服务。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“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eastAsia="zh-CN"/>
        </w:rPr>
        <w:t>良善英才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”卡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eastAsia="zh-CN"/>
        </w:rPr>
        <w:t>获得者每年可享受一次免费体检。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企业引进和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eastAsia="zh-CN"/>
        </w:rPr>
        <w:t>培育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的高层次人才，包括国家、省重点人才项目称号获得者及经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eastAsia="zh-CN"/>
        </w:rPr>
        <w:t>县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委人才工作领导小组办公室认定的其他高层次人才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eastAsia="zh-CN"/>
        </w:rPr>
        <w:t>需要就医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eastAsia="zh-CN"/>
        </w:rPr>
        <w:t>由卫生健康局协调，为其本人及其直系亲属提供包括就医咨询、预约国内知名医疗机构专家问诊、远程会诊等优惠服务保障，其子女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在我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eastAsia="zh-CN"/>
        </w:rPr>
        <w:t>县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公办学校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学前教育、义务教育阶段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可根据本人意愿优先安排就读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在同一学段内入学和转学均可享受优惠政策一次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在济宁市城区接受学前教育、义务教育的，按每人每年1万元标准给予子女教育补贴。</w:t>
      </w:r>
      <w:r>
        <w:rPr>
          <w:rFonts w:hint="default" w:ascii="Times New Roman" w:hAnsi="Times New Roman" w:eastAsia="楷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（人社局牵头，教体局、卫健局具体实施，财政局配合）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2" w:firstLineChars="200"/>
        <w:jc w:val="both"/>
        <w:textAlignment w:val="auto"/>
        <w:rPr>
          <w:rFonts w:hint="default" w:ascii="Times New Roman" w:hAnsi="Times New Roman" w:cs="Times New Roman"/>
          <w:b/>
          <w:bCs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19.打造企业人才工作者队伍。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鼓励企业设立人才项目申报专员，助力人才成功入选国家重点人才工程、省泰山产业领军人才工程、市大运河产业领军人才项目的，按5万元、2万元、1万元每人标准给予企业申报专员奖励；助力人才有效申报国家重点人才工程、省泰山产业领军人才工程（“创业齐鲁·共赢未来”高层次人才创业大赛）、市大运河产业领军人才工程（“赢在济宁”高层次人才创业大赛）的，按2万元、1万元、5000元每人标准给予企业申报专员奖励。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（组织部牵头，工信局、科技局、人社局、发改局具体实施，财政局配合）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2" w:firstLineChars="200"/>
        <w:jc w:val="both"/>
        <w:textAlignment w:val="auto"/>
        <w:rPr>
          <w:rFonts w:hint="default" w:ascii="Times New Roman" w:hAnsi="Times New Roman" w:eastAsia="楷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20.实施人才安居工程。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对全县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企业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全职引进及来梁自主创业的全日制博士研究生，全日制硕士研究生（技工院校高级技师）、全日制本科（技工院校预备技师、技师班）、全日制专科（技工院校高级工班）毕业生，在梁山县城区规划区内购买新建商品住房，一次性分别给予20万元（攀登企业引进提升至30万元）、10万元、5万元（攀登企业引进提升至7万元）、2万元（攀登企业引进提升至3万元）的人才补贴房票。对全县机关事业单位引进全日制博士研究生，全日制硕士研究生（技工院校高级技师）、全日制本科生（技工院校预备技师、技师班），一次性分别给予20万元、10万元、5万元的人才补贴房票。享受人才补贴房票的商品住房，在取得不动产权证书满5年后方可上市交易。</w:t>
      </w:r>
      <w:r>
        <w:rPr>
          <w:rFonts w:hint="default" w:ascii="Times New Roman" w:hAnsi="Times New Roman" w:eastAsia="楷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（住建局牵头，人社局、工信局、财政局配合）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2" w:firstLineChars="200"/>
        <w:jc w:val="both"/>
        <w:textAlignment w:val="auto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本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eastAsia="zh-CN"/>
        </w:rPr>
        <w:t>政策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由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eastAsia="zh-CN"/>
        </w:rPr>
        <w:t>县委、县政府负责解释，具体工作由县委办公室、县政府办公室商县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委人才工作领导小组办公室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eastAsia="zh-CN"/>
        </w:rPr>
        <w:t>承担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，自202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年月日起实施，根据需要适时调整。如同时符合各级多项扶持政策，按照“就高不就低”原则，不重复享受相关待遇。已享受原有政策支持的，按原政策执行，不再重复享受。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eastAsia="zh-CN"/>
        </w:rPr>
        <w:t>此前发布的有关政策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与本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eastAsia="zh-CN"/>
        </w:rPr>
        <w:t>政策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不一致的，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eastAsia="zh-CN"/>
        </w:rPr>
        <w:t>按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本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eastAsia="zh-CN"/>
        </w:rPr>
        <w:t>政策执行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pStyle w:val="3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32"/>
          <w:szCs w:val="32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pStyle w:val="18"/>
        <w:rPr>
          <w:rFonts w:hint="default" w:ascii="Times New Roman" w:hAnsi="Times New Roman" w:cs="Times New Roman"/>
          <w:color w:val="auto"/>
          <w:lang w:val="en-US" w:eastAsia="zh-CN"/>
        </w:rPr>
      </w:pPr>
    </w:p>
    <w:sectPr>
      <w:footerReference r:id="rId3" w:type="default"/>
      <w:pgSz w:w="11906" w:h="16838"/>
      <w:pgMar w:top="1587" w:right="1474" w:bottom="1417" w:left="1474" w:header="851" w:footer="147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default"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iYTZlOThmMzZlZGY4ZGVkZmE0YmQzMWE5YTlkNTcifQ=="/>
  </w:docVars>
  <w:rsids>
    <w:rsidRoot w:val="0FA7745B"/>
    <w:rsid w:val="00B15DA9"/>
    <w:rsid w:val="057B5C57"/>
    <w:rsid w:val="06426774"/>
    <w:rsid w:val="06994FD7"/>
    <w:rsid w:val="074676D6"/>
    <w:rsid w:val="0A036389"/>
    <w:rsid w:val="0FA7745B"/>
    <w:rsid w:val="124F64A1"/>
    <w:rsid w:val="1332029F"/>
    <w:rsid w:val="138A38D7"/>
    <w:rsid w:val="1521453C"/>
    <w:rsid w:val="15AA4BED"/>
    <w:rsid w:val="1E032C42"/>
    <w:rsid w:val="1FFE0BBE"/>
    <w:rsid w:val="2479115B"/>
    <w:rsid w:val="284A2313"/>
    <w:rsid w:val="28EE67DC"/>
    <w:rsid w:val="29345F99"/>
    <w:rsid w:val="2B7E100C"/>
    <w:rsid w:val="30A23EB5"/>
    <w:rsid w:val="32171FB4"/>
    <w:rsid w:val="327F7178"/>
    <w:rsid w:val="32CA473F"/>
    <w:rsid w:val="32EE540A"/>
    <w:rsid w:val="34B7187C"/>
    <w:rsid w:val="360017B5"/>
    <w:rsid w:val="38470F23"/>
    <w:rsid w:val="39247806"/>
    <w:rsid w:val="3C616C4D"/>
    <w:rsid w:val="3EAF2029"/>
    <w:rsid w:val="44803F81"/>
    <w:rsid w:val="458012DF"/>
    <w:rsid w:val="46784BF4"/>
    <w:rsid w:val="4A436D65"/>
    <w:rsid w:val="4BB220A7"/>
    <w:rsid w:val="5043693E"/>
    <w:rsid w:val="523239ED"/>
    <w:rsid w:val="52876CE8"/>
    <w:rsid w:val="52D97E5E"/>
    <w:rsid w:val="59C77C98"/>
    <w:rsid w:val="5B613E9F"/>
    <w:rsid w:val="5F107065"/>
    <w:rsid w:val="623052EC"/>
    <w:rsid w:val="64426928"/>
    <w:rsid w:val="64D61972"/>
    <w:rsid w:val="6587531A"/>
    <w:rsid w:val="662424B8"/>
    <w:rsid w:val="675C0197"/>
    <w:rsid w:val="67BE18C4"/>
    <w:rsid w:val="72424707"/>
    <w:rsid w:val="72BC1C91"/>
    <w:rsid w:val="75575F1C"/>
    <w:rsid w:val="7AD5CFC5"/>
    <w:rsid w:val="7F2F7B0F"/>
    <w:rsid w:val="7F4F724D"/>
    <w:rsid w:val="9B3FB8E9"/>
    <w:rsid w:val="BBF2918E"/>
    <w:rsid w:val="DF3E6AF4"/>
    <w:rsid w:val="DFF7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ascii="宋体" w:hAnsi="宋体"/>
      <w:kern w:val="0"/>
      <w:sz w:val="36"/>
      <w:szCs w:val="36"/>
    </w:rPr>
  </w:style>
  <w:style w:type="paragraph" w:styleId="3">
    <w:name w:val="heading 5"/>
    <w:basedOn w:val="1"/>
    <w:next w:val="1"/>
    <w:qFormat/>
    <w:uiPriority w:val="0"/>
    <w:pPr>
      <w:keepNext/>
      <w:keepLines/>
      <w:spacing w:before="280" w:after="290" w:line="372" w:lineRule="auto"/>
      <w:outlineLvl w:val="4"/>
    </w:pPr>
    <w:rPr>
      <w:rFonts w:ascii="Calibri" w:hAnsi="Calibri"/>
      <w:b/>
      <w:kern w:val="2"/>
      <w:sz w:val="28"/>
      <w:szCs w:val="22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unhideWhenUsed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Body Text First Indent 2"/>
    <w:basedOn w:val="6"/>
    <w:next w:val="7"/>
    <w:qFormat/>
    <w:uiPriority w:val="0"/>
    <w:pPr>
      <w:ind w:firstLine="420" w:firstLineChars="200"/>
    </w:pPr>
  </w:style>
  <w:style w:type="paragraph" w:styleId="6">
    <w:name w:val="Body Text Indent"/>
    <w:basedOn w:val="1"/>
    <w:next w:val="4"/>
    <w:qFormat/>
    <w:uiPriority w:val="0"/>
    <w:pPr>
      <w:ind w:firstLine="680"/>
    </w:pPr>
    <w:rPr>
      <w:rFonts w:ascii="仿宋_GB2312" w:hAnsi="创艺简标宋" w:eastAsia="仿宋_GB2312"/>
      <w:sz w:val="32"/>
      <w:szCs w:val="20"/>
    </w:rPr>
  </w:style>
  <w:style w:type="paragraph" w:styleId="7">
    <w:name w:val="Body Text First Indent"/>
    <w:basedOn w:val="8"/>
    <w:next w:val="5"/>
    <w:qFormat/>
    <w:uiPriority w:val="0"/>
    <w:pPr>
      <w:ind w:firstLine="420" w:firstLineChars="100"/>
    </w:pPr>
  </w:style>
  <w:style w:type="paragraph" w:styleId="8">
    <w:name w:val="Body Text"/>
    <w:basedOn w:val="1"/>
    <w:next w:val="1"/>
    <w:qFormat/>
    <w:uiPriority w:val="0"/>
    <w:pPr>
      <w:spacing w:after="120"/>
    </w:pPr>
  </w:style>
  <w:style w:type="paragraph" w:styleId="9">
    <w:name w:val="toc 5"/>
    <w:basedOn w:val="1"/>
    <w:next w:val="1"/>
    <w:qFormat/>
    <w:uiPriority w:val="99"/>
    <w:pPr>
      <w:ind w:left="1680" w:leftChars="800"/>
    </w:pPr>
    <w:rPr>
      <w:rFonts w:ascii="Times New Roman" w:hAnsi="Times New Roman"/>
    </w:rPr>
  </w:style>
  <w:style w:type="paragraph" w:styleId="10">
    <w:name w:val="toc 8"/>
    <w:basedOn w:val="1"/>
    <w:next w:val="1"/>
    <w:qFormat/>
    <w:uiPriority w:val="0"/>
    <w:pPr>
      <w:ind w:left="2940"/>
    </w:pPr>
    <w:rPr>
      <w:rFonts w:hint="eastAsia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6">
    <w:name w:val="Default"/>
    <w:basedOn w:val="17"/>
    <w:next w:val="10"/>
    <w:qFormat/>
    <w:uiPriority w:val="0"/>
    <w:pPr>
      <w:autoSpaceDE w:val="0"/>
      <w:autoSpaceDN w:val="0"/>
      <w:adjustRightInd w:val="0"/>
    </w:pPr>
    <w:rPr>
      <w:rFonts w:ascii="仿宋_GB2312" w:hAnsi="仿宋_GB2312" w:eastAsia="仿宋_GB2312" w:cs="仿宋_GB2312"/>
      <w:color w:val="000000"/>
      <w:sz w:val="24"/>
      <w:szCs w:val="24"/>
    </w:rPr>
  </w:style>
  <w:style w:type="paragraph" w:customStyle="1" w:styleId="17">
    <w:name w:val="正文 New"/>
    <w:next w:val="16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18">
    <w:name w:val="BodyText1I2"/>
    <w:basedOn w:val="19"/>
    <w:qFormat/>
    <w:uiPriority w:val="0"/>
    <w:pPr>
      <w:ind w:firstLine="420" w:firstLineChars="200"/>
    </w:pPr>
  </w:style>
  <w:style w:type="paragraph" w:customStyle="1" w:styleId="19">
    <w:name w:val="BodyTextIndent"/>
    <w:basedOn w:val="1"/>
    <w:qFormat/>
    <w:uiPriority w:val="0"/>
    <w:pPr>
      <w:spacing w:after="120"/>
      <w:ind w:left="420" w:leftChars="200"/>
      <w:textAlignment w:val="baseline"/>
    </w:pPr>
  </w:style>
  <w:style w:type="paragraph" w:customStyle="1" w:styleId="20">
    <w:name w:val="Heading3"/>
    <w:basedOn w:val="1"/>
    <w:next w:val="1"/>
    <w:qFormat/>
    <w:uiPriority w:val="99"/>
    <w:pPr>
      <w:keepNext/>
      <w:keepLines/>
      <w:spacing w:before="260" w:after="260" w:line="416" w:lineRule="auto"/>
      <w:textAlignment w:val="baseline"/>
    </w:pPr>
    <w:rPr>
      <w:rFonts w:ascii="Times New Roman" w:hAnsi="Times New Roman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5805</Words>
  <Characters>5987</Characters>
  <Lines>0</Lines>
  <Paragraphs>0</Paragraphs>
  <TotalTime>3</TotalTime>
  <ScaleCrop>false</ScaleCrop>
  <LinksUpToDate>false</LinksUpToDate>
  <CharactersWithSpaces>5991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2022-08-19T03:56:00Z</dcterms:created>
  <dc:creator>里加图</dc:creator>
  <cp:lastModifiedBy>user</cp:lastModifiedBy>
  <cp:lastPrinted>2023-03-01T00:18:00Z</cp:lastPrinted>
  <dcterms:modified xsi:type="dcterms:W3CDTF">2023-12-30T15:36:02Z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10E3F054CE0C4A05A04BAC9421365785</vt:lpwstr>
  </property>
</Properties>
</file>