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2024年梁山县案卷入库清单</w:t>
      </w:r>
    </w:p>
    <w:tbl>
      <w:tblPr>
        <w:tblStyle w:val="6"/>
        <w:tblW w:w="14759" w:type="dxa"/>
        <w:tblInd w:w="-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2035"/>
        <w:gridCol w:w="1416"/>
        <w:gridCol w:w="2700"/>
        <w:gridCol w:w="2077"/>
        <w:gridCol w:w="945"/>
        <w:gridCol w:w="495"/>
        <w:gridCol w:w="723"/>
        <w:gridCol w:w="1040"/>
        <w:gridCol w:w="952"/>
        <w:gridCol w:w="1276"/>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spacing w:line="280" w:lineRule="exact"/>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序号</w:t>
            </w:r>
          </w:p>
        </w:tc>
        <w:tc>
          <w:tcPr>
            <w:tcW w:w="2035" w:type="dxa"/>
            <w:vAlign w:val="center"/>
          </w:tcPr>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入档号</w:t>
            </w:r>
          </w:p>
        </w:tc>
        <w:tc>
          <w:tcPr>
            <w:tcW w:w="1416" w:type="dxa"/>
            <w:vAlign w:val="center"/>
          </w:tcPr>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案卷号/处罚决定书号</w:t>
            </w:r>
          </w:p>
        </w:tc>
        <w:tc>
          <w:tcPr>
            <w:tcW w:w="2700" w:type="dxa"/>
            <w:vAlign w:val="center"/>
          </w:tcPr>
          <w:p>
            <w:pPr>
              <w:widowControl/>
              <w:spacing w:line="280" w:lineRule="exact"/>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案件名称（全称）</w:t>
            </w:r>
          </w:p>
        </w:tc>
        <w:tc>
          <w:tcPr>
            <w:tcW w:w="2077" w:type="dxa"/>
            <w:vAlign w:val="center"/>
          </w:tcPr>
          <w:p>
            <w:pPr>
              <w:widowControl/>
              <w:spacing w:line="280" w:lineRule="exact"/>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处罚决定内容</w:t>
            </w:r>
          </w:p>
        </w:tc>
        <w:tc>
          <w:tcPr>
            <w:tcW w:w="945" w:type="dxa"/>
            <w:vAlign w:val="center"/>
          </w:tcPr>
          <w:p>
            <w:pPr>
              <w:widowControl/>
              <w:spacing w:line="280" w:lineRule="exact"/>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办案单位</w:t>
            </w:r>
          </w:p>
        </w:tc>
        <w:tc>
          <w:tcPr>
            <w:tcW w:w="495" w:type="dxa"/>
            <w:vAlign w:val="center"/>
          </w:tcPr>
          <w:p>
            <w:pPr>
              <w:widowControl/>
              <w:spacing w:line="280" w:lineRule="exact"/>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案件程序</w:t>
            </w:r>
          </w:p>
        </w:tc>
        <w:tc>
          <w:tcPr>
            <w:tcW w:w="723" w:type="dxa"/>
            <w:vAlign w:val="center"/>
          </w:tcPr>
          <w:p>
            <w:pPr>
              <w:widowControl/>
              <w:spacing w:line="280" w:lineRule="exact"/>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案件类型</w:t>
            </w:r>
          </w:p>
        </w:tc>
        <w:tc>
          <w:tcPr>
            <w:tcW w:w="1040" w:type="dxa"/>
            <w:vAlign w:val="center"/>
          </w:tcPr>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入库</w:t>
            </w:r>
          </w:p>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人员</w:t>
            </w:r>
          </w:p>
        </w:tc>
        <w:tc>
          <w:tcPr>
            <w:tcW w:w="952" w:type="dxa"/>
            <w:vAlign w:val="center"/>
          </w:tcPr>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档案人员</w:t>
            </w:r>
          </w:p>
        </w:tc>
        <w:tc>
          <w:tcPr>
            <w:tcW w:w="1276" w:type="dxa"/>
            <w:vAlign w:val="center"/>
          </w:tcPr>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入库时间</w:t>
            </w:r>
          </w:p>
        </w:tc>
        <w:tc>
          <w:tcPr>
            <w:tcW w:w="547" w:type="dxa"/>
            <w:vAlign w:val="center"/>
          </w:tcPr>
          <w:p>
            <w:pPr>
              <w:widowControl/>
              <w:spacing w:line="280" w:lineRule="exact"/>
              <w:jc w:val="center"/>
              <w:textAlignment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53" w:type="dxa"/>
            <w:vAlign w:val="center"/>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2035"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第001号</w:t>
            </w:r>
          </w:p>
        </w:tc>
        <w:tc>
          <w:tcPr>
            <w:tcW w:w="2700" w:type="dxa"/>
            <w:vAlign w:val="center"/>
          </w:tcPr>
          <w:p>
            <w:pPr>
              <w:widowControl/>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山东华梁天鸿汽车制造有限公司</w:t>
            </w:r>
          </w:p>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未经考古调查、勘探，擅自进行占地二万平方米以上的大型基本建设工程</w:t>
            </w:r>
          </w:p>
        </w:tc>
        <w:tc>
          <w:tcPr>
            <w:tcW w:w="2077" w:type="dxa"/>
            <w:vAlign w:val="center"/>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罚款人民币伍万元（50000.00）</w:t>
            </w:r>
          </w:p>
        </w:tc>
        <w:tc>
          <w:tcPr>
            <w:tcW w:w="945" w:type="dxa"/>
            <w:vAlign w:val="center"/>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梁山县文化和旅游局</w:t>
            </w:r>
          </w:p>
        </w:tc>
        <w:tc>
          <w:tcPr>
            <w:tcW w:w="495" w:type="dxa"/>
            <w:vAlign w:val="center"/>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一般程序</w:t>
            </w:r>
          </w:p>
        </w:tc>
        <w:tc>
          <w:tcPr>
            <w:tcW w:w="723"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文物</w:t>
            </w:r>
          </w:p>
        </w:tc>
        <w:tc>
          <w:tcPr>
            <w:tcW w:w="1040"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20240320</w:t>
            </w:r>
          </w:p>
        </w:tc>
        <w:tc>
          <w:tcPr>
            <w:tcW w:w="547"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第002号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梁山绿洲文教用品有限公司</w:t>
            </w:r>
            <w:r>
              <w:rPr>
                <w:rFonts w:hint="eastAsia" w:ascii="仿宋" w:hAnsi="仿宋" w:eastAsia="仿宋" w:cs="仿宋_GB2312"/>
                <w:color w:val="000000" w:themeColor="text1"/>
                <w:sz w:val="24"/>
                <w14:textFill>
                  <w14:solidFill>
                    <w14:schemeClr w14:val="tx1"/>
                  </w14:solidFill>
                </w14:textFill>
              </w:rPr>
              <w:t>未能提供近两年的出版物发行进销货清单</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1、警告；2、处罚款1000元。</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发行</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20240309</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2035" w:type="dxa"/>
            <w:vAlign w:val="center"/>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p>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ascii="仿宋" w:hAnsi="仿宋" w:eastAsia="仿宋" w:cs="仿宋"/>
                <w:bCs/>
                <w:color w:val="000000" w:themeColor="text1"/>
                <w:kern w:val="0"/>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第003号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梁山爱好文具店未经批准，擅自从事出版物发行业务</w:t>
            </w:r>
          </w:p>
        </w:tc>
        <w:tc>
          <w:tcPr>
            <w:tcW w:w="2077"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没收出版物，并处罚款</w:t>
            </w:r>
            <w:bookmarkStart w:id="0" w:name="_GoBack"/>
            <w:bookmarkEnd w:id="0"/>
            <w:r>
              <w:rPr>
                <w:rFonts w:hint="eastAsia" w:ascii="仿宋" w:hAnsi="仿宋" w:eastAsia="仿宋" w:cs="仿宋_GB2312"/>
                <w:color w:val="000000" w:themeColor="text1"/>
                <w:sz w:val="24"/>
                <w14:textFill>
                  <w14:solidFill>
                    <w14:schemeClr w14:val="tx1"/>
                  </w14:solidFill>
                </w14:textFill>
              </w:rPr>
              <w:t>一千元</w:t>
            </w:r>
          </w:p>
        </w:tc>
        <w:tc>
          <w:tcPr>
            <w:tcW w:w="945"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一般程序</w:t>
            </w:r>
          </w:p>
        </w:tc>
        <w:tc>
          <w:tcPr>
            <w:tcW w:w="723"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发行</w:t>
            </w:r>
          </w:p>
        </w:tc>
        <w:tc>
          <w:tcPr>
            <w:tcW w:w="1040"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20240405</w:t>
            </w:r>
          </w:p>
        </w:tc>
        <w:tc>
          <w:tcPr>
            <w:tcW w:w="547" w:type="dxa"/>
            <w:vAlign w:val="center"/>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第004号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bCs/>
                <w:color w:val="000000" w:themeColor="text1"/>
                <w:kern w:val="0"/>
                <w:sz w:val="24"/>
                <w14:textFill>
                  <w14:solidFill>
                    <w14:schemeClr w14:val="tx1"/>
                  </w14:solidFill>
                </w14:textFill>
              </w:rPr>
              <w:t>梁山鑫祥印刷包装有限公司未经批准擅自从事出版物印刷经营活动</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没收非法出版物，没收非法所得3010元并罚款20000元</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印刷</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20240405</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第005号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梁山鑫达印刷包装有限公司接受个人的委托印刷图书</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没收非法出版物，罚款一万元。</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印刷</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20240402</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第006号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同创化学（山东）有限公司未经考古调查、勘探，擅自进行占地二万平方米以上的大型基本建设工程</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处罚款人民币伍万元整</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文物</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20240410</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第007号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梁山星友会娱乐中心擅自从事娱乐场所经营活动</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责令关闭，没收违法所得贰仟元</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20240415</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第08号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梁山拾光读书馆未能提供近两年的出版物发行进销货清单</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1、警告；2、处罚款1000元</w:t>
            </w:r>
            <w:r>
              <w:rPr>
                <w:rFonts w:hint="eastAsia" w:ascii="仿宋" w:hAnsi="仿宋" w:eastAsia="仿宋" w:cs="仿宋"/>
                <w:color w:val="000000" w:themeColor="text1"/>
                <w:sz w:val="24"/>
                <w14:textFill>
                  <w14:solidFill>
                    <w14:schemeClr w14:val="tx1"/>
                  </w14:solidFill>
                </w14:textFill>
              </w:rPr>
              <w:t>。</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发行</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20240526</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第09号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梁山县万佳网络王中王网吧加盟店</w:t>
            </w:r>
            <w:r>
              <w:rPr>
                <w:rFonts w:hint="eastAsia" w:ascii="仿宋_GB2312" w:hAnsi="仿宋_GB2312" w:eastAsia="仿宋_GB2312" w:cs="仿宋_GB2312"/>
                <w:color w:val="000000" w:themeColor="text1"/>
                <w:sz w:val="24"/>
                <w14:textFill>
                  <w14:solidFill>
                    <w14:schemeClr w14:val="tx1"/>
                  </w14:solidFill>
                </w14:textFill>
              </w:rPr>
              <w:t>接纳未成年人进入营业场所</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责令限期改正并给予1、警告 2、没收违法所得二十元 3、责令停业整顿30日</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202400722</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第10号</w:t>
            </w:r>
          </w:p>
        </w:tc>
        <w:tc>
          <w:tcPr>
            <w:tcW w:w="270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梁山万佳网络速腾加盟店</w:t>
            </w:r>
            <w:r>
              <w:rPr>
                <w:rFonts w:hint="eastAsia" w:ascii="仿宋_GB2312" w:hAnsi="仿宋_GB2312" w:eastAsia="仿宋_GB2312" w:cs="仿宋_GB2312"/>
                <w:color w:val="000000" w:themeColor="text1"/>
                <w:sz w:val="24"/>
                <w14:textFill>
                  <w14:solidFill>
                    <w14:schemeClr w14:val="tx1"/>
                  </w14:solidFill>
                </w14:textFill>
              </w:rPr>
              <w:t>允许未成年人进入</w:t>
            </w:r>
          </w:p>
        </w:tc>
        <w:tc>
          <w:tcPr>
            <w:tcW w:w="207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责令改正并给予1、警告 2、没收违法所得十元 3、罚款五千元的行政处罚</w:t>
            </w:r>
          </w:p>
        </w:tc>
        <w:tc>
          <w:tcPr>
            <w:tcW w:w="94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20240805</w:t>
            </w:r>
          </w:p>
        </w:tc>
        <w:tc>
          <w:tcPr>
            <w:tcW w:w="54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53"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11</w:t>
            </w:r>
          </w:p>
        </w:tc>
        <w:tc>
          <w:tcPr>
            <w:tcW w:w="2035" w:type="dxa"/>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2024001-2024013</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第011号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济宁七彩国际旅行社有限公司梁山分公司未在全国旅游监管服务平台填报包价旅游合同有关信息</w:t>
            </w:r>
          </w:p>
        </w:tc>
        <w:tc>
          <w:tcPr>
            <w:tcW w:w="2077"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警告</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旅行社</w:t>
            </w:r>
          </w:p>
        </w:tc>
        <w:tc>
          <w:tcPr>
            <w:tcW w:w="1040"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20240812</w:t>
            </w:r>
          </w:p>
        </w:tc>
        <w:tc>
          <w:tcPr>
            <w:tcW w:w="547"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2024001-2024013</w:t>
            </w:r>
          </w:p>
        </w:tc>
        <w:tc>
          <w:tcPr>
            <w:tcW w:w="1416" w:type="dxa"/>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第012号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个人发行非法出版物</w:t>
            </w:r>
          </w:p>
        </w:tc>
        <w:tc>
          <w:tcPr>
            <w:tcW w:w="2077" w:type="dxa"/>
          </w:tcPr>
          <w:p>
            <w:pPr>
              <w:widowControl/>
              <w:spacing w:line="28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移送公安机关处理</w:t>
            </w:r>
          </w:p>
        </w:tc>
        <w:tc>
          <w:tcPr>
            <w:tcW w:w="945"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spacing w:line="280" w:lineRule="exact"/>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发行</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20240815</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13</w:t>
            </w:r>
          </w:p>
        </w:tc>
        <w:tc>
          <w:tcPr>
            <w:tcW w:w="2035" w:type="dxa"/>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ascii="仿宋" w:hAnsi="仿宋" w:eastAsia="仿宋" w:cs="仿宋"/>
                <w:bCs/>
                <w:color w:val="000000" w:themeColor="text1"/>
                <w:kern w:val="0"/>
                <w:sz w:val="24"/>
                <w14:textFill>
                  <w14:solidFill>
                    <w14:schemeClr w14:val="tx1"/>
                  </w14:solidFill>
                </w14:textFill>
              </w:rPr>
              <w:t>2024001-2024013</w:t>
            </w:r>
          </w:p>
          <w:p>
            <w:pPr>
              <w:widowControl/>
              <w:jc w:val="center"/>
              <w:textAlignment w:val="center"/>
              <w:rPr>
                <w:rFonts w:ascii="仿宋" w:hAnsi="仿宋" w:eastAsia="仿宋" w:cs="仿宋"/>
                <w:bCs/>
                <w:color w:val="000000" w:themeColor="text1"/>
                <w:kern w:val="0"/>
                <w:sz w:val="24"/>
                <w14:textFill>
                  <w14:solidFill>
                    <w14:schemeClr w14:val="tx1"/>
                  </w14:solidFill>
                </w14:textFill>
              </w:rPr>
            </w:pP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第013号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梁山九号娱乐有限公司擅自从事娱乐场所经营活动</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责令关闭，并没收违法所得贰万零五佰三十五（20535.00）元整</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一般程序</w:t>
            </w:r>
          </w:p>
        </w:tc>
        <w:tc>
          <w:tcPr>
            <w:tcW w:w="72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20240823</w:t>
            </w:r>
          </w:p>
        </w:tc>
        <w:tc>
          <w:tcPr>
            <w:tcW w:w="547"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第014号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山东井老师甄选母婴有限公司</w:t>
            </w:r>
            <w:r>
              <w:rPr>
                <w:rFonts w:hint="eastAsia" w:ascii="仿宋" w:hAnsi="仿宋" w:eastAsia="仿宋" w:cs="仿宋_GB2312"/>
                <w:color w:val="000000" w:themeColor="text1"/>
                <w:sz w:val="24"/>
                <w:lang w:eastAsia="zh-CN"/>
                <w14:textFill>
                  <w14:solidFill>
                    <w14:schemeClr w14:val="tx1"/>
                  </w14:solidFill>
                </w14:textFill>
              </w:rPr>
              <w:t>未依照规定办理变更审批手续</w:t>
            </w:r>
          </w:p>
        </w:tc>
        <w:tc>
          <w:tcPr>
            <w:tcW w:w="2077"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警告</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零售</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20240904</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第1</w:t>
            </w: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骆冉擅自从事互联网上网服务经营活动</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1、责令关闭2、没收违法所得4163元整3、处罚款10000元整4、没收其从事违法经营活动的网吧主服务器、光纤收发器、吧台收费主机各一台</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20240830</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w:t>
            </w: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第01</w:t>
            </w:r>
            <w:r>
              <w:rPr>
                <w:rFonts w:hint="eastAsia" w:ascii="仿宋" w:hAnsi="仿宋" w:eastAsia="仿宋" w:cs="仿宋_GB2312"/>
                <w:color w:val="000000" w:themeColor="text1"/>
                <w:sz w:val="24"/>
                <w:lang w:val="en-US" w:eastAsia="zh-CN"/>
                <w14:textFill>
                  <w14:solidFill>
                    <w14:schemeClr w14:val="tx1"/>
                  </w14:solidFill>
                </w14:textFill>
              </w:rPr>
              <w:t>6</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刘继淼</w:t>
            </w:r>
            <w:r>
              <w:rPr>
                <w:rFonts w:hint="eastAsia" w:ascii="仿宋_GB2312" w:hAnsi="宋体" w:eastAsia="仿宋_GB2312"/>
                <w:color w:val="000000" w:themeColor="text1"/>
                <w:sz w:val="24"/>
                <w:lang w:eastAsia="zh-CN"/>
                <w14:textFill>
                  <w14:solidFill>
                    <w14:schemeClr w14:val="tx1"/>
                  </w14:solidFill>
                </w14:textFill>
              </w:rPr>
              <w:t>未经著作权人许可，擅自发行其作品</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1、警告；2、没收侵权出版物460本；3、罚款叁万伍仟元（35000.00元）。</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发行</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20240901</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第01</w:t>
            </w:r>
            <w:r>
              <w:rPr>
                <w:rFonts w:hint="eastAsia" w:ascii="仿宋" w:hAnsi="仿宋" w:eastAsia="仿宋" w:cs="仿宋_GB2312"/>
                <w:color w:val="000000" w:themeColor="text1"/>
                <w:sz w:val="24"/>
                <w:lang w:val="en-US" w:eastAsia="zh-CN"/>
                <w14:textFill>
                  <w14:solidFill>
                    <w14:schemeClr w14:val="tx1"/>
                  </w14:solidFill>
                </w14:textFill>
              </w:rPr>
              <w:t>7</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kern w:val="0"/>
                <w:sz w:val="24"/>
                <w:lang w:eastAsia="zh-CN"/>
                <w14:textFill>
                  <w14:solidFill>
                    <w14:schemeClr w14:val="tx1"/>
                  </w14:solidFill>
                </w14:textFill>
              </w:rPr>
              <w:t>戚元虎</w:t>
            </w:r>
            <w:r>
              <w:rPr>
                <w:rFonts w:hint="eastAsia" w:ascii="仿宋" w:hAnsi="仿宋" w:eastAsia="仿宋" w:cs="仿宋"/>
                <w:color w:val="000000" w:themeColor="text1"/>
                <w:sz w:val="24"/>
                <w14:textFill>
                  <w14:solidFill>
                    <w14:schemeClr w14:val="tx1"/>
                  </w14:solidFill>
                </w14:textFill>
              </w:rPr>
              <w:t>未经批准擅自从事出版物印刷经营活动</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：1、警告；2、没收涉案侵权复制品《智慧学习》共计31册；3、没收违法所得共计45元；4、处罚款1000元。</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印刷</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20241024</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w:t>
            </w:r>
            <w:r>
              <w:rPr>
                <w:rFonts w:hint="eastAsia" w:ascii="仿宋" w:hAnsi="仿宋" w:eastAsia="仿宋" w:cs="仿宋_GB2312"/>
                <w:color w:val="000000" w:themeColor="text1"/>
                <w:sz w:val="24"/>
                <w:lang w:val="en-US" w:eastAsia="zh-CN"/>
                <w14:textFill>
                  <w14:solidFill>
                    <w14:schemeClr w14:val="tx1"/>
                  </w14:solidFill>
                </w14:textFill>
              </w:rPr>
              <w:t>19</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楚雄开发区别辉图书店（柳艳）</w:t>
            </w:r>
            <w:r>
              <w:rPr>
                <w:rFonts w:hint="eastAsia" w:ascii="仿宋_GB2312" w:hAnsi="仿宋_GB2312" w:eastAsia="仿宋_GB2312" w:cs="仿宋_GB2312"/>
                <w:color w:val="000000" w:themeColor="text1"/>
                <w:sz w:val="24"/>
                <w14:textFill>
                  <w14:solidFill>
                    <w14:schemeClr w14:val="tx1"/>
                  </w14:solidFill>
                </w14:textFill>
              </w:rPr>
              <w:t>发行非法出版物</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1、没收非法出版物45册；2、没收违法所得720元；3、行政罚款人民币壹仟元整。</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零售</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202411</w:t>
            </w:r>
            <w:r>
              <w:rPr>
                <w:rFonts w:hint="eastAsia" w:ascii="仿宋" w:hAnsi="仿宋" w:eastAsia="仿宋" w:cs="仿宋"/>
                <w:color w:val="000000" w:themeColor="text1"/>
                <w:sz w:val="24"/>
                <w14:textFill>
                  <w14:solidFill>
                    <w14:schemeClr w14:val="tx1"/>
                  </w14:solidFill>
                </w14:textFill>
              </w:rPr>
              <w:t>18</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w:t>
            </w:r>
            <w:r>
              <w:rPr>
                <w:rFonts w:hint="eastAsia" w:ascii="仿宋" w:hAnsi="仿宋" w:eastAsia="仿宋" w:cs="仿宋_GB2312"/>
                <w:color w:val="000000" w:themeColor="text1"/>
                <w:sz w:val="24"/>
                <w:lang w:val="en-US" w:eastAsia="zh-CN"/>
                <w14:textFill>
                  <w14:solidFill>
                    <w14:schemeClr w14:val="tx1"/>
                  </w14:solidFill>
                </w14:textFill>
              </w:rPr>
              <w:t>20</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王志文</w:t>
            </w:r>
            <w:r>
              <w:rPr>
                <w:rFonts w:hint="eastAsia" w:ascii="仿宋_GB2312" w:hAnsi="仿宋_GB2312" w:eastAsia="仿宋_GB2312" w:cs="仿宋_GB2312"/>
                <w:color w:val="000000" w:themeColor="text1"/>
                <w:sz w:val="24"/>
                <w14:textFill>
                  <w14:solidFill>
                    <w14:schemeClr w14:val="tx1"/>
                  </w14:solidFill>
                </w14:textFill>
              </w:rPr>
              <w:t>发行侵犯他人著作权的出版物</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1、警告；2、没收非法出版物10册；2、没收违法所得336元；3、行政罚款人民币壹仟元整。</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版权</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20241117</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53"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21</w:t>
            </w:r>
          </w:p>
        </w:tc>
        <w:tc>
          <w:tcPr>
            <w:tcW w:w="2035" w:type="dxa"/>
          </w:tcPr>
          <w:p>
            <w:pPr>
              <w:widowControl/>
              <w:jc w:val="center"/>
              <w:textAlignment w:val="center"/>
              <w:rPr>
                <w:rFonts w:ascii="仿宋" w:hAnsi="仿宋" w:eastAsia="仿宋" w:cs="仿宋"/>
                <w:bCs/>
                <w:color w:val="000000" w:themeColor="text1"/>
                <w:sz w:val="24"/>
                <w14:textFill>
                  <w14:solidFill>
                    <w14:schemeClr w14:val="tx1"/>
                  </w14:solidFill>
                </w14:textFill>
              </w:rPr>
            </w:pPr>
            <w:r>
              <w:rPr>
                <w:rFonts w:ascii="仿宋" w:hAnsi="仿宋" w:eastAsia="仿宋" w:cs="仿宋"/>
                <w:bCs/>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第02</w:t>
            </w:r>
            <w:r>
              <w:rPr>
                <w:rFonts w:hint="eastAsia" w:ascii="仿宋" w:hAnsi="仿宋" w:eastAsia="仿宋" w:cs="仿宋_GB2312"/>
                <w:color w:val="000000" w:themeColor="text1"/>
                <w:sz w:val="24"/>
                <w:lang w:val="en-US" w:eastAsia="zh-CN"/>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77"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c>
          <w:tcPr>
            <w:tcW w:w="945"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一般程序</w:t>
            </w:r>
          </w:p>
        </w:tc>
        <w:tc>
          <w:tcPr>
            <w:tcW w:w="723"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20241118</w:t>
            </w:r>
          </w:p>
        </w:tc>
        <w:tc>
          <w:tcPr>
            <w:tcW w:w="547"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w:t>
            </w: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第02</w:t>
            </w:r>
            <w:r>
              <w:rPr>
                <w:rFonts w:hint="eastAsia" w:ascii="仿宋" w:hAnsi="仿宋" w:eastAsia="仿宋" w:cs="仿宋_GB2312"/>
                <w:color w:val="000000" w:themeColor="text1"/>
                <w:sz w:val="24"/>
                <w:lang w:val="en-US" w:eastAsia="zh-CN"/>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kern w:val="0"/>
                <w:sz w:val="24"/>
                <w14:textFill>
                  <w14:solidFill>
                    <w14:schemeClr w14:val="tx1"/>
                  </w14:solidFill>
                </w14:textFill>
              </w:rPr>
              <w:t>梁山县任桐商贸有限公司</w:t>
            </w:r>
            <w:r>
              <w:rPr>
                <w:rFonts w:hint="eastAsia" w:ascii="仿宋_GB2312" w:hAnsi="仿宋_GB2312" w:eastAsia="仿宋_GB2312" w:cs="仿宋_GB2312"/>
                <w:color w:val="000000" w:themeColor="text1"/>
                <w:sz w:val="24"/>
                <w14:textFill>
                  <w14:solidFill>
                    <w14:schemeClr w14:val="tx1"/>
                  </w14:solidFill>
                </w14:textFill>
              </w:rPr>
              <w:t>发行侵犯他人著作权的出版物</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1、警告；2、没收侵权盗版出版物217册；2、没收违法所得712元；3、行政罚款人民币叁仟元整。</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印刷</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20241129</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23</w:t>
            </w:r>
          </w:p>
        </w:tc>
        <w:tc>
          <w:tcPr>
            <w:tcW w:w="2035" w:type="dxa"/>
          </w:tcPr>
          <w:p>
            <w:pPr>
              <w:widowControl/>
              <w:jc w:val="center"/>
              <w:textAlignment w:val="center"/>
              <w:rPr>
                <w:rFonts w:ascii="仿宋" w:hAnsi="仿宋" w:eastAsia="仿宋" w:cs="仿宋"/>
                <w:bCs/>
                <w:color w:val="000000" w:themeColor="text1"/>
                <w:kern w:val="0"/>
                <w:sz w:val="24"/>
                <w14:textFill>
                  <w14:solidFill>
                    <w14:schemeClr w14:val="tx1"/>
                  </w14:solidFill>
                </w14:textFill>
              </w:rPr>
            </w:pPr>
            <w:r>
              <w:rPr>
                <w:rFonts w:ascii="仿宋" w:hAnsi="仿宋" w:eastAsia="仿宋" w:cs="仿宋"/>
                <w:bCs/>
                <w:color w:val="000000" w:themeColor="text1"/>
                <w:kern w:val="0"/>
                <w:sz w:val="24"/>
                <w14:textFill>
                  <w14:solidFill>
                    <w14:schemeClr w14:val="tx1"/>
                  </w14:solidFill>
                </w14:textFill>
              </w:rPr>
              <w:t>2024014-2024027</w:t>
            </w:r>
          </w:p>
          <w:p>
            <w:pPr>
              <w:widowControl/>
              <w:jc w:val="center"/>
              <w:textAlignment w:val="center"/>
              <w:rPr>
                <w:rFonts w:ascii="仿宋" w:hAnsi="仿宋" w:eastAsia="仿宋" w:cs="仿宋"/>
                <w:bCs/>
                <w:color w:val="000000" w:themeColor="text1"/>
                <w:kern w:val="0"/>
                <w:sz w:val="24"/>
                <w14:textFill>
                  <w14:solidFill>
                    <w14:schemeClr w14:val="tx1"/>
                  </w14:solidFill>
                </w14:textFill>
              </w:rPr>
            </w:pP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第02</w:t>
            </w:r>
            <w:r>
              <w:rPr>
                <w:rFonts w:hint="eastAsia" w:ascii="仿宋" w:hAnsi="仿宋" w:eastAsia="仿宋" w:cs="仿宋_GB2312"/>
                <w:color w:val="000000" w:themeColor="text1"/>
                <w:sz w:val="24"/>
                <w:lang w:val="en-US" w:eastAsia="zh-CN"/>
                <w14:textFill>
                  <w14:solidFill>
                    <w14:schemeClr w14:val="tx1"/>
                  </w14:solidFill>
                </w14:textFill>
              </w:rPr>
              <w:t>3</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梁山夜潮娱乐城(张振滨）擅自从事娱乐场所经营活动</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责令关闭，没收违法所得23180元整</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spacing w:line="280" w:lineRule="exact"/>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文化</w:t>
            </w:r>
          </w:p>
        </w:tc>
        <w:tc>
          <w:tcPr>
            <w:tcW w:w="1040"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20241025</w:t>
            </w:r>
          </w:p>
        </w:tc>
        <w:tc>
          <w:tcPr>
            <w:tcW w:w="547" w:type="dxa"/>
          </w:tcPr>
          <w:p>
            <w:pPr>
              <w:widowControl/>
              <w:spacing w:line="280" w:lineRule="exact"/>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第02</w:t>
            </w:r>
            <w:r>
              <w:rPr>
                <w:rFonts w:hint="eastAsia" w:ascii="仿宋" w:hAnsi="仿宋" w:eastAsia="仿宋" w:cs="仿宋_GB2312"/>
                <w:color w:val="000000" w:themeColor="text1"/>
                <w:sz w:val="24"/>
                <w:lang w:val="en-US" w:eastAsia="zh-CN"/>
                <w14:textFill>
                  <w14:solidFill>
                    <w14:schemeClr w14:val="tx1"/>
                  </w14:solidFill>
                </w14:textFill>
              </w:rPr>
              <w:t>4</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梁山县现代网吧</w:t>
            </w:r>
            <w:r>
              <w:rPr>
                <w:rFonts w:hint="eastAsia" w:ascii="仿宋" w:hAnsi="仿宋" w:eastAsia="仿宋" w:cs="仿宋_GB2312"/>
                <w:color w:val="000000" w:themeColor="text1"/>
                <w:sz w:val="24"/>
                <w14:textFill>
                  <w14:solidFill>
                    <w14:schemeClr w14:val="tx1"/>
                  </w14:solidFill>
                </w14:textFill>
              </w:rPr>
              <w:t>经营单位经营非网络游戏</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20241206</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第02</w:t>
            </w: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梁山县万佳网络七彩雨加盟店</w:t>
            </w:r>
            <w:r>
              <w:rPr>
                <w:rFonts w:hint="eastAsia" w:ascii="仿宋" w:hAnsi="仿宋" w:eastAsia="仿宋" w:cs="仿宋_GB2312"/>
                <w:color w:val="000000" w:themeColor="text1"/>
                <w:sz w:val="24"/>
                <w14:textFill>
                  <w14:solidFill>
                    <w14:schemeClr w14:val="tx1"/>
                  </w14:solidFill>
                </w14:textFill>
              </w:rPr>
              <w:t>经营单位经营非网络游戏</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文化</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20241206</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w:t>
            </w:r>
          </w:p>
          <w:p>
            <w:pPr>
              <w:widowControl/>
              <w:jc w:val="center"/>
              <w:textAlignment w:val="center"/>
              <w:rPr>
                <w:rFonts w:ascii="仿宋" w:hAnsi="仿宋" w:eastAsia="仿宋" w:cs="仿宋"/>
                <w:color w:val="000000" w:themeColor="text1"/>
                <w:sz w:val="24"/>
                <w14:textFill>
                  <w14:solidFill>
                    <w14:schemeClr w14:val="tx1"/>
                  </w14:solidFill>
                </w14:textFill>
              </w:rPr>
            </w:pPr>
          </w:p>
        </w:tc>
        <w:tc>
          <w:tcPr>
            <w:tcW w:w="203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2024014-2024027</w:t>
            </w:r>
          </w:p>
        </w:tc>
        <w:tc>
          <w:tcPr>
            <w:tcW w:w="141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（梁）文综罚字</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2024</w:t>
            </w:r>
            <w:r>
              <w:rPr>
                <w:rFonts w:hint="eastAsia" w:ascii="仿宋" w:hAnsi="仿宋" w:eastAsia="仿宋"/>
                <w:bCs/>
                <w:color w:val="000000" w:themeColor="text1"/>
                <w:kern w:val="0"/>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第02</w:t>
            </w:r>
            <w:r>
              <w:rPr>
                <w:rFonts w:hint="eastAsia" w:ascii="仿宋" w:hAnsi="仿宋" w:eastAsia="仿宋" w:cs="仿宋_GB2312"/>
                <w:color w:val="000000" w:themeColor="text1"/>
                <w:sz w:val="24"/>
                <w:lang w:val="en-US" w:eastAsia="zh-CN"/>
                <w14:textFill>
                  <w14:solidFill>
                    <w14:schemeClr w14:val="tx1"/>
                  </w14:solidFill>
                </w14:textFill>
              </w:rPr>
              <w:t>6</w:t>
            </w:r>
            <w:r>
              <w:rPr>
                <w:rFonts w:hint="eastAsia" w:ascii="仿宋" w:hAnsi="仿宋" w:eastAsia="仿宋" w:cs="仿宋_GB2312"/>
                <w:color w:val="000000" w:themeColor="text1"/>
                <w:sz w:val="24"/>
                <w14:textFill>
                  <w14:solidFill>
                    <w14:schemeClr w14:val="tx1"/>
                  </w14:solidFill>
                </w14:textFill>
              </w:rPr>
              <w:t>号</w:t>
            </w:r>
          </w:p>
        </w:tc>
        <w:tc>
          <w:tcPr>
            <w:tcW w:w="270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梁山县万佳网络雨宁溪网吧经营单位经营非网络游戏</w:t>
            </w:r>
          </w:p>
        </w:tc>
        <w:tc>
          <w:tcPr>
            <w:tcW w:w="2077"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警告</w:t>
            </w:r>
          </w:p>
        </w:tc>
        <w:tc>
          <w:tcPr>
            <w:tcW w:w="94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梁山县文化和旅游局</w:t>
            </w:r>
          </w:p>
        </w:tc>
        <w:tc>
          <w:tcPr>
            <w:tcW w:w="495"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一般程序</w:t>
            </w:r>
          </w:p>
        </w:tc>
        <w:tc>
          <w:tcPr>
            <w:tcW w:w="723" w:type="dxa"/>
          </w:tcPr>
          <w:p>
            <w:pPr>
              <w:widowControl/>
              <w:jc w:val="center"/>
              <w:textAlignment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文化</w:t>
            </w:r>
          </w:p>
        </w:tc>
        <w:tc>
          <w:tcPr>
            <w:tcW w:w="1040"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952"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刘春红</w:t>
            </w:r>
          </w:p>
        </w:tc>
        <w:tc>
          <w:tcPr>
            <w:tcW w:w="1276" w:type="dxa"/>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20241129</w:t>
            </w:r>
          </w:p>
        </w:tc>
        <w:tc>
          <w:tcPr>
            <w:tcW w:w="547" w:type="dxa"/>
          </w:tcPr>
          <w:p>
            <w:pPr>
              <w:widowControl/>
              <w:jc w:val="center"/>
              <w:textAlignment w:val="center"/>
              <w:rPr>
                <w:rFonts w:ascii="仿宋" w:hAnsi="仿宋" w:eastAsia="仿宋" w:cs="仿宋"/>
                <w:color w:val="000000" w:themeColor="text1"/>
                <w:sz w:val="24"/>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B0A4552"/>
    <w:rsid w:val="00024417"/>
    <w:rsid w:val="00117C59"/>
    <w:rsid w:val="00231598"/>
    <w:rsid w:val="003B374D"/>
    <w:rsid w:val="004645C3"/>
    <w:rsid w:val="004A1997"/>
    <w:rsid w:val="0050361F"/>
    <w:rsid w:val="00522A57"/>
    <w:rsid w:val="00641951"/>
    <w:rsid w:val="007F6F2E"/>
    <w:rsid w:val="008E3B21"/>
    <w:rsid w:val="009568AA"/>
    <w:rsid w:val="00A160B1"/>
    <w:rsid w:val="00A5517D"/>
    <w:rsid w:val="00DE6AEB"/>
    <w:rsid w:val="00DF5308"/>
    <w:rsid w:val="00E13EF3"/>
    <w:rsid w:val="00ED1851"/>
    <w:rsid w:val="00EF1BA2"/>
    <w:rsid w:val="00F86F7C"/>
    <w:rsid w:val="00FF153B"/>
    <w:rsid w:val="6B0A4552"/>
    <w:rsid w:val="7C0DAA7B"/>
    <w:rsid w:val="7DFD69EC"/>
    <w:rsid w:val="7FEBFD2A"/>
    <w:rsid w:val="B7FFCD9A"/>
    <w:rsid w:val="BFF82AE1"/>
    <w:rsid w:val="FFEE9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Calibri" w:hAnsi="Calibri"/>
      <w:kern w:val="2"/>
      <w:sz w:val="18"/>
      <w:szCs w:val="18"/>
    </w:rPr>
  </w:style>
  <w:style w:type="character" w:customStyle="1" w:styleId="9">
    <w:name w:val="页脚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486</Words>
  <Characters>2775</Characters>
  <Lines>23</Lines>
  <Paragraphs>6</Paragraphs>
  <TotalTime>1</TotalTime>
  <ScaleCrop>false</ScaleCrop>
  <LinksUpToDate>false</LinksUpToDate>
  <CharactersWithSpaces>3255</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2024-07-03T18:12:00Z</dcterms:created>
  <dc:creator>Administrator</dc:creator>
  <cp:lastModifiedBy>暖暖</cp:lastModifiedBy>
  <dcterms:modified xsi:type="dcterms:W3CDTF">2024-12-25T15:29:18Z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