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lang w:eastAsia="zh-CN"/>
        </w:rPr>
        <w:t>梁山县住房和城乡建设局2023年政府信息公开工作年度报告</w:t>
      </w:r>
      <w:bookmarkStart w:id="10" w:name="_GoBack"/>
      <w:bookmarkEnd w:id="1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ascii="微软雅黑" w:hAnsi="微软雅黑" w:eastAsia="微软雅黑" w:cs="微软雅黑"/>
          <w:i w:val="0"/>
          <w:iCs w:val="0"/>
          <w:caps w:val="0"/>
          <w:color w:val="333333"/>
          <w:spacing w:val="0"/>
          <w:sz w:val="21"/>
          <w:szCs w:val="21"/>
          <w:highlight w:val="none"/>
        </w:rPr>
      </w:pPr>
      <w:r>
        <w:rPr>
          <w:rStyle w:val="5"/>
          <w:rFonts w:ascii="仿宋_GB2312" w:hAnsi="微软雅黑" w:eastAsia="仿宋_GB2312" w:cs="仿宋_GB2312"/>
          <w:i w:val="0"/>
          <w:iCs w:val="0"/>
          <w:caps w:val="0"/>
          <w:color w:val="333333"/>
          <w:spacing w:val="0"/>
          <w:sz w:val="31"/>
          <w:szCs w:val="31"/>
          <w:highlight w:val="none"/>
        </w:rPr>
        <w:t>本报告由梁山县住房和城乡建设局按照《中华人民共和国政府信息公开条例》（以下简称《条例》）和《中华人民共和国政府信息公开工作年度报告格式》（国办公开办函〔</w:t>
      </w:r>
      <w:r>
        <w:rPr>
          <w:rStyle w:val="5"/>
          <w:rFonts w:hint="default" w:ascii="仿宋_GB2312" w:hAnsi="微软雅黑" w:eastAsia="仿宋_GB2312" w:cs="仿宋_GB2312"/>
          <w:i w:val="0"/>
          <w:iCs w:val="0"/>
          <w:caps w:val="0"/>
          <w:color w:val="333333"/>
          <w:spacing w:val="0"/>
          <w:sz w:val="31"/>
          <w:szCs w:val="31"/>
          <w:highlight w:val="none"/>
        </w:rPr>
        <w:t>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highlight w:val="none"/>
        </w:rPr>
      </w:pPr>
      <w:r>
        <w:rPr>
          <w:rStyle w:val="5"/>
          <w:rFonts w:hint="default" w:ascii="仿宋_GB2312" w:hAnsi="微软雅黑" w:eastAsia="仿宋_GB2312" w:cs="仿宋_GB2312"/>
          <w:i w:val="0"/>
          <w:iCs w:val="0"/>
          <w:caps w:val="0"/>
          <w:color w:val="333333"/>
          <w:spacing w:val="0"/>
          <w:sz w:val="31"/>
          <w:szCs w:val="31"/>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宋体" w:hAnsi="宋体" w:eastAsia="宋体" w:cs="宋体"/>
          <w:i w:val="0"/>
          <w:caps w:val="0"/>
          <w:color w:val="333333"/>
          <w:spacing w:val="0"/>
          <w:sz w:val="24"/>
          <w:szCs w:val="24"/>
          <w:highlight w:val="none"/>
        </w:rPr>
      </w:pPr>
      <w:r>
        <w:rPr>
          <w:rStyle w:val="5"/>
          <w:rFonts w:hint="default" w:ascii="仿宋_GB2312" w:hAnsi="微软雅黑" w:eastAsia="仿宋_GB2312" w:cs="仿宋_GB2312"/>
          <w:i w:val="0"/>
          <w:iCs w:val="0"/>
          <w:caps w:val="0"/>
          <w:color w:val="333333"/>
          <w:spacing w:val="0"/>
          <w:sz w:val="31"/>
          <w:szCs w:val="31"/>
          <w:highlight w:val="none"/>
        </w:rPr>
        <w:t>本报告所列数据的统计期限自202</w:t>
      </w:r>
      <w:r>
        <w:rPr>
          <w:rStyle w:val="5"/>
          <w:rFonts w:hint="eastAsia" w:ascii="仿宋_GB2312" w:hAnsi="微软雅黑" w:eastAsia="仿宋_GB2312" w:cs="仿宋_GB2312"/>
          <w:i w:val="0"/>
          <w:iCs w:val="0"/>
          <w:caps w:val="0"/>
          <w:color w:val="333333"/>
          <w:spacing w:val="0"/>
          <w:sz w:val="31"/>
          <w:szCs w:val="31"/>
          <w:highlight w:val="none"/>
          <w:lang w:val="en-US" w:eastAsia="zh-CN"/>
        </w:rPr>
        <w:t>3</w:t>
      </w:r>
      <w:r>
        <w:rPr>
          <w:rStyle w:val="5"/>
          <w:rFonts w:hint="default" w:ascii="仿宋_GB2312" w:hAnsi="微软雅黑" w:eastAsia="仿宋_GB2312" w:cs="仿宋_GB2312"/>
          <w:i w:val="0"/>
          <w:iCs w:val="0"/>
          <w:caps w:val="0"/>
          <w:color w:val="333333"/>
          <w:spacing w:val="0"/>
          <w:sz w:val="31"/>
          <w:szCs w:val="31"/>
          <w:highlight w:val="none"/>
        </w:rPr>
        <w:t>年1月1日起至202</w:t>
      </w:r>
      <w:r>
        <w:rPr>
          <w:rStyle w:val="5"/>
          <w:rFonts w:hint="eastAsia" w:ascii="仿宋_GB2312" w:hAnsi="微软雅黑" w:eastAsia="仿宋_GB2312" w:cs="仿宋_GB2312"/>
          <w:i w:val="0"/>
          <w:iCs w:val="0"/>
          <w:caps w:val="0"/>
          <w:color w:val="333333"/>
          <w:spacing w:val="0"/>
          <w:sz w:val="31"/>
          <w:szCs w:val="31"/>
          <w:highlight w:val="none"/>
          <w:lang w:val="en-US" w:eastAsia="zh-CN"/>
        </w:rPr>
        <w:t>3</w:t>
      </w:r>
      <w:r>
        <w:rPr>
          <w:rStyle w:val="5"/>
          <w:rFonts w:hint="default" w:ascii="仿宋_GB2312" w:hAnsi="微软雅黑" w:eastAsia="仿宋_GB2312" w:cs="仿宋_GB2312"/>
          <w:i w:val="0"/>
          <w:iCs w:val="0"/>
          <w:caps w:val="0"/>
          <w:color w:val="333333"/>
          <w:spacing w:val="0"/>
          <w:sz w:val="31"/>
          <w:szCs w:val="31"/>
          <w:highlight w:val="none"/>
        </w:rPr>
        <w:t>年12月31日止。本报告电子版可在梁山县政府门户网站（www.liangshan.gov.cn）查阅或下载。如对本报告有疑问，请与梁山县住房和城乡建设局办公室联系（地址：梁山县人民北路25号，联系电话：0537-7322033）。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2" w:firstLineChars="200"/>
        <w:jc w:val="both"/>
        <w:rPr>
          <w:rFonts w:hint="eastAsia" w:ascii="黑体" w:hAnsi="黑体" w:eastAsia="黑体" w:cs="黑体"/>
          <w:i w:val="0"/>
          <w:caps w:val="0"/>
          <w:color w:val="333333"/>
          <w:spacing w:val="0"/>
          <w:sz w:val="32"/>
          <w:szCs w:val="32"/>
          <w:highlight w:val="none"/>
        </w:rPr>
      </w:pPr>
      <w:r>
        <w:rPr>
          <w:rFonts w:hint="eastAsia" w:ascii="黑体" w:hAnsi="黑体" w:eastAsia="黑体" w:cs="黑体"/>
          <w:b/>
          <w:i w:val="0"/>
          <w:caps w:val="0"/>
          <w:color w:val="333333"/>
          <w:spacing w:val="0"/>
          <w:sz w:val="32"/>
          <w:szCs w:val="32"/>
          <w:highlight w:val="none"/>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20</w:t>
      </w:r>
      <w:r>
        <w:rPr>
          <w:rStyle w:val="5"/>
          <w:rFonts w:hint="eastAsia" w:ascii="仿宋_GB2312" w:hAnsi="微软雅黑" w:eastAsia="仿宋_GB2312" w:cs="仿宋_GB2312"/>
          <w:i w:val="0"/>
          <w:iCs w:val="0"/>
          <w:caps w:val="0"/>
          <w:color w:val="333333"/>
          <w:spacing w:val="0"/>
          <w:sz w:val="31"/>
          <w:szCs w:val="31"/>
          <w:highlight w:val="none"/>
          <w:lang w:val="en-US" w:eastAsia="zh-CN"/>
        </w:rPr>
        <w:t>23</w:t>
      </w:r>
      <w:r>
        <w:rPr>
          <w:rStyle w:val="5"/>
          <w:rFonts w:hint="eastAsia" w:ascii="仿宋_GB2312" w:hAnsi="微软雅黑" w:eastAsia="仿宋_GB2312" w:cs="仿宋_GB2312"/>
          <w:i w:val="0"/>
          <w:iCs w:val="0"/>
          <w:caps w:val="0"/>
          <w:color w:val="333333"/>
          <w:spacing w:val="0"/>
          <w:sz w:val="31"/>
          <w:szCs w:val="31"/>
          <w:highlight w:val="none"/>
        </w:rPr>
        <w:t>年，我局认真贯彻落实《中华人民共和国政府信息公开条例》</w:t>
      </w:r>
      <w:r>
        <w:rPr>
          <w:rStyle w:val="5"/>
          <w:rFonts w:hint="eastAsia" w:ascii="仿宋_GB2312" w:hAnsi="微软雅黑" w:eastAsia="仿宋_GB2312" w:cs="仿宋_GB2312"/>
          <w:i w:val="0"/>
          <w:iCs w:val="0"/>
          <w:caps w:val="0"/>
          <w:color w:val="333333"/>
          <w:spacing w:val="0"/>
          <w:sz w:val="31"/>
          <w:szCs w:val="31"/>
          <w:highlight w:val="none"/>
          <w:lang w:eastAsia="zh-CN"/>
        </w:rPr>
        <w:t>的要求，</w:t>
      </w:r>
      <w:r>
        <w:rPr>
          <w:rStyle w:val="5"/>
          <w:rFonts w:hint="eastAsia" w:ascii="仿宋_GB2312" w:hAnsi="微软雅黑" w:eastAsia="仿宋_GB2312" w:cs="仿宋_GB2312"/>
          <w:i w:val="0"/>
          <w:iCs w:val="0"/>
          <w:caps w:val="0"/>
          <w:color w:val="333333"/>
          <w:spacing w:val="0"/>
          <w:sz w:val="31"/>
          <w:szCs w:val="31"/>
          <w:highlight w:val="none"/>
        </w:rPr>
        <w:t>以</w:t>
      </w:r>
      <w:r>
        <w:rPr>
          <w:rStyle w:val="5"/>
          <w:rFonts w:hint="eastAsia" w:ascii="仿宋_GB2312" w:hAnsi="微软雅黑" w:eastAsia="仿宋_GB2312" w:cs="仿宋_GB2312"/>
          <w:i w:val="0"/>
          <w:iCs w:val="0"/>
          <w:caps w:val="0"/>
          <w:color w:val="333333"/>
          <w:spacing w:val="0"/>
          <w:sz w:val="31"/>
          <w:szCs w:val="31"/>
          <w:highlight w:val="none"/>
          <w:lang w:eastAsia="zh-CN"/>
        </w:rPr>
        <w:t>梁山县</w:t>
      </w:r>
      <w:r>
        <w:rPr>
          <w:rStyle w:val="5"/>
          <w:rFonts w:hint="eastAsia" w:ascii="仿宋_GB2312" w:hAnsi="微软雅黑" w:eastAsia="仿宋_GB2312" w:cs="仿宋_GB2312"/>
          <w:i w:val="0"/>
          <w:iCs w:val="0"/>
          <w:caps w:val="0"/>
          <w:color w:val="333333"/>
          <w:spacing w:val="0"/>
          <w:sz w:val="31"/>
          <w:szCs w:val="31"/>
          <w:highlight w:val="none"/>
        </w:rPr>
        <w:t>人民政府门户网站为信息公开渠道，把推进政府信息公开与转变政府职能、规范权力运行紧密结合起来，不断完善政务公开和政府信息公开工作，及时回应公众关切，切实保障人民群众的知情权、参与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202</w:t>
      </w:r>
      <w:r>
        <w:rPr>
          <w:rStyle w:val="5"/>
          <w:rFonts w:hint="eastAsia" w:ascii="仿宋_GB2312" w:hAnsi="微软雅黑" w:eastAsia="仿宋_GB2312" w:cs="仿宋_GB2312"/>
          <w:i w:val="0"/>
          <w:iCs w:val="0"/>
          <w:caps w:val="0"/>
          <w:color w:val="333333"/>
          <w:spacing w:val="0"/>
          <w:sz w:val="31"/>
          <w:szCs w:val="31"/>
          <w:highlight w:val="none"/>
          <w:lang w:val="en-US" w:eastAsia="zh-CN"/>
        </w:rPr>
        <w:t>3</w:t>
      </w:r>
      <w:r>
        <w:rPr>
          <w:rStyle w:val="5"/>
          <w:rFonts w:hint="eastAsia" w:ascii="仿宋_GB2312" w:hAnsi="微软雅黑" w:eastAsia="仿宋_GB2312" w:cs="仿宋_GB2312"/>
          <w:i w:val="0"/>
          <w:iCs w:val="0"/>
          <w:caps w:val="0"/>
          <w:color w:val="333333"/>
          <w:spacing w:val="0"/>
          <w:sz w:val="31"/>
          <w:szCs w:val="31"/>
          <w:highlight w:val="none"/>
        </w:rPr>
        <w:t>年1月1日至202</w:t>
      </w:r>
      <w:r>
        <w:rPr>
          <w:rStyle w:val="5"/>
          <w:rFonts w:hint="eastAsia" w:ascii="仿宋_GB2312" w:hAnsi="微软雅黑" w:eastAsia="仿宋_GB2312" w:cs="仿宋_GB2312"/>
          <w:i w:val="0"/>
          <w:iCs w:val="0"/>
          <w:caps w:val="0"/>
          <w:color w:val="333333"/>
          <w:spacing w:val="0"/>
          <w:sz w:val="31"/>
          <w:szCs w:val="31"/>
          <w:highlight w:val="none"/>
          <w:lang w:val="en-US" w:eastAsia="zh-CN"/>
        </w:rPr>
        <w:t>3</w:t>
      </w:r>
      <w:r>
        <w:rPr>
          <w:rStyle w:val="5"/>
          <w:rFonts w:hint="eastAsia" w:ascii="仿宋_GB2312" w:hAnsi="微软雅黑" w:eastAsia="仿宋_GB2312" w:cs="仿宋_GB2312"/>
          <w:i w:val="0"/>
          <w:iCs w:val="0"/>
          <w:caps w:val="0"/>
          <w:color w:val="333333"/>
          <w:spacing w:val="0"/>
          <w:sz w:val="31"/>
          <w:szCs w:val="31"/>
          <w:highlight w:val="none"/>
        </w:rPr>
        <w:t>年12月31日我局共公开各类政务信息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162</w:t>
      </w:r>
      <w:r>
        <w:rPr>
          <w:rStyle w:val="5"/>
          <w:rFonts w:hint="eastAsia" w:ascii="仿宋_GB2312" w:hAnsi="微软雅黑" w:eastAsia="仿宋_GB2312" w:cs="仿宋_GB2312"/>
          <w:i w:val="0"/>
          <w:iCs w:val="0"/>
          <w:caps w:val="0"/>
          <w:color w:val="333333"/>
          <w:spacing w:val="0"/>
          <w:sz w:val="31"/>
          <w:szCs w:val="31"/>
          <w:highlight w:val="none"/>
        </w:rPr>
        <w:t>条，其中</w:t>
      </w:r>
      <w:r>
        <w:rPr>
          <w:rStyle w:val="5"/>
          <w:rFonts w:hint="eastAsia" w:ascii="仿宋_GB2312" w:hAnsi="微软雅黑" w:eastAsia="仿宋_GB2312" w:cs="仿宋_GB2312"/>
          <w:i w:val="0"/>
          <w:iCs w:val="0"/>
          <w:caps w:val="0"/>
          <w:color w:val="333333"/>
          <w:spacing w:val="0"/>
          <w:sz w:val="31"/>
          <w:szCs w:val="31"/>
          <w:highlight w:val="none"/>
          <w:lang w:eastAsia="zh-CN"/>
        </w:rPr>
        <w:t>法规文件信息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1条、行政权力信息2条、财政预算决算信息2条、营商环境信息123条、重点领域信息4条、会议公开信息2条、公共资源配置信息4条、</w:t>
      </w:r>
      <w:r>
        <w:rPr>
          <w:rStyle w:val="5"/>
          <w:rFonts w:hint="eastAsia" w:ascii="仿宋_GB2312" w:hAnsi="微软雅黑" w:eastAsia="仿宋_GB2312" w:cs="仿宋_GB2312"/>
          <w:i w:val="0"/>
          <w:iCs w:val="0"/>
          <w:caps w:val="0"/>
          <w:color w:val="333333"/>
          <w:spacing w:val="0"/>
          <w:sz w:val="31"/>
          <w:szCs w:val="31"/>
          <w:highlight w:val="none"/>
        </w:rPr>
        <w:t>法治政府信息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2</w:t>
      </w:r>
      <w:r>
        <w:rPr>
          <w:rStyle w:val="5"/>
          <w:rFonts w:hint="eastAsia" w:ascii="仿宋_GB2312" w:hAnsi="微软雅黑" w:eastAsia="仿宋_GB2312" w:cs="仿宋_GB2312"/>
          <w:i w:val="0"/>
          <w:iCs w:val="0"/>
          <w:caps w:val="0"/>
          <w:color w:val="333333"/>
          <w:spacing w:val="0"/>
          <w:sz w:val="31"/>
          <w:szCs w:val="31"/>
          <w:highlight w:val="none"/>
        </w:rPr>
        <w:t>条</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行政执法信息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2</w:t>
      </w:r>
      <w:r>
        <w:rPr>
          <w:rStyle w:val="5"/>
          <w:rFonts w:hint="eastAsia" w:ascii="仿宋_GB2312" w:hAnsi="微软雅黑" w:eastAsia="仿宋_GB2312" w:cs="仿宋_GB2312"/>
          <w:i w:val="0"/>
          <w:iCs w:val="0"/>
          <w:caps w:val="0"/>
          <w:color w:val="333333"/>
          <w:spacing w:val="0"/>
          <w:sz w:val="31"/>
          <w:szCs w:val="31"/>
          <w:highlight w:val="none"/>
        </w:rPr>
        <w:t>条、政务公开组织管理</w:t>
      </w:r>
      <w:r>
        <w:rPr>
          <w:rStyle w:val="5"/>
          <w:rFonts w:hint="eastAsia" w:ascii="仿宋_GB2312" w:hAnsi="微软雅黑" w:eastAsia="仿宋_GB2312" w:cs="仿宋_GB2312"/>
          <w:i w:val="0"/>
          <w:iCs w:val="0"/>
          <w:caps w:val="0"/>
          <w:color w:val="333333"/>
          <w:spacing w:val="0"/>
          <w:sz w:val="31"/>
          <w:szCs w:val="31"/>
          <w:highlight w:val="none"/>
          <w:lang w:eastAsia="zh-CN"/>
        </w:rPr>
        <w:t>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1条、 主动公开基本目录信息1条、年报图解信息1条、</w:t>
      </w:r>
      <w:r>
        <w:rPr>
          <w:rStyle w:val="5"/>
          <w:rFonts w:hint="eastAsia" w:ascii="仿宋_GB2312" w:hAnsi="微软雅黑" w:eastAsia="仿宋_GB2312" w:cs="仿宋_GB2312"/>
          <w:i w:val="0"/>
          <w:iCs w:val="0"/>
          <w:caps w:val="0"/>
          <w:color w:val="333333"/>
          <w:spacing w:val="0"/>
          <w:sz w:val="31"/>
          <w:szCs w:val="31"/>
          <w:highlight w:val="none"/>
        </w:rPr>
        <w:t>公告公示信息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11</w:t>
      </w:r>
      <w:r>
        <w:rPr>
          <w:rStyle w:val="5"/>
          <w:rFonts w:hint="eastAsia" w:ascii="仿宋_GB2312" w:hAnsi="微软雅黑" w:eastAsia="仿宋_GB2312" w:cs="仿宋_GB2312"/>
          <w:i w:val="0"/>
          <w:iCs w:val="0"/>
          <w:caps w:val="0"/>
          <w:color w:val="333333"/>
          <w:spacing w:val="0"/>
          <w:sz w:val="31"/>
          <w:szCs w:val="31"/>
          <w:highlight w:val="none"/>
        </w:rPr>
        <w:t>条</w:t>
      </w:r>
      <w:r>
        <w:rPr>
          <w:rStyle w:val="5"/>
          <w:rFonts w:hint="eastAsia" w:ascii="仿宋_GB2312" w:hAnsi="微软雅黑" w:eastAsia="仿宋_GB2312" w:cs="仿宋_GB2312"/>
          <w:i w:val="0"/>
          <w:iCs w:val="0"/>
          <w:caps w:val="0"/>
          <w:color w:val="333333"/>
          <w:spacing w:val="0"/>
          <w:sz w:val="31"/>
          <w:szCs w:val="31"/>
          <w:highlight w:val="none"/>
          <w:lang w:eastAsia="zh-CN"/>
        </w:rPr>
        <w:t>、 基层标准化规范化建设信息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1条、</w:t>
      </w:r>
      <w:r>
        <w:rPr>
          <w:rStyle w:val="5"/>
          <w:rFonts w:hint="eastAsia" w:ascii="仿宋_GB2312" w:hAnsi="微软雅黑" w:eastAsia="仿宋_GB2312" w:cs="仿宋_GB2312"/>
          <w:i w:val="0"/>
          <w:iCs w:val="0"/>
          <w:caps w:val="0"/>
          <w:color w:val="333333"/>
          <w:spacing w:val="0"/>
          <w:sz w:val="31"/>
          <w:szCs w:val="31"/>
          <w:highlight w:val="none"/>
        </w:rPr>
        <w:t>“双随机、一公开”监管信息</w:t>
      </w:r>
      <w:r>
        <w:rPr>
          <w:rStyle w:val="5"/>
          <w:rFonts w:hint="eastAsia" w:ascii="仿宋_GB2312" w:hAnsi="微软雅黑" w:eastAsia="仿宋_GB2312" w:cs="仿宋_GB2312"/>
          <w:i w:val="0"/>
          <w:iCs w:val="0"/>
          <w:caps w:val="0"/>
          <w:color w:val="333333"/>
          <w:spacing w:val="0"/>
          <w:sz w:val="31"/>
          <w:szCs w:val="31"/>
          <w:highlight w:val="none"/>
          <w:lang w:val="en-US" w:eastAsia="zh-CN"/>
        </w:rPr>
        <w:t>5</w:t>
      </w:r>
      <w:r>
        <w:rPr>
          <w:rStyle w:val="5"/>
          <w:rFonts w:hint="eastAsia" w:ascii="仿宋_GB2312" w:hAnsi="微软雅黑" w:eastAsia="仿宋_GB2312" w:cs="仿宋_GB2312"/>
          <w:i w:val="0"/>
          <w:iCs w:val="0"/>
          <w:caps w:val="0"/>
          <w:color w:val="333333"/>
          <w:spacing w:val="0"/>
          <w:sz w:val="31"/>
          <w:szCs w:val="31"/>
          <w:highlight w:val="none"/>
        </w:rPr>
        <w:t>条</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 xml:space="preserve"> </w:t>
      </w:r>
      <w:r>
        <w:rPr>
          <w:rStyle w:val="5"/>
          <w:rFonts w:hint="eastAsia" w:ascii="仿宋_GB2312" w:hAnsi="微软雅黑" w:eastAsia="仿宋_GB2312" w:cs="仿宋_GB2312"/>
          <w:i w:val="0"/>
          <w:iCs w:val="0"/>
          <w:caps w:val="0"/>
          <w:color w:val="0000FF"/>
          <w:spacing w:val="0"/>
          <w:sz w:val="31"/>
          <w:szCs w:val="31"/>
          <w:highlight w:val="none"/>
        </w:rPr>
        <w:t xml:space="preserve">  </w:t>
      </w:r>
      <w:r>
        <w:rPr>
          <w:rStyle w:val="5"/>
          <w:rFonts w:hint="eastAsia" w:ascii="仿宋_GB2312" w:hAnsi="微软雅黑" w:eastAsia="仿宋_GB2312" w:cs="仿宋_GB2312"/>
          <w:i w:val="0"/>
          <w:iCs w:val="0"/>
          <w:caps w:val="0"/>
          <w:color w:val="333333"/>
          <w:spacing w:val="0"/>
          <w:sz w:val="31"/>
          <w:szCs w:val="31"/>
          <w:highlight w:val="none"/>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202</w:t>
      </w:r>
      <w:r>
        <w:rPr>
          <w:rStyle w:val="5"/>
          <w:rFonts w:hint="default" w:ascii="仿宋_GB2312" w:hAnsi="微软雅黑" w:eastAsia="仿宋_GB2312" w:cs="仿宋_GB2312"/>
          <w:i w:val="0"/>
          <w:iCs w:val="0"/>
          <w:caps w:val="0"/>
          <w:color w:val="333333"/>
          <w:spacing w:val="0"/>
          <w:sz w:val="31"/>
          <w:szCs w:val="31"/>
          <w:highlight w:val="none"/>
          <w:lang w:val="en"/>
        </w:rPr>
        <w:t>3</w:t>
      </w:r>
      <w:r>
        <w:rPr>
          <w:rStyle w:val="5"/>
          <w:rFonts w:hint="eastAsia" w:ascii="仿宋_GB2312" w:hAnsi="微软雅黑" w:eastAsia="仿宋_GB2312" w:cs="仿宋_GB2312"/>
          <w:i w:val="0"/>
          <w:iCs w:val="0"/>
          <w:caps w:val="0"/>
          <w:color w:val="333333"/>
          <w:spacing w:val="0"/>
          <w:sz w:val="31"/>
          <w:szCs w:val="31"/>
          <w:highlight w:val="none"/>
        </w:rPr>
        <w:t>年梁山县住房和城乡建设局收到政府信息公开申请数</w:t>
      </w:r>
      <w:r>
        <w:rPr>
          <w:rStyle w:val="5"/>
          <w:rFonts w:hint="default" w:ascii="仿宋_GB2312" w:hAnsi="微软雅黑" w:eastAsia="仿宋_GB2312" w:cs="仿宋_GB2312"/>
          <w:i w:val="0"/>
          <w:iCs w:val="0"/>
          <w:caps w:val="0"/>
          <w:color w:val="333333"/>
          <w:spacing w:val="0"/>
          <w:sz w:val="31"/>
          <w:szCs w:val="31"/>
          <w:highlight w:val="none"/>
          <w:lang w:val="en"/>
        </w:rPr>
        <w:t>6</w:t>
      </w:r>
      <w:r>
        <w:rPr>
          <w:rStyle w:val="5"/>
          <w:rFonts w:hint="eastAsia" w:ascii="仿宋_GB2312" w:hAnsi="微软雅黑" w:eastAsia="仿宋_GB2312" w:cs="仿宋_GB2312"/>
          <w:i w:val="0"/>
          <w:iCs w:val="0"/>
          <w:caps w:val="0"/>
          <w:color w:val="333333"/>
          <w:spacing w:val="0"/>
          <w:sz w:val="31"/>
          <w:szCs w:val="31"/>
          <w:highlight w:val="none"/>
        </w:rPr>
        <w:t>件，按时答复</w:t>
      </w:r>
      <w:r>
        <w:rPr>
          <w:rStyle w:val="5"/>
          <w:rFonts w:hint="default" w:ascii="仿宋_GB2312" w:hAnsi="微软雅黑" w:eastAsia="仿宋_GB2312" w:cs="仿宋_GB2312"/>
          <w:i w:val="0"/>
          <w:iCs w:val="0"/>
          <w:caps w:val="0"/>
          <w:color w:val="333333"/>
          <w:spacing w:val="0"/>
          <w:sz w:val="31"/>
          <w:szCs w:val="31"/>
          <w:highlight w:val="none"/>
          <w:lang w:val="en"/>
        </w:rPr>
        <w:t>6</w:t>
      </w:r>
      <w:r>
        <w:rPr>
          <w:rStyle w:val="5"/>
          <w:rFonts w:hint="eastAsia" w:ascii="仿宋_GB2312" w:hAnsi="微软雅黑" w:eastAsia="仿宋_GB2312" w:cs="仿宋_GB2312"/>
          <w:i w:val="0"/>
          <w:iCs w:val="0"/>
          <w:caps w:val="0"/>
          <w:color w:val="333333"/>
          <w:spacing w:val="0"/>
          <w:sz w:val="31"/>
          <w:szCs w:val="31"/>
          <w:highlight w:val="none"/>
        </w:rPr>
        <w:t>件。比去年政府信息公开申请</w:t>
      </w:r>
      <w:r>
        <w:rPr>
          <w:rStyle w:val="5"/>
          <w:rFonts w:hint="eastAsia" w:ascii="仿宋_GB2312" w:hAnsi="微软雅黑" w:eastAsia="仿宋_GB2312" w:cs="仿宋_GB2312"/>
          <w:i w:val="0"/>
          <w:iCs w:val="0"/>
          <w:caps w:val="0"/>
          <w:color w:val="333333"/>
          <w:spacing w:val="0"/>
          <w:sz w:val="31"/>
          <w:szCs w:val="31"/>
          <w:highlight w:val="none"/>
          <w:lang w:eastAsia="zh-CN"/>
        </w:rPr>
        <w:t>多</w:t>
      </w:r>
      <w:r>
        <w:rPr>
          <w:rStyle w:val="5"/>
          <w:rFonts w:hint="eastAsia" w:ascii="仿宋_GB2312" w:hAnsi="微软雅黑" w:eastAsia="仿宋_GB2312" w:cs="仿宋_GB2312"/>
          <w:i w:val="0"/>
          <w:iCs w:val="0"/>
          <w:caps w:val="0"/>
          <w:color w:val="333333"/>
          <w:spacing w:val="0"/>
          <w:sz w:val="31"/>
          <w:szCs w:val="31"/>
          <w:highlight w:val="none"/>
          <w:lang w:val="en-US" w:eastAsia="zh-CN"/>
        </w:rPr>
        <w:t>1</w:t>
      </w:r>
      <w:r>
        <w:rPr>
          <w:rStyle w:val="5"/>
          <w:rFonts w:hint="eastAsia" w:ascii="仿宋_GB2312" w:hAnsi="微软雅黑" w:eastAsia="仿宋_GB2312" w:cs="仿宋_GB2312"/>
          <w:i w:val="0"/>
          <w:iCs w:val="0"/>
          <w:caps w:val="0"/>
          <w:color w:val="333333"/>
          <w:spacing w:val="0"/>
          <w:sz w:val="31"/>
          <w:szCs w:val="31"/>
          <w:highlight w:val="none"/>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lang w:eastAsia="zh-CN"/>
        </w:rPr>
      </w:pPr>
      <w:r>
        <w:rPr>
          <w:rStyle w:val="5"/>
          <w:rFonts w:hint="eastAsia" w:ascii="仿宋_GB2312" w:hAnsi="微软雅黑" w:eastAsia="仿宋_GB2312" w:cs="仿宋_GB2312"/>
          <w:i w:val="0"/>
          <w:iCs w:val="0"/>
          <w:caps w:val="0"/>
          <w:color w:val="333333"/>
          <w:spacing w:val="0"/>
          <w:sz w:val="31"/>
          <w:szCs w:val="31"/>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一是健全政务公开组织</w:t>
      </w:r>
      <w:r>
        <w:rPr>
          <w:rStyle w:val="5"/>
          <w:rFonts w:hint="eastAsia" w:ascii="仿宋_GB2312" w:hAnsi="微软雅黑" w:eastAsia="仿宋_GB2312" w:cs="仿宋_GB2312"/>
          <w:i w:val="0"/>
          <w:iCs w:val="0"/>
          <w:caps w:val="0"/>
          <w:color w:val="333333"/>
          <w:spacing w:val="0"/>
          <w:sz w:val="31"/>
          <w:szCs w:val="31"/>
          <w:highlight w:val="none"/>
          <w:lang w:eastAsia="zh-CN"/>
        </w:rPr>
        <w:t>领导体系</w:t>
      </w:r>
      <w:r>
        <w:rPr>
          <w:rStyle w:val="5"/>
          <w:rFonts w:hint="eastAsia" w:ascii="仿宋_GB2312" w:hAnsi="微软雅黑" w:eastAsia="仿宋_GB2312" w:cs="仿宋_GB2312"/>
          <w:i w:val="0"/>
          <w:iCs w:val="0"/>
          <w:caps w:val="0"/>
          <w:color w:val="333333"/>
          <w:spacing w:val="0"/>
          <w:sz w:val="31"/>
          <w:szCs w:val="31"/>
          <w:highlight w:val="none"/>
        </w:rPr>
        <w:t>。</w:t>
      </w:r>
      <w:r>
        <w:rPr>
          <w:rStyle w:val="5"/>
          <w:rFonts w:hint="eastAsia" w:ascii="仿宋_GB2312" w:hAnsi="微软雅黑" w:eastAsia="仿宋_GB2312" w:cs="仿宋_GB2312"/>
          <w:i w:val="0"/>
          <w:iCs w:val="0"/>
          <w:caps w:val="0"/>
          <w:color w:val="333333"/>
          <w:spacing w:val="0"/>
          <w:sz w:val="31"/>
          <w:szCs w:val="31"/>
          <w:highlight w:val="none"/>
          <w:lang w:eastAsia="zh-CN"/>
        </w:rPr>
        <w:t>我局</w:t>
      </w:r>
      <w:r>
        <w:rPr>
          <w:rStyle w:val="5"/>
          <w:rFonts w:hint="eastAsia" w:ascii="仿宋_GB2312" w:hAnsi="微软雅黑" w:eastAsia="仿宋_GB2312" w:cs="仿宋_GB2312"/>
          <w:i w:val="0"/>
          <w:iCs w:val="0"/>
          <w:caps w:val="0"/>
          <w:color w:val="333333"/>
          <w:spacing w:val="0"/>
          <w:sz w:val="31"/>
          <w:szCs w:val="31"/>
          <w:highlight w:val="none"/>
        </w:rPr>
        <w:t>高度重视政务公开工作，按照《中华人民共和国政府信息公开条例》规定</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成立由分管领导任组长的政务公开领导小组，加强对政务公开工作的组织领导，形成主要领导亲自抓、分管领导具体抓、</w:t>
      </w:r>
      <w:r>
        <w:rPr>
          <w:rStyle w:val="5"/>
          <w:rFonts w:hint="eastAsia" w:ascii="仿宋_GB2312" w:hAnsi="微软雅黑" w:eastAsia="仿宋_GB2312" w:cs="仿宋_GB2312"/>
          <w:i w:val="0"/>
          <w:iCs w:val="0"/>
          <w:caps w:val="0"/>
          <w:color w:val="333333"/>
          <w:spacing w:val="0"/>
          <w:sz w:val="31"/>
          <w:szCs w:val="31"/>
          <w:highlight w:val="none"/>
          <w:lang w:eastAsia="zh-CN"/>
        </w:rPr>
        <w:t>分管科室</w:t>
      </w:r>
      <w:r>
        <w:rPr>
          <w:rStyle w:val="5"/>
          <w:rFonts w:hint="eastAsia" w:ascii="仿宋_GB2312" w:hAnsi="微软雅黑" w:eastAsia="仿宋_GB2312" w:cs="仿宋_GB2312"/>
          <w:i w:val="0"/>
          <w:iCs w:val="0"/>
          <w:caps w:val="0"/>
          <w:color w:val="333333"/>
          <w:spacing w:val="0"/>
          <w:sz w:val="31"/>
          <w:szCs w:val="31"/>
          <w:highlight w:val="none"/>
        </w:rPr>
        <w:t>密切配合的工作机制。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lang w:eastAsia="zh-CN"/>
        </w:rPr>
      </w:pPr>
      <w:r>
        <w:rPr>
          <w:rStyle w:val="5"/>
          <w:rFonts w:hint="eastAsia" w:ascii="仿宋_GB2312" w:hAnsi="微软雅黑" w:eastAsia="仿宋_GB2312" w:cs="仿宋_GB2312"/>
          <w:i w:val="0"/>
          <w:iCs w:val="0"/>
          <w:caps w:val="0"/>
          <w:color w:val="333333"/>
          <w:spacing w:val="0"/>
          <w:sz w:val="31"/>
          <w:szCs w:val="31"/>
          <w:highlight w:val="none"/>
        </w:rPr>
        <w:t>二是</w:t>
      </w:r>
      <w:r>
        <w:rPr>
          <w:rStyle w:val="5"/>
          <w:rFonts w:hint="eastAsia" w:ascii="仿宋_GB2312" w:hAnsi="微软雅黑" w:eastAsia="仿宋_GB2312" w:cs="仿宋_GB2312"/>
          <w:i w:val="0"/>
          <w:iCs w:val="0"/>
          <w:caps w:val="0"/>
          <w:color w:val="333333"/>
          <w:spacing w:val="0"/>
          <w:sz w:val="31"/>
          <w:szCs w:val="31"/>
          <w:highlight w:val="none"/>
          <w:lang w:eastAsia="zh-CN"/>
        </w:rPr>
        <w:t>完善政务公开管理机制，</w:t>
      </w:r>
      <w:r>
        <w:rPr>
          <w:rStyle w:val="5"/>
          <w:rFonts w:hint="eastAsia" w:ascii="仿宋_GB2312" w:hAnsi="微软雅黑" w:eastAsia="仿宋_GB2312" w:cs="仿宋_GB2312"/>
          <w:i w:val="0"/>
          <w:iCs w:val="0"/>
          <w:caps w:val="0"/>
          <w:color w:val="333333"/>
          <w:spacing w:val="0"/>
          <w:sz w:val="31"/>
          <w:szCs w:val="31"/>
          <w:highlight w:val="none"/>
        </w:rPr>
        <w:t>坚持“以公开为常态、不公开为例外”，根据工作实际，突出公开重点，及时更新、充实信息主动公开目录，设置法规文件、</w:t>
      </w:r>
      <w:r>
        <w:rPr>
          <w:rStyle w:val="5"/>
          <w:rFonts w:hint="eastAsia" w:ascii="仿宋_GB2312" w:hAnsi="微软雅黑" w:eastAsia="仿宋_GB2312" w:cs="仿宋_GB2312"/>
          <w:i w:val="0"/>
          <w:iCs w:val="0"/>
          <w:caps w:val="0"/>
          <w:color w:val="333333"/>
          <w:spacing w:val="0"/>
          <w:sz w:val="31"/>
          <w:szCs w:val="31"/>
          <w:highlight w:val="none"/>
          <w:lang w:eastAsia="zh-CN"/>
        </w:rPr>
        <w:t>组织机构、规划计划、统计信息、行政权力、财政预算决算、减税降费、营商环境、重点领域、</w:t>
      </w:r>
      <w:r>
        <w:rPr>
          <w:rStyle w:val="5"/>
          <w:rFonts w:hint="eastAsia" w:ascii="仿宋_GB2312" w:hAnsi="微软雅黑" w:eastAsia="仿宋_GB2312" w:cs="仿宋_GB2312"/>
          <w:i w:val="0"/>
          <w:iCs w:val="0"/>
          <w:caps w:val="0"/>
          <w:color w:val="333333"/>
          <w:spacing w:val="0"/>
          <w:sz w:val="31"/>
          <w:szCs w:val="31"/>
          <w:highlight w:val="none"/>
        </w:rPr>
        <w:t>会议公开、重点领域、建议提案、人事信息、政务公开组织推进、政府信息公开工作年度报告等栏目，全链条加强政府信息管理，督促各部门按照类别细化具体内容信息并进行及时更新维护，全面落实公文类政府信息公开属性源头认定机制和政策性文件与解读材料同步起草、同步审签工作制度，实现对政务信息的全生命周期管理</w:t>
      </w:r>
      <w:r>
        <w:rPr>
          <w:rStyle w:val="5"/>
          <w:rFonts w:hint="eastAsia" w:ascii="仿宋_GB2312" w:hAnsi="微软雅黑" w:eastAsia="仿宋_GB2312" w:cs="仿宋_GB2312"/>
          <w:i w:val="0"/>
          <w:iCs w:val="0"/>
          <w:caps w:val="0"/>
          <w:color w:val="333333"/>
          <w:spacing w:val="0"/>
          <w:sz w:val="31"/>
          <w:szCs w:val="31"/>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三是深化重点领域信息公开。加强优化营商环境信息公开力度，设置惠企政策专区，及时公开税费优惠、减免政策等信息公开。扎实做好行政权力运行、财政信息、公共资源配置等重点领域的信息公开工作。动态调整收费项目，定期发布政策执行情况。做好民生领域“双随机、一公开”监管信息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lang w:val="en-US" w:eastAsia="zh-CN"/>
        </w:rPr>
        <w:t>2023年</w:t>
      </w:r>
      <w:r>
        <w:rPr>
          <w:rStyle w:val="5"/>
          <w:rFonts w:hint="eastAsia" w:ascii="仿宋_GB2312" w:hAnsi="微软雅黑" w:eastAsia="仿宋_GB2312" w:cs="仿宋_GB2312"/>
          <w:i w:val="0"/>
          <w:iCs w:val="0"/>
          <w:caps w:val="0"/>
          <w:color w:val="333333"/>
          <w:spacing w:val="0"/>
          <w:sz w:val="31"/>
          <w:szCs w:val="31"/>
          <w:highlight w:val="none"/>
        </w:rPr>
        <w:t>，</w:t>
      </w:r>
      <w:r>
        <w:rPr>
          <w:rStyle w:val="5"/>
          <w:rFonts w:hint="eastAsia" w:ascii="仿宋_GB2312" w:hAnsi="微软雅黑" w:eastAsia="仿宋_GB2312" w:cs="仿宋_GB2312"/>
          <w:i w:val="0"/>
          <w:iCs w:val="0"/>
          <w:caps w:val="0"/>
          <w:color w:val="333333"/>
          <w:spacing w:val="0"/>
          <w:sz w:val="31"/>
          <w:szCs w:val="31"/>
          <w:highlight w:val="none"/>
          <w:lang w:eastAsia="zh-CN"/>
        </w:rPr>
        <w:t>我局</w:t>
      </w:r>
      <w:r>
        <w:rPr>
          <w:rStyle w:val="5"/>
          <w:rFonts w:hint="eastAsia" w:ascii="仿宋_GB2312" w:hAnsi="微软雅黑" w:eastAsia="仿宋_GB2312" w:cs="仿宋_GB2312"/>
          <w:i w:val="0"/>
          <w:iCs w:val="0"/>
          <w:caps w:val="0"/>
          <w:color w:val="333333"/>
          <w:spacing w:val="0"/>
          <w:sz w:val="31"/>
          <w:szCs w:val="31"/>
          <w:highlight w:val="none"/>
        </w:rPr>
        <w:t>认真抓好门户网站日常更新维护情况检查，确保网站页面随时能够正常访问，各栏目内容及时准确更新，发布的政务信息准确真实，提供的各项便民服务和互动功能能够正常使用。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lang w:eastAsia="zh-CN"/>
        </w:rPr>
      </w:pPr>
      <w:r>
        <w:rPr>
          <w:rStyle w:val="5"/>
          <w:rFonts w:hint="eastAsia" w:ascii="仿宋_GB2312" w:hAnsi="微软雅黑" w:eastAsia="仿宋_GB2312" w:cs="仿宋_GB2312"/>
          <w:i w:val="0"/>
          <w:iCs w:val="0"/>
          <w:caps w:val="0"/>
          <w:color w:val="333333"/>
          <w:spacing w:val="0"/>
          <w:sz w:val="31"/>
          <w:szCs w:val="31"/>
          <w:highlight w:val="none"/>
        </w:rPr>
        <w:t>监督保障情况。</w:t>
      </w:r>
    </w:p>
    <w:p>
      <w:pPr>
        <w:pStyle w:val="2"/>
        <w:keepNext w:val="0"/>
        <w:keepLines w:val="0"/>
        <w:widowControl/>
        <w:suppressLineNumbers w:val="0"/>
        <w:spacing w:before="0" w:beforeAutospacing="0" w:after="0" w:afterAutospacing="0" w:line="26" w:lineRule="atLeast"/>
        <w:ind w:firstLine="622" w:firstLineChars="200"/>
        <w:rPr>
          <w:rStyle w:val="5"/>
          <w:rFonts w:hint="eastAsia" w:ascii="仿宋_GB2312" w:hAnsi="微软雅黑" w:eastAsia="仿宋_GB2312" w:cs="仿宋_GB2312"/>
          <w:i w:val="0"/>
          <w:iCs w:val="0"/>
          <w:caps w:val="0"/>
          <w:color w:val="333333"/>
          <w:spacing w:val="0"/>
          <w:sz w:val="31"/>
          <w:szCs w:val="31"/>
          <w:highlight w:val="none"/>
        </w:rPr>
      </w:pPr>
      <w:r>
        <w:rPr>
          <w:rStyle w:val="5"/>
          <w:rFonts w:hint="eastAsia" w:ascii="仿宋_GB2312" w:hAnsi="微软雅黑" w:eastAsia="仿宋_GB2312" w:cs="仿宋_GB2312"/>
          <w:i w:val="0"/>
          <w:iCs w:val="0"/>
          <w:caps w:val="0"/>
          <w:color w:val="333333"/>
          <w:spacing w:val="0"/>
          <w:sz w:val="31"/>
          <w:szCs w:val="31"/>
          <w:highlight w:val="none"/>
          <w:lang w:val="en-US" w:eastAsia="zh-CN"/>
        </w:rPr>
        <w:t>1、</w:t>
      </w:r>
      <w:r>
        <w:rPr>
          <w:rStyle w:val="5"/>
          <w:rFonts w:hint="eastAsia" w:ascii="仿宋_GB2312" w:hAnsi="微软雅黑" w:eastAsia="仿宋_GB2312" w:cs="仿宋_GB2312"/>
          <w:i w:val="0"/>
          <w:iCs w:val="0"/>
          <w:caps w:val="0"/>
          <w:color w:val="333333"/>
          <w:spacing w:val="0"/>
          <w:sz w:val="31"/>
          <w:szCs w:val="31"/>
          <w:highlight w:val="none"/>
        </w:rPr>
        <w:t>局机关各</w:t>
      </w:r>
      <w:r>
        <w:rPr>
          <w:rStyle w:val="5"/>
          <w:rFonts w:hint="eastAsia" w:ascii="仿宋_GB2312" w:hAnsi="微软雅黑" w:eastAsia="仿宋_GB2312" w:cs="仿宋_GB2312"/>
          <w:i w:val="0"/>
          <w:iCs w:val="0"/>
          <w:caps w:val="0"/>
          <w:color w:val="333333"/>
          <w:spacing w:val="0"/>
          <w:sz w:val="31"/>
          <w:szCs w:val="31"/>
          <w:highlight w:val="none"/>
          <w:lang w:eastAsia="zh-CN"/>
        </w:rPr>
        <w:t>科</w:t>
      </w:r>
      <w:r>
        <w:rPr>
          <w:rStyle w:val="5"/>
          <w:rFonts w:hint="eastAsia" w:ascii="仿宋_GB2312" w:hAnsi="微软雅黑" w:eastAsia="仿宋_GB2312" w:cs="仿宋_GB2312"/>
          <w:i w:val="0"/>
          <w:iCs w:val="0"/>
          <w:caps w:val="0"/>
          <w:color w:val="333333"/>
          <w:spacing w:val="0"/>
          <w:sz w:val="31"/>
          <w:szCs w:val="31"/>
          <w:highlight w:val="none"/>
        </w:rPr>
        <w:t>室进一步强化政务公开工作的组织领导，明确责任分工，</w:t>
      </w:r>
      <w:r>
        <w:rPr>
          <w:rStyle w:val="5"/>
          <w:rFonts w:hint="eastAsia" w:ascii="仿宋_GB2312" w:hAnsi="微软雅黑" w:eastAsia="仿宋_GB2312" w:cs="仿宋_GB2312"/>
          <w:i w:val="0"/>
          <w:iCs w:val="0"/>
          <w:caps w:val="0"/>
          <w:color w:val="333333"/>
          <w:spacing w:val="0"/>
          <w:sz w:val="31"/>
          <w:szCs w:val="31"/>
          <w:highlight w:val="none"/>
          <w:lang w:eastAsia="zh-CN"/>
        </w:rPr>
        <w:t>由</w:t>
      </w:r>
      <w:r>
        <w:rPr>
          <w:rStyle w:val="5"/>
          <w:rFonts w:hint="eastAsia" w:ascii="仿宋_GB2312" w:hAnsi="微软雅黑" w:eastAsia="仿宋_GB2312" w:cs="仿宋_GB2312"/>
          <w:i w:val="0"/>
          <w:iCs w:val="0"/>
          <w:caps w:val="0"/>
          <w:color w:val="333333"/>
          <w:spacing w:val="0"/>
          <w:sz w:val="31"/>
          <w:szCs w:val="31"/>
          <w:highlight w:val="none"/>
        </w:rPr>
        <w:t>内设机构政策法规科承担政府信息和政务公开工作</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切实把政务公开工作摆上重要议事日程，健全完善工作机制，强化责任落实，严格执行《中华人民共和国政府信息公开条例》等相关法律法规的规定，加大监督检查力度，及时纠正违反规定的行为</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为全面推进我局政务公开工作提供有力的组织保障。</w:t>
      </w:r>
    </w:p>
    <w:p>
      <w:pPr>
        <w:pStyle w:val="2"/>
        <w:keepNext w:val="0"/>
        <w:keepLines w:val="0"/>
        <w:widowControl/>
        <w:suppressLineNumbers w:val="0"/>
        <w:spacing w:before="0" w:beforeAutospacing="0" w:after="0" w:afterAutospacing="0" w:line="26" w:lineRule="atLeast"/>
        <w:ind w:firstLine="622" w:firstLineChars="200"/>
        <w:rPr>
          <w:rStyle w:val="5"/>
          <w:rFonts w:hint="eastAsia" w:ascii="仿宋_GB2312" w:hAnsi="微软雅黑" w:eastAsia="仿宋_GB2312" w:cs="仿宋_GB2312"/>
          <w:i w:val="0"/>
          <w:iCs w:val="0"/>
          <w:caps w:val="0"/>
          <w:color w:val="333333"/>
          <w:spacing w:val="0"/>
          <w:sz w:val="31"/>
          <w:szCs w:val="31"/>
          <w:highlight w:val="none"/>
          <w:lang w:eastAsia="zh-CN"/>
        </w:rPr>
      </w:pPr>
      <w:r>
        <w:rPr>
          <w:rStyle w:val="5"/>
          <w:rFonts w:hint="eastAsia" w:ascii="仿宋_GB2312" w:hAnsi="微软雅黑" w:eastAsia="仿宋_GB2312" w:cs="仿宋_GB2312"/>
          <w:i w:val="0"/>
          <w:iCs w:val="0"/>
          <w:caps w:val="0"/>
          <w:color w:val="333333"/>
          <w:spacing w:val="0"/>
          <w:sz w:val="31"/>
          <w:szCs w:val="31"/>
          <w:highlight w:val="none"/>
          <w:lang w:val="en-US" w:eastAsia="zh-CN"/>
        </w:rPr>
        <w:t>2、</w:t>
      </w:r>
      <w:r>
        <w:rPr>
          <w:rStyle w:val="5"/>
          <w:rFonts w:hint="eastAsia" w:ascii="仿宋_GB2312" w:hAnsi="微软雅黑" w:eastAsia="仿宋_GB2312" w:cs="仿宋_GB2312"/>
          <w:i w:val="0"/>
          <w:iCs w:val="0"/>
          <w:caps w:val="0"/>
          <w:color w:val="333333"/>
          <w:spacing w:val="0"/>
          <w:sz w:val="31"/>
          <w:szCs w:val="31"/>
          <w:highlight w:val="none"/>
        </w:rPr>
        <w:t>加强培训交流。</w:t>
      </w:r>
      <w:r>
        <w:rPr>
          <w:rStyle w:val="5"/>
          <w:rFonts w:hint="eastAsia" w:ascii="仿宋_GB2312" w:hAnsi="微软雅黑" w:eastAsia="仿宋_GB2312" w:cs="仿宋_GB2312"/>
          <w:i w:val="0"/>
          <w:iCs w:val="0"/>
          <w:caps w:val="0"/>
          <w:color w:val="333333"/>
          <w:spacing w:val="0"/>
          <w:sz w:val="31"/>
          <w:szCs w:val="31"/>
          <w:highlight w:val="none"/>
          <w:lang w:eastAsia="zh-CN"/>
        </w:rPr>
        <w:t>积极参加</w:t>
      </w:r>
      <w:r>
        <w:rPr>
          <w:rStyle w:val="5"/>
          <w:rFonts w:hint="eastAsia" w:ascii="仿宋_GB2312" w:hAnsi="微软雅黑" w:eastAsia="仿宋_GB2312" w:cs="仿宋_GB2312"/>
          <w:i w:val="0"/>
          <w:iCs w:val="0"/>
          <w:caps w:val="0"/>
          <w:color w:val="333333"/>
          <w:spacing w:val="0"/>
          <w:sz w:val="31"/>
          <w:szCs w:val="31"/>
          <w:highlight w:val="none"/>
        </w:rPr>
        <w:t>政务信息公开业务培训和交流</w:t>
      </w:r>
      <w:r>
        <w:rPr>
          <w:rStyle w:val="5"/>
          <w:rFonts w:hint="eastAsia" w:ascii="仿宋_GB2312" w:hAnsi="微软雅黑" w:eastAsia="仿宋_GB2312" w:cs="仿宋_GB2312"/>
          <w:i w:val="0"/>
          <w:iCs w:val="0"/>
          <w:caps w:val="0"/>
          <w:color w:val="333333"/>
          <w:spacing w:val="0"/>
          <w:sz w:val="31"/>
          <w:szCs w:val="31"/>
          <w:highlight w:val="none"/>
          <w:lang w:eastAsia="zh-CN"/>
        </w:rPr>
        <w:t>活动</w:t>
      </w:r>
      <w:r>
        <w:rPr>
          <w:rStyle w:val="5"/>
          <w:rFonts w:hint="eastAsia" w:ascii="仿宋_GB2312" w:hAnsi="微软雅黑" w:eastAsia="仿宋_GB2312" w:cs="仿宋_GB2312"/>
          <w:i w:val="0"/>
          <w:iCs w:val="0"/>
          <w:caps w:val="0"/>
          <w:color w:val="333333"/>
          <w:spacing w:val="0"/>
          <w:sz w:val="31"/>
          <w:szCs w:val="31"/>
          <w:highlight w:val="none"/>
        </w:rPr>
        <w:t>，提高全局</w:t>
      </w:r>
      <w:r>
        <w:rPr>
          <w:rStyle w:val="5"/>
          <w:rFonts w:hint="eastAsia" w:ascii="仿宋_GB2312" w:hAnsi="微软雅黑" w:eastAsia="仿宋_GB2312" w:cs="仿宋_GB2312"/>
          <w:i w:val="0"/>
          <w:iCs w:val="0"/>
          <w:caps w:val="0"/>
          <w:color w:val="333333"/>
          <w:spacing w:val="0"/>
          <w:sz w:val="31"/>
          <w:szCs w:val="31"/>
          <w:highlight w:val="none"/>
          <w:lang w:eastAsia="zh-CN"/>
        </w:rPr>
        <w:t>工作人员</w:t>
      </w:r>
      <w:r>
        <w:rPr>
          <w:rStyle w:val="5"/>
          <w:rFonts w:hint="eastAsia" w:ascii="仿宋_GB2312" w:hAnsi="微软雅黑" w:eastAsia="仿宋_GB2312" w:cs="仿宋_GB2312"/>
          <w:i w:val="0"/>
          <w:iCs w:val="0"/>
          <w:caps w:val="0"/>
          <w:color w:val="333333"/>
          <w:spacing w:val="0"/>
          <w:sz w:val="31"/>
          <w:szCs w:val="31"/>
          <w:highlight w:val="none"/>
        </w:rPr>
        <w:t>的政务公开意识。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黑体" w:hAnsi="黑体" w:eastAsia="黑体" w:cs="黑体"/>
          <w:b w:val="0"/>
          <w:bCs/>
          <w:i w:val="0"/>
          <w:caps w:val="0"/>
          <w:color w:val="333333"/>
          <w:spacing w:val="0"/>
          <w:sz w:val="32"/>
          <w:szCs w:val="32"/>
          <w:highlight w:val="none"/>
        </w:rPr>
      </w:pPr>
      <w:r>
        <w:rPr>
          <w:rFonts w:hint="eastAsia" w:ascii="黑体" w:hAnsi="黑体" w:eastAsia="黑体" w:cs="黑体"/>
          <w:b w:val="0"/>
          <w:bCs/>
          <w:i w:val="0"/>
          <w:caps w:val="0"/>
          <w:color w:val="333333"/>
          <w:spacing w:val="0"/>
          <w:sz w:val="32"/>
          <w:szCs w:val="32"/>
          <w:highlight w:val="none"/>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 w:eastAsia="zh-CN"/>
              </w:rPr>
            </w:pPr>
            <w:r>
              <w:rPr>
                <w:rFonts w:hint="default" w:ascii="仿宋_GB2312" w:hAnsi="Calibri" w:eastAsia="仿宋_GB2312" w:cs="Calibri"/>
                <w:color w:val="auto"/>
                <w:kern w:val="0"/>
                <w:szCs w:val="21"/>
                <w:highlight w:val="none"/>
                <w:lang w:val="en" w:eastAsia="zh-CN"/>
              </w:rPr>
              <w:t>141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 w:eastAsia="zh-CN"/>
              </w:rPr>
            </w:pPr>
            <w:r>
              <w:rPr>
                <w:rFonts w:hint="default" w:ascii="仿宋_GB2312" w:hAnsi="Calibri" w:eastAsia="仿宋_GB2312" w:cs="Calibri"/>
                <w:color w:val="auto"/>
                <w:kern w:val="0"/>
                <w:szCs w:val="21"/>
                <w:highlight w:val="none"/>
                <w:lang w:val="en" w:eastAsia="zh-CN"/>
              </w:rPr>
              <w:t>25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bl>
    <w:p>
      <w:pPr>
        <w:rPr>
          <w:rFonts w:hint="eastAsia" w:ascii="黑体" w:hAnsi="黑体" w:eastAsia="黑体" w:cs="黑体"/>
          <w:b w:val="0"/>
          <w:bCs/>
          <w:i w:val="0"/>
          <w:caps w:val="0"/>
          <w:color w:val="333333"/>
          <w:spacing w:val="0"/>
          <w:kern w:val="0"/>
          <w:sz w:val="32"/>
          <w:szCs w:val="32"/>
          <w:highlight w:val="none"/>
          <w:shd w:val="clear" w:fill="FFFFFF"/>
          <w:lang w:val="en-US" w:eastAsia="zh-CN" w:bidi="ar"/>
        </w:rPr>
      </w:pPr>
      <w:r>
        <w:rPr>
          <w:rFonts w:hint="eastAsia" w:ascii="黑体" w:hAnsi="黑体" w:eastAsia="黑体" w:cs="黑体"/>
          <w:b w:val="0"/>
          <w:bCs/>
          <w:i w:val="0"/>
          <w:caps w:val="0"/>
          <w:color w:val="333333"/>
          <w:spacing w:val="0"/>
          <w:kern w:val="0"/>
          <w:sz w:val="32"/>
          <w:szCs w:val="32"/>
          <w:highlight w:val="none"/>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highlight w:val="none"/>
              </w:rPr>
            </w:pPr>
            <w:r>
              <w:rPr>
                <w:rFonts w:hint="eastAsia" w:ascii="楷体_GB2312" w:hAnsi="黑体" w:eastAsia="楷体_GB2312"/>
                <w:kern w:val="0"/>
                <w:szCs w:val="21"/>
                <w:highlight w:val="none"/>
              </w:rPr>
              <w:t>（本列数据的勾稽关系为：第一项加第二项之和，</w:t>
            </w:r>
          </w:p>
          <w:p>
            <w:pPr>
              <w:widowControl/>
              <w:jc w:val="center"/>
              <w:rPr>
                <w:rFonts w:ascii="仿宋_GB2312" w:hAnsi="Times New Roman" w:eastAsia="仿宋_GB2312"/>
                <w:szCs w:val="21"/>
                <w:highlight w:val="none"/>
              </w:rPr>
            </w:pPr>
            <w:r>
              <w:rPr>
                <w:rFonts w:hint="eastAsia" w:ascii="楷体_GB2312" w:hAnsi="黑体" w:eastAsia="楷体_GB2312"/>
                <w:kern w:val="0"/>
                <w:szCs w:val="21"/>
                <w:highlight w:val="none"/>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highlight w:val="none"/>
              </w:rPr>
            </w:pPr>
            <w:r>
              <w:rPr>
                <w:rFonts w:hint="eastAsia" w:ascii="黑体" w:hAnsi="黑体" w:eastAsia="黑体"/>
                <w:kern w:val="0"/>
                <w:szCs w:val="21"/>
                <w:highlight w:val="none"/>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highlight w:val="none"/>
              </w:rPr>
            </w:pPr>
            <w:r>
              <w:rPr>
                <w:rFonts w:hint="eastAsia" w:ascii="黑体" w:hAnsi="黑体" w:eastAsia="黑体"/>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c>
          <w:tcPr>
            <w:tcW w:w="747" w:type="dxa"/>
            <w:vMerge w:val="continue"/>
            <w:shd w:val="clear" w:color="auto" w:fill="auto"/>
            <w:tcMar>
              <w:left w:w="108" w:type="dxa"/>
              <w:right w:w="108" w:type="dxa"/>
            </w:tcMar>
            <w:vAlign w:val="center"/>
          </w:tcPr>
          <w:p>
            <w:pPr>
              <w:jc w:val="center"/>
              <w:rPr>
                <w:rFonts w:ascii="黑体" w:hAnsi="黑体" w:eastAsia="黑体"/>
                <w:szCs w:val="21"/>
                <w:highlight w:val="none"/>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highlight w:val="none"/>
              </w:rPr>
            </w:pPr>
            <w:r>
              <w:rPr>
                <w:rFonts w:hint="eastAsia" w:ascii="黑体" w:hAnsi="黑体" w:eastAsia="黑体"/>
                <w:kern w:val="0"/>
                <w:szCs w:val="21"/>
                <w:highlight w:val="none"/>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一、</w:t>
            </w:r>
            <w:bookmarkStart w:id="0" w:name="_Hlk66973412"/>
            <w:r>
              <w:rPr>
                <w:rFonts w:hint="eastAsia" w:ascii="黑体" w:hAnsi="黑体" w:eastAsia="黑体"/>
                <w:kern w:val="0"/>
                <w:szCs w:val="21"/>
                <w:highlight w:val="none"/>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highlight w:val="none"/>
              </w:rPr>
            </w:pPr>
            <w:r>
              <w:rPr>
                <w:rFonts w:hint="eastAsia" w:ascii="黑体" w:hAnsi="黑体" w:eastAsia="黑体"/>
                <w:kern w:val="0"/>
                <w:szCs w:val="21"/>
                <w:highlight w:val="none"/>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1</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eastAsia="zh-CN"/>
              </w:rPr>
            </w:pPr>
            <w:r>
              <w:rPr>
                <w:rFonts w:hint="default" w:ascii="仿宋_GB2312" w:hAnsi="Times New Roman" w:eastAsia="仿宋_GB2312"/>
                <w:color w:val="auto"/>
                <w:szCs w:val="21"/>
                <w:highlight w:val="none"/>
                <w:lang w:val="en"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4677" w:type="dxa"/>
            <w:gridSpan w:val="2"/>
            <w:shd w:val="clear" w:color="auto" w:fill="auto"/>
            <w:tcMar>
              <w:left w:w="108" w:type="dxa"/>
              <w:right w:w="108" w:type="dxa"/>
            </w:tcMar>
            <w:vAlign w:val="center"/>
          </w:tcPr>
          <w:p>
            <w:pPr>
              <w:widowControl/>
              <w:rPr>
                <w:rFonts w:ascii="黑体" w:hAnsi="黑体" w:eastAsia="黑体"/>
                <w:szCs w:val="21"/>
                <w:highlight w:val="none"/>
              </w:rPr>
            </w:pPr>
            <w:r>
              <w:rPr>
                <w:rFonts w:hint="eastAsia" w:ascii="黑体" w:hAnsi="黑体" w:eastAsia="黑体"/>
                <w:kern w:val="0"/>
                <w:szCs w:val="21"/>
                <w:highlight w:val="none"/>
              </w:rPr>
              <w:t>（二）部分公开（</w:t>
            </w:r>
            <w:bookmarkStart w:id="1" w:name="_Hlk66973981"/>
            <w:r>
              <w:rPr>
                <w:rFonts w:hint="eastAsia" w:ascii="黑体" w:hAnsi="黑体" w:eastAsia="黑体"/>
                <w:kern w:val="0"/>
                <w:szCs w:val="21"/>
                <w:highlight w:val="none"/>
              </w:rPr>
              <w:t>区分处理的，只计这一情形，不计其他情形</w:t>
            </w:r>
            <w:bookmarkEnd w:id="1"/>
            <w:r>
              <w:rPr>
                <w:rFonts w:hint="eastAsia" w:ascii="黑体" w:hAnsi="黑体" w:eastAsia="黑体"/>
                <w:kern w:val="0"/>
                <w:szCs w:val="21"/>
                <w:highlight w:val="none"/>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2" w:name="_Hlk66974104"/>
            <w:r>
              <w:rPr>
                <w:rFonts w:hint="eastAsia" w:ascii="仿宋_GB2312" w:hAnsi="黑体" w:eastAsia="仿宋_GB2312"/>
                <w:kern w:val="0"/>
                <w:szCs w:val="21"/>
                <w:highlight w:val="none"/>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4.</w:t>
            </w:r>
            <w:bookmarkStart w:id="3" w:name="_Hlk66974290"/>
            <w:r>
              <w:rPr>
                <w:rFonts w:hint="eastAsia" w:ascii="仿宋_GB2312" w:hAnsi="黑体" w:eastAsia="仿宋_GB2312"/>
                <w:kern w:val="0"/>
                <w:szCs w:val="21"/>
                <w:highlight w:val="none"/>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6.</w:t>
            </w:r>
            <w:bookmarkStart w:id="4" w:name="_Hlk66974555"/>
            <w:r>
              <w:rPr>
                <w:rFonts w:hint="eastAsia" w:ascii="仿宋_GB2312" w:hAnsi="黑体" w:eastAsia="仿宋_GB2312"/>
                <w:kern w:val="0"/>
                <w:szCs w:val="21"/>
                <w:highlight w:val="none"/>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8.</w:t>
            </w:r>
            <w:bookmarkStart w:id="5" w:name="_Hlk66975211"/>
            <w:r>
              <w:rPr>
                <w:rFonts w:hint="eastAsia" w:ascii="仿宋_GB2312" w:hAnsi="黑体" w:eastAsia="仿宋_GB2312"/>
                <w:kern w:val="0"/>
                <w:szCs w:val="21"/>
                <w:highlight w:val="none"/>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6" w:name="_Hlk66975392"/>
            <w:r>
              <w:rPr>
                <w:rFonts w:hint="eastAsia" w:ascii="仿宋_GB2312" w:hAnsi="黑体" w:eastAsia="仿宋_GB2312"/>
                <w:kern w:val="0"/>
                <w:szCs w:val="21"/>
                <w:highlight w:val="none"/>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3.</w:t>
            </w:r>
            <w:bookmarkStart w:id="7" w:name="_Hlk66975466"/>
            <w:r>
              <w:rPr>
                <w:rFonts w:hint="eastAsia" w:ascii="仿宋_GB2312" w:hAnsi="黑体" w:eastAsia="仿宋_GB2312"/>
                <w:kern w:val="0"/>
                <w:szCs w:val="21"/>
                <w:highlight w:val="none"/>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w:t>
            </w:r>
            <w:bookmarkStart w:id="8" w:name="_Hlk66975537"/>
            <w:r>
              <w:rPr>
                <w:rFonts w:hint="eastAsia" w:ascii="仿宋_GB2312" w:hAnsi="黑体" w:eastAsia="仿宋_GB2312"/>
                <w:kern w:val="0"/>
                <w:szCs w:val="21"/>
                <w:highlight w:val="none"/>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highlight w:val="none"/>
              </w:rPr>
            </w:pPr>
            <w:r>
              <w:rPr>
                <w:rFonts w:hint="eastAsia" w:ascii="仿宋_GB2312" w:hAnsi="黑体" w:eastAsia="仿宋_GB2312"/>
                <w:kern w:val="0"/>
                <w:szCs w:val="21"/>
                <w:highlight w:val="none"/>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highlight w:val="none"/>
              </w:rPr>
            </w:pPr>
            <w:r>
              <w:rPr>
                <w:rFonts w:hint="eastAsia" w:ascii="仿宋_GB2312" w:hAnsi="黑体" w:eastAsia="仿宋_GB2312"/>
                <w:kern w:val="0"/>
                <w:szCs w:val="21"/>
                <w:highlight w:val="none"/>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highlight w:val="none"/>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5.要求行政机关确认或重新</w:t>
            </w:r>
          </w:p>
          <w:p>
            <w:pPr>
              <w:widowControl/>
              <w:spacing w:line="300" w:lineRule="exact"/>
              <w:ind w:firstLine="210" w:firstLineChars="100"/>
              <w:rPr>
                <w:rFonts w:ascii="仿宋_GB2312" w:hAnsi="黑体" w:eastAsia="仿宋_GB2312"/>
                <w:szCs w:val="21"/>
                <w:highlight w:val="none"/>
              </w:rPr>
            </w:pPr>
            <w:r>
              <w:rPr>
                <w:rFonts w:hint="eastAsia" w:ascii="仿宋_GB2312" w:hAnsi="黑体" w:eastAsia="仿宋_GB2312"/>
                <w:kern w:val="0"/>
                <w:szCs w:val="21"/>
                <w:highlight w:val="none"/>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（六）其他处理</w:t>
            </w:r>
          </w:p>
        </w:tc>
        <w:tc>
          <w:tcPr>
            <w:tcW w:w="2976" w:type="dxa"/>
            <w:shd w:val="clear" w:color="auto" w:fill="auto"/>
            <w:vAlign w:val="center"/>
          </w:tcPr>
          <w:p>
            <w:pPr>
              <w:widowControl/>
              <w:spacing w:line="300" w:lineRule="exact"/>
              <w:rPr>
                <w:rFonts w:ascii="仿宋_GB2312" w:hAnsi="楷体" w:eastAsia="仿宋_GB2312"/>
                <w:highlight w:val="none"/>
              </w:rPr>
            </w:pPr>
            <w:r>
              <w:rPr>
                <w:rFonts w:hint="eastAsia" w:ascii="仿宋_GB2312" w:hAnsi="楷体" w:eastAsia="仿宋_GB2312"/>
                <w:highlight w:val="none"/>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highlight w:val="none"/>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rPr>
            </w:pPr>
            <w:r>
              <w:rPr>
                <w:rFonts w:hint="default" w:ascii="仿宋_GB2312" w:hAnsi="Times New Roman" w:eastAsia="仿宋_GB2312"/>
                <w:color w:val="auto"/>
                <w:szCs w:val="21"/>
                <w:highlight w:val="none"/>
                <w:lang w:val="en"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
              </w:rPr>
            </w:pPr>
            <w:r>
              <w:rPr>
                <w:rFonts w:hint="default" w:ascii="仿宋_GB2312" w:hAnsi="Times New Roman" w:eastAsia="仿宋_GB2312"/>
                <w:color w:val="auto"/>
                <w:szCs w:val="21"/>
                <w:highlight w:val="none"/>
                <w:lang w:val="en"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0</w:t>
            </w:r>
          </w:p>
        </w:tc>
      </w:tr>
    </w:tbl>
    <w:p>
      <w:pPr>
        <w:widowControl/>
        <w:jc w:val="left"/>
        <w:rPr>
          <w:rFonts w:hint="eastAsia" w:ascii="仿宋_GB2312" w:hAnsi="Calibri" w:eastAsia="仿宋_GB2312" w:cs="Calibri"/>
          <w:color w:val="FF0000"/>
          <w:kern w:val="0"/>
          <w:szCs w:val="21"/>
          <w:highlight w:val="none"/>
          <w:lang w:val="en-US" w:eastAsia="zh-CN"/>
        </w:rPr>
      </w:pPr>
    </w:p>
    <w:p>
      <w:pPr>
        <w:rPr>
          <w:rFonts w:ascii="仿宋_GB2312" w:eastAsia="仿宋_GB2312"/>
          <w:sz w:val="32"/>
          <w:szCs w:val="32"/>
          <w:highlight w:val="none"/>
        </w:rPr>
      </w:pPr>
      <w:r>
        <w:rPr>
          <w:rFonts w:hint="eastAsia" w:ascii="黑体" w:hAnsi="黑体" w:eastAsia="黑体" w:cs="黑体"/>
          <w:b w:val="0"/>
          <w:bCs/>
          <w:i w:val="0"/>
          <w:caps w:val="0"/>
          <w:color w:val="333333"/>
          <w:spacing w:val="0"/>
          <w:kern w:val="0"/>
          <w:sz w:val="32"/>
          <w:szCs w:val="32"/>
          <w:highlight w:val="none"/>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highlight w:val="none"/>
              </w:rPr>
            </w:pPr>
            <w:r>
              <w:rPr>
                <w:rFonts w:ascii="黑体" w:hAnsi="黑体" w:eastAsia="黑体"/>
                <w:kern w:val="0"/>
                <w:sz w:val="20"/>
                <w:szCs w:val="20"/>
                <w:highlight w:val="none"/>
              </w:rPr>
              <w:t>结果</w:t>
            </w:r>
          </w:p>
          <w:p>
            <w:pPr>
              <w:widowControl/>
              <w:ind w:left="-149" w:leftChars="-71" w:right="-170" w:rightChars="-81"/>
              <w:jc w:val="center"/>
              <w:rPr>
                <w:rFonts w:ascii="黑体" w:hAnsi="黑体" w:eastAsia="黑体"/>
                <w:highlight w:val="none"/>
              </w:rPr>
            </w:pPr>
            <w:r>
              <w:rPr>
                <w:rFonts w:ascii="黑体" w:hAnsi="黑体" w:eastAsia="黑体"/>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highlight w:val="none"/>
              </w:rPr>
            </w:pPr>
            <w:r>
              <w:rPr>
                <w:rFonts w:ascii="黑体" w:hAnsi="黑体" w:eastAsia="黑体"/>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highlight w:val="none"/>
              </w:rPr>
            </w:pPr>
            <w:r>
              <w:rPr>
                <w:rFonts w:ascii="黑体" w:hAnsi="黑体" w:eastAsia="黑体"/>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highlight w:val="none"/>
              </w:rPr>
            </w:pPr>
            <w:r>
              <w:rPr>
                <w:rFonts w:ascii="黑体" w:hAnsi="黑体" w:eastAsia="黑体"/>
                <w:kern w:val="0"/>
                <w:sz w:val="20"/>
                <w:szCs w:val="20"/>
                <w:highlight w:val="none"/>
              </w:rPr>
              <w:t>尚未</w:t>
            </w:r>
          </w:p>
          <w:p>
            <w:pPr>
              <w:widowControl/>
              <w:ind w:left="-118" w:leftChars="-56" w:right="-118" w:rightChars="-56"/>
              <w:jc w:val="center"/>
              <w:rPr>
                <w:rFonts w:ascii="黑体" w:hAnsi="黑体" w:eastAsia="黑体"/>
                <w:highlight w:val="none"/>
              </w:rPr>
            </w:pPr>
            <w:r>
              <w:rPr>
                <w:rFonts w:ascii="黑体" w:hAnsi="黑体" w:eastAsia="黑体"/>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highlight w:val="none"/>
              </w:rPr>
            </w:pPr>
            <w:r>
              <w:rPr>
                <w:rFonts w:ascii="黑体" w:hAnsi="黑体" w:eastAsia="黑体"/>
                <w:kern w:val="0"/>
                <w:sz w:val="20"/>
                <w:szCs w:val="20"/>
                <w:highlight w:val="none"/>
              </w:rPr>
              <w:t>总</w:t>
            </w:r>
          </w:p>
          <w:p>
            <w:pPr>
              <w:widowControl/>
              <w:spacing w:line="320" w:lineRule="exact"/>
              <w:jc w:val="center"/>
              <w:rPr>
                <w:rFonts w:ascii="黑体" w:hAnsi="黑体" w:eastAsia="黑体"/>
                <w:highlight w:val="none"/>
              </w:rPr>
            </w:pPr>
            <w:r>
              <w:rPr>
                <w:rFonts w:ascii="黑体" w:hAnsi="黑体" w:eastAsia="黑体"/>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bookmarkStart w:id="9" w:name="_Hlk67039688"/>
            <w:r>
              <w:rPr>
                <w:rFonts w:ascii="黑体" w:hAnsi="黑体" w:eastAsia="黑体"/>
                <w:kern w:val="0"/>
                <w:sz w:val="20"/>
                <w:szCs w:val="20"/>
                <w:highlight w:val="none"/>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highlight w:val="none"/>
              </w:rPr>
            </w:pPr>
            <w:r>
              <w:rPr>
                <w:rFonts w:ascii="黑体" w:hAnsi="黑体" w:eastAsia="黑体"/>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highlight w:val="none"/>
              </w:rPr>
            </w:pPr>
            <w:r>
              <w:rPr>
                <w:rFonts w:ascii="黑体" w:hAnsi="黑体" w:eastAsia="黑体"/>
                <w:kern w:val="0"/>
                <w:sz w:val="20"/>
                <w:szCs w:val="20"/>
                <w:highlight w:val="none"/>
              </w:rPr>
              <w:t>其他</w:t>
            </w:r>
          </w:p>
          <w:p>
            <w:pPr>
              <w:widowControl/>
              <w:ind w:left="-126" w:leftChars="-60" w:right="-136" w:rightChars="-65"/>
              <w:jc w:val="center"/>
              <w:rPr>
                <w:rFonts w:ascii="黑体" w:hAnsi="黑体" w:eastAsia="黑体"/>
                <w:highlight w:val="none"/>
              </w:rPr>
            </w:pPr>
            <w:r>
              <w:rPr>
                <w:rFonts w:ascii="黑体" w:hAnsi="黑体" w:eastAsia="黑体"/>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highlight w:val="none"/>
              </w:rPr>
            </w:pPr>
            <w:r>
              <w:rPr>
                <w:rFonts w:ascii="黑体" w:hAnsi="黑体" w:eastAsia="黑体"/>
                <w:kern w:val="0"/>
                <w:sz w:val="20"/>
                <w:szCs w:val="20"/>
                <w:highlight w:val="none"/>
              </w:rPr>
              <w:t>尚未</w:t>
            </w:r>
          </w:p>
          <w:p>
            <w:pPr>
              <w:widowControl/>
              <w:ind w:left="-164" w:leftChars="-78" w:right="-153" w:rightChars="-73"/>
              <w:jc w:val="center"/>
              <w:rPr>
                <w:rFonts w:ascii="黑体" w:hAnsi="黑体" w:eastAsia="黑体"/>
                <w:highlight w:val="none"/>
              </w:rPr>
            </w:pPr>
            <w:r>
              <w:rPr>
                <w:rFonts w:ascii="黑体" w:hAnsi="黑体" w:eastAsia="黑体"/>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highlight w:val="none"/>
              </w:rPr>
            </w:pPr>
            <w:r>
              <w:rPr>
                <w:rFonts w:ascii="黑体" w:hAnsi="黑体" w:eastAsia="黑体"/>
                <w:kern w:val="0"/>
                <w:sz w:val="20"/>
                <w:szCs w:val="20"/>
                <w:highlight w:val="none"/>
              </w:rPr>
              <w:t>结果</w:t>
            </w:r>
          </w:p>
          <w:p>
            <w:pPr>
              <w:widowControl/>
              <w:ind w:left="-136" w:leftChars="-65" w:right="-124" w:rightChars="-59"/>
              <w:jc w:val="center"/>
              <w:rPr>
                <w:rFonts w:ascii="黑体" w:hAnsi="黑体" w:eastAsia="黑体"/>
                <w:highlight w:val="none"/>
              </w:rPr>
            </w:pPr>
            <w:r>
              <w:rPr>
                <w:rFonts w:ascii="黑体" w:hAnsi="黑体" w:eastAsia="黑体"/>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highlight w:val="none"/>
              </w:rPr>
            </w:pPr>
            <w:r>
              <w:rPr>
                <w:rFonts w:ascii="黑体" w:hAnsi="黑体" w:eastAsia="黑体"/>
                <w:kern w:val="0"/>
                <w:sz w:val="20"/>
                <w:szCs w:val="20"/>
                <w:highlight w:val="none"/>
              </w:rPr>
              <w:t>其他</w:t>
            </w:r>
          </w:p>
          <w:p>
            <w:pPr>
              <w:widowControl/>
              <w:ind w:left="-173" w:leftChars="-83" w:right="-134" w:rightChars="-64" w:hanging="1"/>
              <w:jc w:val="center"/>
              <w:rPr>
                <w:rFonts w:ascii="黑体" w:hAnsi="黑体" w:eastAsia="黑体"/>
                <w:highlight w:val="none"/>
              </w:rPr>
            </w:pPr>
            <w:r>
              <w:rPr>
                <w:rFonts w:ascii="黑体" w:hAnsi="黑体" w:eastAsia="黑体"/>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highlight w:val="none"/>
              </w:rPr>
            </w:pPr>
            <w:r>
              <w:rPr>
                <w:rFonts w:ascii="黑体" w:hAnsi="黑体" w:eastAsia="黑体"/>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highlight w:val="none"/>
              </w:rPr>
            </w:pPr>
            <w:r>
              <w:rPr>
                <w:rFonts w:ascii="黑体" w:hAnsi="黑体" w:eastAsia="黑体"/>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highlight w:val="none"/>
                <w:lang w:val="en" w:eastAsia="zh-CN"/>
              </w:rPr>
            </w:pPr>
            <w:r>
              <w:rPr>
                <w:rFonts w:hint="default" w:ascii="Times New Roman" w:hAnsi="Times New Roman"/>
                <w:highlight w:val="none"/>
                <w:lang w:val="en"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highlight w:val="none"/>
                <w:lang w:val="en" w:eastAsia="zh-CN"/>
              </w:rPr>
            </w:pPr>
            <w:r>
              <w:rPr>
                <w:rFonts w:hint="default" w:ascii="Times New Roman" w:hAnsi="Times New Roman"/>
                <w:highlight w:val="none"/>
                <w:lang w:val="en"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ind w:firstLine="210" w:firstLineChars="100"/>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highlight w:val="none"/>
                <w:lang w:val="en-US" w:eastAsia="zh-CN"/>
              </w:rPr>
            </w:pPr>
            <w:r>
              <w:rPr>
                <w:rFonts w:hint="eastAsia" w:ascii="Times New Roman" w:hAnsi="Times New Roman"/>
                <w:highlight w:val="none"/>
                <w:lang w:val="en-US" w:eastAsia="zh-CN"/>
              </w:rPr>
              <w:t>0</w:t>
            </w:r>
          </w:p>
        </w:tc>
      </w:tr>
    </w:tbl>
    <w:p>
      <w:pPr>
        <w:widowControl/>
        <w:jc w:val="left"/>
        <w:rPr>
          <w:rFonts w:hint="eastAsia" w:ascii="仿宋_GB2312" w:hAnsi="Calibri" w:eastAsia="仿宋_GB2312" w:cs="Calibri"/>
          <w:color w:val="FF0000"/>
          <w:kern w:val="0"/>
          <w:szCs w:val="21"/>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highlight w:val="none"/>
          <w:shd w:val="clear" w:fill="FFFFFF"/>
          <w:lang w:val="en-US" w:eastAsia="zh-CN" w:bidi="ar"/>
        </w:rPr>
      </w:pPr>
      <w:r>
        <w:rPr>
          <w:rFonts w:hint="eastAsia" w:ascii="黑体" w:hAnsi="黑体" w:eastAsia="黑体" w:cs="黑体"/>
          <w:b w:val="0"/>
          <w:bCs/>
          <w:i w:val="0"/>
          <w:caps w:val="0"/>
          <w:color w:val="333333"/>
          <w:spacing w:val="0"/>
          <w:kern w:val="0"/>
          <w:sz w:val="32"/>
          <w:szCs w:val="32"/>
          <w:highlight w:val="none"/>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Style w:val="5"/>
          <w:rFonts w:hint="eastAsia" w:ascii="方正仿宋简体" w:hAnsi="方正仿宋简体" w:eastAsia="方正仿宋简体" w:cs="方正仿宋简体"/>
          <w:i w:val="0"/>
          <w:iCs w:val="0"/>
          <w:caps w:val="0"/>
          <w:color w:val="333333"/>
          <w:spacing w:val="0"/>
          <w:sz w:val="31"/>
          <w:szCs w:val="31"/>
          <w:highlight w:val="none"/>
          <w:lang w:val="en-US" w:eastAsia="zh-CN"/>
        </w:rPr>
      </w:pPr>
      <w:r>
        <w:rPr>
          <w:rStyle w:val="5"/>
          <w:rFonts w:hint="eastAsia" w:ascii="方正仿宋简体" w:hAnsi="方正仿宋简体" w:eastAsia="方正仿宋简体" w:cs="方正仿宋简体"/>
          <w:i w:val="0"/>
          <w:iCs w:val="0"/>
          <w:caps w:val="0"/>
          <w:color w:val="333333"/>
          <w:spacing w:val="0"/>
          <w:sz w:val="31"/>
          <w:szCs w:val="31"/>
          <w:highlight w:val="none"/>
          <w:lang w:val="en-US" w:eastAsia="zh-CN"/>
        </w:rPr>
        <w:t>对比2022年存在的政务公开公示数量不足问题，2023年公示情况有了极大改善。2023年梁山县住房和城乡建设局的信息公开工作与该项工作的高标准、严要求相比，还存在一定差距，信息公开的敏感性还不够，在今后的工作中，我们将针对此薄弱环节，采取切实有效措施,认真加以解决，进一步完善各项工作制度,总结实践经验，把握公开工作的规律性，研究解决公开过程中出现的新情况、新矛盾，坚持及时公布和更新信息，使政府信息公开工作做到有重点、有形式、有载体、有承诺、有实效, 不断提高梁山县住房和城乡建设局信息公开工作水平,推动政府信息公开工作上新台阶。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rFonts w:hint="eastAsia" w:ascii="微软雅黑" w:hAnsi="微软雅黑" w:eastAsia="微软雅黑" w:cs="微软雅黑"/>
          <w:i w:val="0"/>
          <w:iCs w:val="0"/>
          <w:caps w:val="0"/>
          <w:color w:val="333333"/>
          <w:spacing w:val="0"/>
          <w:sz w:val="21"/>
          <w:szCs w:val="21"/>
          <w:highlight w:val="none"/>
        </w:rPr>
      </w:pPr>
      <w:r>
        <w:rPr>
          <w:rStyle w:val="5"/>
          <w:rFonts w:hint="default" w:ascii="方正仿宋简体" w:hAnsi="方正仿宋简体" w:eastAsia="方正仿宋简体" w:cs="方正仿宋简体"/>
          <w:i w:val="0"/>
          <w:iCs w:val="0"/>
          <w:caps w:val="0"/>
          <w:color w:val="333333"/>
          <w:spacing w:val="0"/>
          <w:sz w:val="31"/>
          <w:szCs w:val="31"/>
          <w:highlight w:val="none"/>
        </w:rPr>
        <w:t>（</w:t>
      </w:r>
      <w:r>
        <w:rPr>
          <w:rStyle w:val="5"/>
          <w:rFonts w:hint="eastAsia" w:ascii="方正仿宋简体" w:hAnsi="方正仿宋简体" w:eastAsia="方正仿宋简体" w:cs="方正仿宋简体"/>
          <w:i w:val="0"/>
          <w:iCs w:val="0"/>
          <w:caps w:val="0"/>
          <w:color w:val="333333"/>
          <w:spacing w:val="0"/>
          <w:sz w:val="31"/>
          <w:szCs w:val="31"/>
          <w:highlight w:val="none"/>
          <w:lang w:eastAsia="zh-CN"/>
        </w:rPr>
        <w:t>一</w:t>
      </w:r>
      <w:r>
        <w:rPr>
          <w:rStyle w:val="5"/>
          <w:rFonts w:hint="default" w:ascii="方正仿宋简体" w:hAnsi="方正仿宋简体" w:eastAsia="方正仿宋简体" w:cs="方正仿宋简体"/>
          <w:i w:val="0"/>
          <w:iCs w:val="0"/>
          <w:caps w:val="0"/>
          <w:color w:val="333333"/>
          <w:spacing w:val="0"/>
          <w:sz w:val="31"/>
          <w:szCs w:val="31"/>
          <w:highlight w:val="none"/>
        </w:rPr>
        <w:t>）202</w:t>
      </w:r>
      <w:r>
        <w:rPr>
          <w:rStyle w:val="5"/>
          <w:rFonts w:hint="eastAsia" w:ascii="方正仿宋简体" w:hAnsi="方正仿宋简体" w:eastAsia="方正仿宋简体" w:cs="方正仿宋简体"/>
          <w:i w:val="0"/>
          <w:iCs w:val="0"/>
          <w:caps w:val="0"/>
          <w:color w:val="333333"/>
          <w:spacing w:val="0"/>
          <w:sz w:val="31"/>
          <w:szCs w:val="31"/>
          <w:highlight w:val="none"/>
          <w:lang w:val="en-US" w:eastAsia="zh-CN"/>
        </w:rPr>
        <w:t>3</w:t>
      </w:r>
      <w:r>
        <w:rPr>
          <w:rStyle w:val="5"/>
          <w:rFonts w:hint="default" w:ascii="方正仿宋简体" w:hAnsi="方正仿宋简体" w:eastAsia="方正仿宋简体" w:cs="方正仿宋简体"/>
          <w:i w:val="0"/>
          <w:iCs w:val="0"/>
          <w:caps w:val="0"/>
          <w:color w:val="333333"/>
          <w:spacing w:val="0"/>
          <w:sz w:val="31"/>
          <w:szCs w:val="31"/>
          <w:highlight w:val="none"/>
        </w:rPr>
        <w:t>年本机关政务公开工作要点情况：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Style w:val="5"/>
          <w:rFonts w:ascii="方正仿宋简体" w:hAnsi="方正仿宋简体" w:eastAsia="方正仿宋简体" w:cs="方正仿宋简体"/>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highlight w:val="none"/>
          <w:lang w:val="en-US" w:eastAsia="zh-CN"/>
        </w:rPr>
        <w:t>2023年我局</w:t>
      </w:r>
      <w:r>
        <w:rPr>
          <w:rStyle w:val="5"/>
          <w:rFonts w:hint="eastAsia" w:ascii="仿宋_GB2312" w:hAnsi="微软雅黑" w:eastAsia="仿宋_GB2312" w:cs="仿宋_GB2312"/>
          <w:i w:val="0"/>
          <w:iCs w:val="0"/>
          <w:caps w:val="0"/>
          <w:color w:val="333333"/>
          <w:spacing w:val="0"/>
          <w:sz w:val="31"/>
          <w:szCs w:val="31"/>
          <w:highlight w:val="none"/>
        </w:rPr>
        <w:t>按要求及时公布城乡建设发展规划，重点公开涉及社会公众利益的</w:t>
      </w:r>
      <w:r>
        <w:rPr>
          <w:rStyle w:val="5"/>
          <w:rFonts w:hint="eastAsia" w:ascii="仿宋_GB2312" w:hAnsi="微软雅黑" w:eastAsia="仿宋_GB2312" w:cs="仿宋_GB2312"/>
          <w:i w:val="0"/>
          <w:iCs w:val="0"/>
          <w:caps w:val="0"/>
          <w:color w:val="333333"/>
          <w:spacing w:val="0"/>
          <w:sz w:val="31"/>
          <w:szCs w:val="31"/>
          <w:highlight w:val="none"/>
          <w:lang w:eastAsia="zh-CN"/>
        </w:rPr>
        <w:t>行政执法信息</w:t>
      </w:r>
      <w:r>
        <w:rPr>
          <w:rStyle w:val="5"/>
          <w:rFonts w:hint="eastAsia" w:ascii="仿宋_GB2312" w:hAnsi="微软雅黑" w:eastAsia="仿宋_GB2312" w:cs="仿宋_GB2312"/>
          <w:i w:val="0"/>
          <w:iCs w:val="0"/>
          <w:caps w:val="0"/>
          <w:color w:val="333333"/>
          <w:spacing w:val="0"/>
          <w:sz w:val="31"/>
          <w:szCs w:val="31"/>
          <w:highlight w:val="none"/>
        </w:rPr>
        <w:t>，及时公开城乡建设发展</w:t>
      </w:r>
      <w:r>
        <w:rPr>
          <w:rStyle w:val="5"/>
          <w:rFonts w:hint="eastAsia" w:ascii="仿宋_GB2312" w:hAnsi="微软雅黑" w:eastAsia="仿宋_GB2312" w:cs="仿宋_GB2312"/>
          <w:i w:val="0"/>
          <w:iCs w:val="0"/>
          <w:caps w:val="0"/>
          <w:color w:val="333333"/>
          <w:spacing w:val="0"/>
          <w:sz w:val="31"/>
          <w:szCs w:val="31"/>
          <w:highlight w:val="none"/>
          <w:lang w:eastAsia="zh-CN"/>
        </w:rPr>
        <w:t>主要内容和重点领域；重点公开</w:t>
      </w:r>
      <w:r>
        <w:rPr>
          <w:rStyle w:val="5"/>
          <w:rFonts w:hint="default" w:ascii="仿宋_GB2312" w:hAnsi="微软雅黑" w:eastAsia="仿宋_GB2312" w:cs="仿宋_GB2312"/>
          <w:i w:val="0"/>
          <w:iCs w:val="0"/>
          <w:caps w:val="0"/>
          <w:color w:val="333333"/>
          <w:spacing w:val="0"/>
          <w:sz w:val="31"/>
          <w:szCs w:val="31"/>
          <w:highlight w:val="none"/>
        </w:rPr>
        <w:t>公开施工、质量安全监督、竣工</w:t>
      </w:r>
      <w:r>
        <w:rPr>
          <w:rStyle w:val="5"/>
          <w:rFonts w:hint="eastAsia" w:ascii="仿宋_GB2312" w:hAnsi="微软雅黑" w:eastAsia="仿宋_GB2312" w:cs="仿宋_GB2312"/>
          <w:i w:val="0"/>
          <w:iCs w:val="0"/>
          <w:caps w:val="0"/>
          <w:color w:val="333333"/>
          <w:spacing w:val="0"/>
          <w:sz w:val="31"/>
          <w:szCs w:val="31"/>
          <w:highlight w:val="none"/>
          <w:lang w:eastAsia="zh-CN"/>
        </w:rPr>
        <w:t>以及</w:t>
      </w:r>
      <w:r>
        <w:rPr>
          <w:rStyle w:val="5"/>
          <w:rFonts w:hint="default" w:ascii="仿宋_GB2312" w:hAnsi="微软雅黑" w:eastAsia="仿宋_GB2312" w:cs="仿宋_GB2312"/>
          <w:i w:val="0"/>
          <w:iCs w:val="0"/>
          <w:caps w:val="0"/>
          <w:color w:val="333333"/>
          <w:spacing w:val="0"/>
          <w:sz w:val="31"/>
          <w:szCs w:val="31"/>
          <w:highlight w:val="none"/>
        </w:rPr>
        <w:t>住房保障公共资源配置领域信息</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严格落实中央、省和市财政资金使用情况公开要求，按照“谁使用、谁公开”的原则，主动公开本部门预决算信息</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default" w:ascii="仿宋_GB2312" w:hAnsi="微软雅黑" w:eastAsia="仿宋_GB2312" w:cs="仿宋_GB2312"/>
          <w:i w:val="0"/>
          <w:iCs w:val="0"/>
          <w:caps w:val="0"/>
          <w:color w:val="333333"/>
          <w:spacing w:val="0"/>
          <w:sz w:val="31"/>
          <w:szCs w:val="31"/>
          <w:highlight w:val="none"/>
        </w:rPr>
        <w:t>积极推进住房保障、供气和供暖领域公共企事业单位信息公开工作</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default" w:ascii="仿宋_GB2312" w:hAnsi="微软雅黑" w:eastAsia="仿宋_GB2312" w:cs="仿宋_GB2312"/>
          <w:i w:val="0"/>
          <w:iCs w:val="0"/>
          <w:caps w:val="0"/>
          <w:color w:val="333333"/>
          <w:spacing w:val="0"/>
          <w:sz w:val="31"/>
          <w:szCs w:val="31"/>
          <w:highlight w:val="none"/>
        </w:rPr>
        <w:t>全面实施“双随机、一公开”监管，多渠道全方位及时公开综合监管和检查执法信息</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eastAsia" w:ascii="仿宋_GB2312" w:hAnsi="微软雅黑" w:eastAsia="仿宋_GB2312" w:cs="仿宋_GB2312"/>
          <w:i w:val="0"/>
          <w:iCs w:val="0"/>
          <w:caps w:val="0"/>
          <w:color w:val="333333"/>
          <w:spacing w:val="0"/>
          <w:sz w:val="31"/>
          <w:szCs w:val="31"/>
          <w:highlight w:val="none"/>
        </w:rPr>
        <w:t>加强规范性文件和重大政策解读工作，及时公布</w:t>
      </w:r>
      <w:r>
        <w:rPr>
          <w:rStyle w:val="5"/>
          <w:rFonts w:hint="default" w:ascii="仿宋_GB2312" w:hAnsi="微软雅黑" w:eastAsia="仿宋_GB2312" w:cs="仿宋_GB2312"/>
          <w:i w:val="0"/>
          <w:iCs w:val="0"/>
          <w:caps w:val="0"/>
          <w:color w:val="333333"/>
          <w:spacing w:val="0"/>
          <w:sz w:val="31"/>
          <w:szCs w:val="31"/>
          <w:highlight w:val="none"/>
        </w:rPr>
        <w:t>农村危改、改厕</w:t>
      </w:r>
      <w:r>
        <w:rPr>
          <w:rStyle w:val="5"/>
          <w:rFonts w:hint="eastAsia" w:ascii="仿宋_GB2312" w:hAnsi="微软雅黑" w:eastAsia="仿宋_GB2312" w:cs="仿宋_GB2312"/>
          <w:i w:val="0"/>
          <w:iCs w:val="0"/>
          <w:caps w:val="0"/>
          <w:color w:val="333333"/>
          <w:spacing w:val="0"/>
          <w:sz w:val="31"/>
          <w:szCs w:val="31"/>
          <w:highlight w:val="none"/>
          <w:lang w:eastAsia="zh-CN"/>
        </w:rPr>
        <w:t>、</w:t>
      </w:r>
      <w:r>
        <w:rPr>
          <w:rStyle w:val="5"/>
          <w:rFonts w:hint="default" w:ascii="仿宋_GB2312" w:hAnsi="微软雅黑" w:eastAsia="仿宋_GB2312" w:cs="仿宋_GB2312"/>
          <w:i w:val="0"/>
          <w:iCs w:val="0"/>
          <w:caps w:val="0"/>
          <w:color w:val="333333"/>
          <w:spacing w:val="0"/>
          <w:sz w:val="31"/>
          <w:szCs w:val="31"/>
          <w:highlight w:val="none"/>
        </w:rPr>
        <w:t>棚户区改造、保障性住房</w:t>
      </w:r>
      <w:r>
        <w:rPr>
          <w:rStyle w:val="5"/>
          <w:rFonts w:hint="eastAsia" w:ascii="仿宋_GB2312" w:hAnsi="微软雅黑" w:eastAsia="仿宋_GB2312" w:cs="仿宋_GB2312"/>
          <w:i w:val="0"/>
          <w:iCs w:val="0"/>
          <w:caps w:val="0"/>
          <w:color w:val="333333"/>
          <w:spacing w:val="0"/>
          <w:sz w:val="31"/>
          <w:szCs w:val="31"/>
          <w:highlight w:val="none"/>
          <w:lang w:eastAsia="zh-CN"/>
        </w:rPr>
        <w:t>以及营商环境等</w:t>
      </w:r>
      <w:r>
        <w:rPr>
          <w:rStyle w:val="5"/>
          <w:rFonts w:hint="eastAsia" w:ascii="仿宋_GB2312" w:hAnsi="微软雅黑" w:eastAsia="仿宋_GB2312" w:cs="仿宋_GB2312"/>
          <w:i w:val="0"/>
          <w:iCs w:val="0"/>
          <w:caps w:val="0"/>
          <w:color w:val="333333"/>
          <w:spacing w:val="0"/>
          <w:sz w:val="31"/>
          <w:szCs w:val="31"/>
          <w:highlight w:val="none"/>
        </w:rPr>
        <w:t>规范性文件和重大政策解读材料。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ascii="微软雅黑" w:hAnsi="微软雅黑" w:eastAsia="微软雅黑" w:cs="微软雅黑"/>
          <w:i w:val="0"/>
          <w:iCs w:val="0"/>
          <w:caps w:val="0"/>
          <w:color w:val="333333"/>
          <w:spacing w:val="0"/>
          <w:sz w:val="21"/>
          <w:szCs w:val="21"/>
        </w:rPr>
      </w:pPr>
      <w:r>
        <w:rPr>
          <w:rStyle w:val="5"/>
          <w:rFonts w:ascii="方正仿宋简体" w:hAnsi="方正仿宋简体" w:eastAsia="方正仿宋简体" w:cs="方正仿宋简体"/>
          <w:i w:val="0"/>
          <w:iCs w:val="0"/>
          <w:caps w:val="0"/>
          <w:color w:val="333333"/>
          <w:spacing w:val="0"/>
          <w:sz w:val="31"/>
          <w:szCs w:val="31"/>
        </w:rPr>
        <w:t>（</w:t>
      </w:r>
      <w:r>
        <w:rPr>
          <w:rStyle w:val="5"/>
          <w:rFonts w:hint="eastAsia" w:ascii="方正仿宋简体" w:hAnsi="方正仿宋简体" w:eastAsia="方正仿宋简体" w:cs="方正仿宋简体"/>
          <w:i w:val="0"/>
          <w:iCs w:val="0"/>
          <w:caps w:val="0"/>
          <w:color w:val="333333"/>
          <w:spacing w:val="0"/>
          <w:sz w:val="31"/>
          <w:szCs w:val="31"/>
          <w:lang w:eastAsia="zh-CN"/>
        </w:rPr>
        <w:t>二</w:t>
      </w:r>
      <w:r>
        <w:rPr>
          <w:rStyle w:val="5"/>
          <w:rFonts w:ascii="方正仿宋简体" w:hAnsi="方正仿宋简体" w:eastAsia="方正仿宋简体" w:cs="方正仿宋简体"/>
          <w:i w:val="0"/>
          <w:iCs w:val="0"/>
          <w:caps w:val="0"/>
          <w:color w:val="333333"/>
          <w:spacing w:val="0"/>
          <w:sz w:val="31"/>
          <w:szCs w:val="31"/>
        </w:rPr>
        <w:t>）依据《政府信息公开信息处理费管理办法》</w:t>
      </w:r>
      <w:r>
        <w:rPr>
          <w:rStyle w:val="5"/>
          <w:rFonts w:hint="default" w:ascii="方正仿宋简体" w:hAnsi="方正仿宋简体" w:eastAsia="方正仿宋简体" w:cs="方正仿宋简体"/>
          <w:i w:val="0"/>
          <w:iCs w:val="0"/>
          <w:caps w:val="0"/>
          <w:color w:val="333333"/>
          <w:spacing w:val="0"/>
          <w:sz w:val="31"/>
          <w:szCs w:val="31"/>
        </w:rPr>
        <w:t>规定，我局202</w:t>
      </w:r>
      <w:r>
        <w:rPr>
          <w:rStyle w:val="5"/>
          <w:rFonts w:hint="eastAsia" w:ascii="方正仿宋简体" w:hAnsi="方正仿宋简体" w:eastAsia="方正仿宋简体" w:cs="方正仿宋简体"/>
          <w:i w:val="0"/>
          <w:iCs w:val="0"/>
          <w:caps w:val="0"/>
          <w:color w:val="333333"/>
          <w:spacing w:val="0"/>
          <w:sz w:val="31"/>
          <w:szCs w:val="31"/>
          <w:lang w:val="en-US" w:eastAsia="zh-CN"/>
        </w:rPr>
        <w:t>3</w:t>
      </w:r>
      <w:r>
        <w:rPr>
          <w:rStyle w:val="5"/>
          <w:rFonts w:hint="default" w:ascii="方正仿宋简体" w:hAnsi="方正仿宋简体" w:eastAsia="方正仿宋简体" w:cs="方正仿宋简体"/>
          <w:i w:val="0"/>
          <w:iCs w:val="0"/>
          <w:caps w:val="0"/>
          <w:color w:val="333333"/>
          <w:spacing w:val="0"/>
          <w:sz w:val="31"/>
          <w:szCs w:val="31"/>
        </w:rPr>
        <w:t>年未收取相关费用;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FBAF6"/>
    <w:multiLevelType w:val="singleLevel"/>
    <w:tmpl w:val="D7DFBA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WNlZWIwZWY1YjQyOGVmYTM3ZmFkMTI4ZGY0YzUifQ=="/>
    <w:docVar w:name="KSO_WPS_MARK_KEY" w:val="98067ad0-f896-4b26-83b7-e7c9b4b67ba6"/>
  </w:docVars>
  <w:rsids>
    <w:rsidRoot w:val="11AF18C8"/>
    <w:rsid w:val="0DFB138D"/>
    <w:rsid w:val="11AF18C8"/>
    <w:rsid w:val="187F264A"/>
    <w:rsid w:val="1A6A77C7"/>
    <w:rsid w:val="27FF03EA"/>
    <w:rsid w:val="2DFF0F5B"/>
    <w:rsid w:val="2F5AAB61"/>
    <w:rsid w:val="36DFDA2C"/>
    <w:rsid w:val="39FFA83E"/>
    <w:rsid w:val="3ADF6196"/>
    <w:rsid w:val="3F1FC744"/>
    <w:rsid w:val="3F7F0C2B"/>
    <w:rsid w:val="3FBE1CD2"/>
    <w:rsid w:val="41474664"/>
    <w:rsid w:val="435F60FA"/>
    <w:rsid w:val="45EFA669"/>
    <w:rsid w:val="46421204"/>
    <w:rsid w:val="46CA7E0E"/>
    <w:rsid w:val="47FDE5C0"/>
    <w:rsid w:val="4A7B786C"/>
    <w:rsid w:val="5E7FCA9A"/>
    <w:rsid w:val="5EDE68BD"/>
    <w:rsid w:val="5FB7DC6A"/>
    <w:rsid w:val="5FBF656E"/>
    <w:rsid w:val="5FCBA66F"/>
    <w:rsid w:val="63E91605"/>
    <w:rsid w:val="6DEF6ED4"/>
    <w:rsid w:val="6F7FF79D"/>
    <w:rsid w:val="6FF95E5E"/>
    <w:rsid w:val="737A82D8"/>
    <w:rsid w:val="73DF0D27"/>
    <w:rsid w:val="77181135"/>
    <w:rsid w:val="7988C7DD"/>
    <w:rsid w:val="7A287E87"/>
    <w:rsid w:val="7DB7E114"/>
    <w:rsid w:val="7DF72D68"/>
    <w:rsid w:val="7EAB5C38"/>
    <w:rsid w:val="7F5BB2A2"/>
    <w:rsid w:val="7FC384CD"/>
    <w:rsid w:val="7FF3E122"/>
    <w:rsid w:val="7FFFC9EA"/>
    <w:rsid w:val="7FFFE44E"/>
    <w:rsid w:val="8E89847D"/>
    <w:rsid w:val="9E47A5B0"/>
    <w:rsid w:val="AAEDFF11"/>
    <w:rsid w:val="AE799486"/>
    <w:rsid w:val="AFC35637"/>
    <w:rsid w:val="B7B6B985"/>
    <w:rsid w:val="BBEBB430"/>
    <w:rsid w:val="BEDA0717"/>
    <w:rsid w:val="BFDA28B7"/>
    <w:rsid w:val="BFFF9DF3"/>
    <w:rsid w:val="C7768FD7"/>
    <w:rsid w:val="D6DF538A"/>
    <w:rsid w:val="D6FFD0DA"/>
    <w:rsid w:val="DB7FB3E4"/>
    <w:rsid w:val="DBD2B2DA"/>
    <w:rsid w:val="DBEE7AFF"/>
    <w:rsid w:val="DFFF3B29"/>
    <w:rsid w:val="E739D6E7"/>
    <w:rsid w:val="EAAE4263"/>
    <w:rsid w:val="EAED5BCB"/>
    <w:rsid w:val="EE3F276F"/>
    <w:rsid w:val="EED7F255"/>
    <w:rsid w:val="EEED68D8"/>
    <w:rsid w:val="EFDD34D7"/>
    <w:rsid w:val="EFFB58D9"/>
    <w:rsid w:val="F5C77DD2"/>
    <w:rsid w:val="F687E03A"/>
    <w:rsid w:val="F7EDCDA3"/>
    <w:rsid w:val="F7EF169F"/>
    <w:rsid w:val="FBEFE0FF"/>
    <w:rsid w:val="FBF4AB9D"/>
    <w:rsid w:val="FD5FB269"/>
    <w:rsid w:val="FDBF4724"/>
    <w:rsid w:val="FDD46684"/>
    <w:rsid w:val="FDEFB66C"/>
    <w:rsid w:val="FEBB526E"/>
    <w:rsid w:val="FEF436F8"/>
    <w:rsid w:val="FEF9D24F"/>
    <w:rsid w:val="FF57062A"/>
    <w:rsid w:val="FF7FA6B6"/>
    <w:rsid w:val="FFD78BAD"/>
    <w:rsid w:val="FFEF4D03"/>
    <w:rsid w:val="FFFCD49D"/>
    <w:rsid w:val="FFFF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梁山县住建局近三年依申请公开数量</a:t>
            </a:r>
            <a:endParaRPr lang="en-US" altLang="zh-CN"/>
          </a:p>
        </c:rich>
      </c:tx>
      <c:layout/>
      <c:overlay val="false"/>
      <c:spPr>
        <a:noFill/>
        <a:ln>
          <a:noFill/>
        </a:ln>
        <a:effectLst/>
      </c:spPr>
    </c:title>
    <c:autoTitleDeleted val="false"/>
    <c:plotArea>
      <c:layout>
        <c:manualLayout>
          <c:layoutTarget val="inner"/>
          <c:xMode val="edge"/>
          <c:yMode val="edge"/>
          <c:x val="0.0275"/>
          <c:y val="0.127"/>
          <c:w val="0.96875"/>
          <c:h val="0.7924"/>
        </c:manualLayout>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rPr lang="en-US" altLang="en-US"/>
                      <a:t>0</a:t>
                    </a:r>
                    <a:endParaRPr lang="en-US" altLang="en-US"/>
                  </a:p>
                </c:rich>
              </c:tx>
              <c:dLblPos val="ctr"/>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numCache>
            </c:numRef>
          </c:cat>
          <c:val>
            <c:numRef>
              <c:f>Sheet1!$B$2:$B$5</c:f>
              <c:numCache>
                <c:formatCode>General</c:formatCode>
                <c:ptCount val="4"/>
                <c:pt idx="0">
                  <c:v>10</c:v>
                </c:pt>
                <c:pt idx="1">
                  <c:v>5</c:v>
                </c:pt>
                <c:pt idx="2">
                  <c:v>6</c:v>
                </c:pt>
              </c:numCache>
            </c:numRef>
          </c:val>
        </c:ser>
        <c:ser>
          <c:idx val="1"/>
          <c:order val="1"/>
          <c:tx>
            <c:strRef>
              <c:f>Sheet1!$C$1</c:f>
              <c:strCache>
                <c:ptCount val="1"/>
                <c:pt idx="0">
                  <c:v>系列 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pt idx="2">
                  <c:v>2023</c:v>
                </c:pt>
              </c:numCache>
            </c:numRef>
          </c:cat>
          <c:val>
            <c:numRef>
              <c:f>Sheet1!$C$2:$C$5</c:f>
              <c:numCache>
                <c:formatCode>General</c:formatCode>
                <c:ptCount val="4"/>
              </c:numCache>
            </c:numRef>
          </c:val>
        </c:ser>
        <c:dLbls>
          <c:showLegendKey val="false"/>
          <c:showVal val="true"/>
          <c:showCatName val="false"/>
          <c:showSerName val="false"/>
          <c:showPercent val="false"/>
          <c:showBubbleSize val="false"/>
        </c:dLbls>
        <c:gapWidth val="95"/>
        <c:overlap val="100"/>
        <c:axId val="98709634"/>
        <c:axId val="172336247"/>
      </c:barChart>
      <c:catAx>
        <c:axId val="9870963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2336247"/>
        <c:crosses val="autoZero"/>
        <c:auto val="true"/>
        <c:lblAlgn val="ctr"/>
        <c:lblOffset val="100"/>
        <c:noMultiLvlLbl val="false"/>
      </c:catAx>
      <c:valAx>
        <c:axId val="172336247"/>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70963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3092</Words>
  <Characters>3218</Characters>
  <Lines>0</Lines>
  <Paragraphs>0</Paragraphs>
  <TotalTime>0</TotalTime>
  <ScaleCrop>false</ScaleCrop>
  <LinksUpToDate>false</LinksUpToDate>
  <CharactersWithSpaces>3223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user</cp:lastModifiedBy>
  <cp:lastPrinted>2023-01-18T09:08:00Z</cp:lastPrinted>
  <dcterms:modified xsi:type="dcterms:W3CDTF">2024-01-25T10:03:12Z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FB266F45F3C644949169AA8FFDA608D7</vt:lpwstr>
  </property>
</Properties>
</file>