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Toc9934"/>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交通运输局职责任务清单</w:t>
      </w:r>
    </w:p>
    <w:p>
      <w:pPr>
        <w:pStyle w:val="2"/>
        <w:ind w:firstLine="1064"/>
        <w:rPr>
          <w:rFonts w:ascii="方正小标宋简体" w:hAnsi="方正小标宋简体" w:eastAsia="方正小标宋简体" w:cs="方正小标宋简体"/>
          <w:sz w:val="44"/>
          <w:szCs w:val="44"/>
        </w:rPr>
      </w:pPr>
    </w:p>
    <w:p>
      <w:pPr>
        <w:pStyle w:val="2"/>
        <w:ind w:firstLine="1064"/>
        <w:rPr>
          <w:rFonts w:ascii="方正小标宋简体" w:hAnsi="方正小标宋简体" w:eastAsia="方正小标宋简体" w:cs="方正小标宋简体"/>
          <w:sz w:val="44"/>
          <w:szCs w:val="44"/>
        </w:rPr>
      </w:pPr>
    </w:p>
    <w:p>
      <w:pPr>
        <w:pStyle w:val="2"/>
        <w:ind w:firstLine="1064"/>
        <w:rPr>
          <w:rFonts w:ascii="方正小标宋简体" w:hAnsi="方正小标宋简体" w:eastAsia="方正小标宋简体" w:cs="方正小标宋简体"/>
          <w:sz w:val="44"/>
          <w:szCs w:val="44"/>
        </w:rPr>
      </w:pPr>
    </w:p>
    <w:p>
      <w:pPr>
        <w:pStyle w:val="2"/>
        <w:ind w:firstLine="1064"/>
        <w:rPr>
          <w:rFonts w:ascii="方正小标宋简体" w:hAnsi="方正小标宋简体" w:eastAsia="方正小标宋简体" w:cs="方正小标宋简体"/>
          <w:sz w:val="44"/>
          <w:szCs w:val="44"/>
        </w:rPr>
      </w:pPr>
    </w:p>
    <w:p>
      <w:pPr>
        <w:pStyle w:val="2"/>
        <w:ind w:firstLine="1064"/>
        <w:rPr>
          <w:rFonts w:ascii="方正小标宋简体" w:hAnsi="方正小标宋简体" w:eastAsia="方正小标宋简体" w:cs="方正小标宋简体"/>
          <w:sz w:val="44"/>
          <w:szCs w:val="44"/>
        </w:rPr>
      </w:pPr>
    </w:p>
    <w:p>
      <w:pPr>
        <w:pStyle w:val="2"/>
        <w:ind w:firstLine="0" w:firstLineChars="0"/>
        <w:rPr>
          <w:rFonts w:ascii="方正小标宋简体" w:hAnsi="方正小标宋简体" w:eastAsia="方正小标宋简体" w:cs="方正小标宋简体"/>
          <w:sz w:val="44"/>
          <w:szCs w:val="44"/>
        </w:rPr>
      </w:pPr>
    </w:p>
    <w:p>
      <w:pPr>
        <w:pStyle w:val="2"/>
        <w:ind w:firstLine="106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2020年07月</w:t>
      </w:r>
    </w:p>
    <w:p>
      <w:pPr>
        <w:pStyle w:val="2"/>
        <w:ind w:firstLine="1064"/>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pStyle w:val="2"/>
        <w:ind w:firstLine="1064"/>
        <w:jc w:val="center"/>
        <w:rPr>
          <w:rFonts w:hint="eastAsia" w:ascii="方正小标宋简体" w:hAnsi="方正小标宋简体" w:eastAsia="方正小标宋简体" w:cs="方正小标宋简体"/>
          <w:sz w:val="44"/>
          <w:szCs w:val="44"/>
          <w:lang w:eastAsia="zh-CN"/>
        </w:rPr>
      </w:pPr>
    </w:p>
    <w:p>
      <w:pPr>
        <w:pStyle w:val="2"/>
        <w:numPr>
          <w:ilvl w:val="0"/>
          <w:numId w:val="1"/>
        </w:numPr>
        <w:ind w:firstLine="1064"/>
        <w:jc w:val="left"/>
        <w:rPr>
          <w:rFonts w:hint="eastAsia" w:ascii="宋体" w:hAnsi="宋体" w:eastAsia="宋体" w:cs="宋体"/>
          <w:b/>
          <w:bCs/>
          <w:sz w:val="28"/>
          <w:szCs w:val="28"/>
          <w:lang w:eastAsia="zh-CN"/>
        </w:rPr>
      </w:pPr>
      <w:r>
        <w:rPr>
          <w:rFonts w:hint="eastAsia" w:asciiTheme="minorEastAsia" w:hAnsiTheme="minorEastAsia" w:eastAsiaTheme="minorEastAsia" w:cstheme="minorEastAsia"/>
          <w:b/>
          <w:bCs/>
          <w:sz w:val="28"/>
          <w:szCs w:val="28"/>
          <w:lang w:eastAsia="zh-CN"/>
        </w:rPr>
        <w:t>办公室</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1</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政策法规科</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2</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规划建设科（挂铁路机场科牌子）</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3</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运输管理科（挂交通战备办公室牌子）</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4</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财务科</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5</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安全监督科</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6</w:t>
      </w:r>
    </w:p>
    <w:p>
      <w:pPr>
        <w:pStyle w:val="2"/>
        <w:numPr>
          <w:ilvl w:val="0"/>
          <w:numId w:val="1"/>
        </w:numPr>
        <w:ind w:firstLine="1064"/>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水运科（挂地方海事办公室牌子）</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7</w:t>
      </w:r>
    </w:p>
    <w:p>
      <w:pPr>
        <w:pStyle w:val="2"/>
        <w:ind w:firstLine="1064"/>
        <w:jc w:val="left"/>
        <w:rPr>
          <w:rFonts w:hint="eastAsia" w:ascii="宋体" w:hAnsi="宋体" w:eastAsia="宋体" w:cs="宋体"/>
          <w:b/>
          <w:bCs/>
          <w:sz w:val="28"/>
          <w:szCs w:val="28"/>
          <w:lang w:eastAsia="zh-CN"/>
        </w:rPr>
      </w:pPr>
    </w:p>
    <w:p>
      <w:pPr>
        <w:pStyle w:val="2"/>
        <w:ind w:firstLine="1064"/>
        <w:jc w:val="left"/>
        <w:rPr>
          <w:rFonts w:hint="eastAsia" w:ascii="宋体" w:hAnsi="宋体" w:eastAsia="宋体" w:cs="宋体"/>
          <w:b/>
          <w:bCs/>
          <w:sz w:val="28"/>
          <w:szCs w:val="28"/>
          <w:lang w:eastAsia="zh-CN"/>
        </w:rPr>
      </w:pPr>
    </w:p>
    <w:p>
      <w:pPr>
        <w:pStyle w:val="5"/>
        <w:jc w:val="center"/>
      </w:pPr>
      <w:r>
        <w:t>一、办公室</w:t>
      </w:r>
      <w:bookmarkEnd w:id="0"/>
      <w:r>
        <w:t>职责任务清单</w:t>
      </w:r>
    </w:p>
    <w:tbl>
      <w:tblPr>
        <w:tblStyle w:val="10"/>
        <w:tblW w:w="14870" w:type="dxa"/>
        <w:jc w:val="center"/>
        <w:tblLayout w:type="fixed"/>
        <w:tblCellMar>
          <w:top w:w="0" w:type="dxa"/>
          <w:left w:w="0" w:type="dxa"/>
          <w:bottom w:w="0" w:type="dxa"/>
          <w:right w:w="0" w:type="dxa"/>
        </w:tblCellMar>
      </w:tblPr>
      <w:tblGrid>
        <w:gridCol w:w="3303"/>
        <w:gridCol w:w="4460"/>
        <w:gridCol w:w="7107"/>
      </w:tblGrid>
      <w:tr>
        <w:tblPrEx>
          <w:tblCellMar>
            <w:top w:w="0" w:type="dxa"/>
            <w:left w:w="0" w:type="dxa"/>
            <w:bottom w:w="0" w:type="dxa"/>
            <w:right w:w="0" w:type="dxa"/>
          </w:tblCellMar>
        </w:tblPrEx>
        <w:trPr>
          <w:trHeight w:val="364" w:hRule="atLeast"/>
          <w:jc w:val="center"/>
        </w:trPr>
        <w:tc>
          <w:tcPr>
            <w:tcW w:w="7763"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“三定”规定对应内容</w:t>
            </w:r>
          </w:p>
        </w:tc>
        <w:tc>
          <w:tcPr>
            <w:tcW w:w="710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3303"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4460"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rPr>
                <w:rFonts w:hint="default"/>
                <w:w w:val="105"/>
              </w:rPr>
            </w:pPr>
            <w:r>
              <w:rPr>
                <w:rFonts w:ascii="黑体" w:hAnsi="黑体" w:eastAsia="黑体"/>
                <w:w w:val="105"/>
              </w:rPr>
              <w:t>科室职责</w:t>
            </w:r>
          </w:p>
        </w:tc>
        <w:tc>
          <w:tcPr>
            <w:tcW w:w="7107"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6232" w:hRule="atLeast"/>
          <w:jc w:val="center"/>
        </w:trPr>
        <w:tc>
          <w:tcPr>
            <w:tcW w:w="3303" w:type="dxa"/>
            <w:tcBorders>
              <w:top w:val="single" w:color="000000" w:sz="4" w:space="0"/>
              <w:left w:val="single" w:color="000000" w:sz="4" w:space="0"/>
              <w:bottom w:val="single" w:color="000000" w:sz="4" w:space="0"/>
              <w:right w:val="single" w:color="000000" w:sz="4" w:space="0"/>
            </w:tcBorders>
            <w:noWrap/>
          </w:tcPr>
          <w:p>
            <w:pPr>
              <w:pStyle w:val="22"/>
              <w:numPr>
                <w:ilvl w:val="0"/>
                <w:numId w:val="0"/>
              </w:numPr>
              <w:ind w:leftChars="0"/>
              <w:rPr>
                <w:rFonts w:hint="eastAsia" w:asciiTheme="minorEastAsia" w:hAnsiTheme="minorEastAsia" w:eastAsiaTheme="minorEastAsia" w:cstheme="minorEastAsia"/>
                <w:sz w:val="21"/>
                <w:szCs w:val="21"/>
                <w:lang w:eastAsia="zh-CN"/>
              </w:rPr>
            </w:pPr>
          </w:p>
          <w:p>
            <w:pPr>
              <w:pStyle w:val="22"/>
              <w:numPr>
                <w:ilvl w:val="0"/>
                <w:numId w:val="0"/>
              </w:numPr>
              <w:ind w:leftChars="0"/>
              <w:rPr>
                <w:rFonts w:hint="eastAsia" w:asciiTheme="minorEastAsia" w:hAnsiTheme="minorEastAsia" w:eastAsiaTheme="minorEastAsia" w:cstheme="minorEastAsia"/>
                <w:sz w:val="21"/>
                <w:szCs w:val="21"/>
                <w:lang w:eastAsia="zh-CN"/>
              </w:rPr>
            </w:pPr>
          </w:p>
          <w:p>
            <w:pPr>
              <w:pStyle w:val="22"/>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指导行业教育、培训工作；</w:t>
            </w:r>
          </w:p>
          <w:p>
            <w:pPr>
              <w:pStyle w:val="22"/>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负责相关产业的招商引资工作。</w:t>
            </w:r>
          </w:p>
          <w:p>
            <w:pPr>
              <w:pStyle w:val="22"/>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贯彻落实全面从严治党要求，切实履行机关党建工作、党风廉政建设和意识形态主体责任，全面推进党的政治建设、思想建设、组织建设、作风建设、纪律建设，把制度建设贯穿其中，领导所属单位抓好党的建设工作。</w:t>
            </w:r>
          </w:p>
          <w:p>
            <w:pPr>
              <w:pStyle w:val="22"/>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完成县委、县政府交办的其他任务。</w:t>
            </w:r>
          </w:p>
          <w:p>
            <w:pPr>
              <w:pStyle w:val="22"/>
              <w:ind w:left="30" w:firstLine="0" w:firstLineChars="0"/>
              <w:rPr>
                <w:rFonts w:hint="default" w:ascii="仿宋" w:hAnsi="仿宋" w:eastAsia="仿宋"/>
                <w:sz w:val="24"/>
                <w:szCs w:val="24"/>
              </w:rPr>
            </w:pPr>
          </w:p>
        </w:tc>
        <w:tc>
          <w:tcPr>
            <w:tcW w:w="4460" w:type="dxa"/>
            <w:tcBorders>
              <w:top w:val="single" w:color="000000" w:sz="4" w:space="0"/>
              <w:left w:val="single" w:color="000000" w:sz="4" w:space="0"/>
              <w:bottom w:val="single" w:color="000000" w:sz="4" w:space="0"/>
              <w:right w:val="single" w:color="000000" w:sz="4" w:space="0"/>
            </w:tcBorders>
            <w:noWrap/>
          </w:tcPr>
          <w:p>
            <w:pPr>
              <w:autoSpaceDE w:val="0"/>
              <w:autoSpaceDN w:val="0"/>
              <w:adjustRightInd w:val="0"/>
              <w:jc w:val="left"/>
              <w:rPr>
                <w:rFonts w:hint="eastAsia" w:asciiTheme="minorEastAsia" w:hAnsiTheme="minorEastAsia" w:eastAsiaTheme="minorEastAsia" w:cstheme="minorEastAsia"/>
                <w:kern w:val="0"/>
                <w:sz w:val="21"/>
                <w:szCs w:val="21"/>
              </w:rPr>
            </w:pPr>
          </w:p>
          <w:p>
            <w:pPr>
              <w:autoSpaceDE w:val="0"/>
              <w:autoSpaceDN w:val="0"/>
              <w:adjustRightInd w:val="0"/>
              <w:jc w:val="left"/>
              <w:rPr>
                <w:rFonts w:hint="eastAsia" w:asciiTheme="minorEastAsia" w:hAnsiTheme="minorEastAsia" w:eastAsiaTheme="minorEastAsia" w:cstheme="minorEastAsia"/>
                <w:kern w:val="0"/>
                <w:sz w:val="21"/>
                <w:szCs w:val="21"/>
              </w:rPr>
            </w:pP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（一）负责文电、会务、督查、机要、保密、档案、信访、安全等局机关日常运转工作，承担政府信息和政务公开、建议提案办理等有关工作。</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（二）承担综合性文稿起草、新闻宣传、信息工作。</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（三）承担和协调重大课题的调研。</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（四）负责局机关和所属单位机构编制、人事管理、社会保障等工作。</w:t>
            </w:r>
          </w:p>
          <w:p>
            <w:pPr>
              <w:autoSpaceDE w:val="0"/>
              <w:autoSpaceDN w:val="0"/>
              <w:adjustRightInd w:val="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（五）负责实施交通运输行业职业资格制度的有关工作。负责局机关离退休人员的管理服务工作，指导局所属单位离退休人员的管理服务工作。</w:t>
            </w:r>
          </w:p>
          <w:p>
            <w:pPr>
              <w:autoSpaceDE w:val="0"/>
              <w:autoSpaceDN w:val="0"/>
              <w:adjustRightInd w:val="0"/>
              <w:jc w:val="left"/>
              <w:rPr>
                <w:rFonts w:ascii="仿宋" w:hAnsi="仿宋" w:eastAsia="仿宋"/>
                <w:kern w:val="0"/>
                <w:sz w:val="24"/>
              </w:rPr>
            </w:pPr>
            <w:r>
              <w:rPr>
                <w:rFonts w:hint="eastAsia" w:asciiTheme="minorEastAsia" w:hAnsiTheme="minorEastAsia" w:eastAsiaTheme="minorEastAsia" w:cstheme="minorEastAsia"/>
                <w:kern w:val="0"/>
                <w:sz w:val="21"/>
                <w:szCs w:val="21"/>
              </w:rPr>
              <w:t>（六）指导行业教育、培训工作</w:t>
            </w:r>
            <w:r>
              <w:rPr>
                <w:rFonts w:hint="eastAsia" w:ascii="仿宋" w:hAnsi="仿宋" w:eastAsia="仿宋"/>
                <w:kern w:val="0"/>
                <w:sz w:val="24"/>
              </w:rPr>
              <w:t>。</w:t>
            </w:r>
          </w:p>
        </w:tc>
        <w:tc>
          <w:tcPr>
            <w:tcW w:w="7107"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1、负责及时查收各类通知、文件，并按照工作流程，将文件呈报给领导并分发给相关业务科室。</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2、办公室负责对会议活动方案及筹备情况进行审核并按程序汇报。相关业务科室负责做好会议方案起草、会议筹备和综合协调工作。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3、办公室负责收到文件、电话、信件及上级批复件后，登记并向主要负责人汇报后交与相关科室处理。相关业务科室负责联系信访人员、处理信访事件并做好答复工作。</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4、负责公务接待工作。</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5、负责政府信息依申请公开工作</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6、负责对建议提案办理情况进行审核，及时进行工作汇报并接受相关反馈。</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7、拟定干部教育培训计划，组织开展培训工作。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8、拟定局机关及所属单位人员考核工作方案，组织开展考核工作。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9、局机关及所属事业单位的机构编制管理及岗位设置、聘任工作。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10、劳资管理工作。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11、职称管理工作。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12、老干部管理服务工作。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13、事业单位绩效考核工作。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14、人事、文书档案管理工作。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15、出国（境）管理工作。</w:t>
            </w:r>
          </w:p>
          <w:p>
            <w:pPr>
              <w:pStyle w:val="17"/>
              <w:kinsoku w:val="0"/>
              <w:overflowPunct w:val="0"/>
              <w:ind w:left="22"/>
              <w:rPr>
                <w:rFonts w:hint="default" w:ascii="仿宋" w:hAnsi="仿宋" w:eastAsia="仿宋"/>
                <w:kern w:val="0"/>
              </w:rPr>
            </w:pPr>
            <w:r>
              <w:rPr>
                <w:rFonts w:hint="eastAsia" w:asciiTheme="minorEastAsia" w:hAnsiTheme="minorEastAsia" w:eastAsiaTheme="minorEastAsia" w:cstheme="minorEastAsia"/>
                <w:kern w:val="0"/>
                <w:sz w:val="20"/>
                <w:szCs w:val="20"/>
              </w:rPr>
              <w:t>16、公开招聘工作。</w:t>
            </w:r>
          </w:p>
        </w:tc>
      </w:tr>
    </w:tbl>
    <w:p>
      <w:pPr>
        <w:rPr>
          <w:rFonts w:ascii="仿宋" w:hAnsi="仿宋" w:eastAsia="仿宋" w:cs="仿宋"/>
          <w:sz w:val="32"/>
          <w:szCs w:val="32"/>
        </w:rPr>
        <w:sectPr>
          <w:footerReference r:id="rId3" w:type="default"/>
          <w:footerReference r:id="rId4" w:type="even"/>
          <w:pgSz w:w="16838" w:h="11906" w:orient="landscape"/>
          <w:pgMar w:top="1497" w:right="1536" w:bottom="1497" w:left="1536" w:header="851" w:footer="992" w:gutter="0"/>
          <w:pgNumType w:start="1"/>
          <w:cols w:space="720" w:num="1"/>
          <w:docGrid w:type="lines" w:linePitch="319" w:charSpace="0"/>
        </w:sectPr>
      </w:pPr>
    </w:p>
    <w:p>
      <w:pPr>
        <w:pStyle w:val="5"/>
        <w:spacing w:before="120" w:after="120"/>
        <w:jc w:val="center"/>
      </w:pPr>
      <w:r>
        <w:t>二、政策法规科职责任务清单</w:t>
      </w:r>
    </w:p>
    <w:tbl>
      <w:tblPr>
        <w:tblStyle w:val="10"/>
        <w:tblW w:w="14870" w:type="dxa"/>
        <w:jc w:val="center"/>
        <w:tblLayout w:type="fixed"/>
        <w:tblCellMar>
          <w:top w:w="0" w:type="dxa"/>
          <w:left w:w="0" w:type="dxa"/>
          <w:bottom w:w="0" w:type="dxa"/>
          <w:right w:w="0" w:type="dxa"/>
        </w:tblCellMar>
      </w:tblPr>
      <w:tblGrid>
        <w:gridCol w:w="4176"/>
        <w:gridCol w:w="5455"/>
        <w:gridCol w:w="5239"/>
      </w:tblGrid>
      <w:tr>
        <w:tblPrEx>
          <w:tblCellMar>
            <w:top w:w="0" w:type="dxa"/>
            <w:left w:w="0" w:type="dxa"/>
            <w:bottom w:w="0" w:type="dxa"/>
            <w:right w:w="0" w:type="dxa"/>
          </w:tblCellMar>
        </w:tblPrEx>
        <w:trPr>
          <w:trHeight w:val="364" w:hRule="atLeast"/>
          <w:jc w:val="center"/>
        </w:trPr>
        <w:tc>
          <w:tcPr>
            <w:tcW w:w="9631"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 xml:space="preserve"> “三定”规定对应内容</w:t>
            </w:r>
          </w:p>
        </w:tc>
        <w:tc>
          <w:tcPr>
            <w:tcW w:w="523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4176"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5455"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rPr>
                <w:rFonts w:hint="default"/>
                <w:w w:val="105"/>
              </w:rPr>
            </w:pPr>
            <w:r>
              <w:rPr>
                <w:rFonts w:ascii="黑体" w:hAnsi="黑体" w:eastAsia="黑体"/>
                <w:w w:val="105"/>
              </w:rPr>
              <w:t>科室职责</w:t>
            </w:r>
          </w:p>
        </w:tc>
        <w:tc>
          <w:tcPr>
            <w:tcW w:w="5239"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5626" w:hRule="atLeast"/>
          <w:jc w:val="center"/>
        </w:trPr>
        <w:tc>
          <w:tcPr>
            <w:tcW w:w="4176" w:type="dxa"/>
            <w:tcBorders>
              <w:top w:val="single" w:color="000000" w:sz="4" w:space="0"/>
              <w:left w:val="single" w:color="000000" w:sz="4" w:space="0"/>
              <w:bottom w:val="single" w:color="000000" w:sz="4" w:space="0"/>
              <w:right w:val="single" w:color="000000" w:sz="4" w:space="0"/>
            </w:tcBorders>
            <w:noWrap/>
          </w:tcPr>
          <w:p>
            <w:pPr>
              <w:pStyle w:val="17"/>
              <w:numPr>
                <w:ilvl w:val="0"/>
                <w:numId w:val="0"/>
              </w:numPr>
              <w:kinsoku w:val="0"/>
              <w:overflowPunct w:val="0"/>
              <w:ind w:right="45" w:rightChars="0"/>
              <w:rPr>
                <w:rFonts w:hint="eastAsia" w:asciiTheme="minorEastAsia" w:hAnsiTheme="minorEastAsia" w:eastAsiaTheme="minorEastAsia" w:cstheme="minorEastAsia"/>
                <w:kern w:val="0"/>
                <w:sz w:val="21"/>
                <w:szCs w:val="21"/>
              </w:rPr>
            </w:pPr>
          </w:p>
          <w:p>
            <w:pPr>
              <w:pStyle w:val="17"/>
              <w:numPr>
                <w:ilvl w:val="0"/>
                <w:numId w:val="0"/>
              </w:numPr>
              <w:kinsoku w:val="0"/>
              <w:overflowPunct w:val="0"/>
              <w:ind w:right="45" w:rightChars="0"/>
              <w:rPr>
                <w:rFonts w:hint="eastAsia" w:asciiTheme="minorEastAsia" w:hAnsiTheme="minorEastAsia" w:eastAsiaTheme="minorEastAsia" w:cstheme="minorEastAsia"/>
                <w:kern w:val="0"/>
                <w:sz w:val="21"/>
                <w:szCs w:val="21"/>
              </w:rPr>
            </w:pPr>
          </w:p>
          <w:p>
            <w:pPr>
              <w:pStyle w:val="17"/>
              <w:numPr>
                <w:ilvl w:val="0"/>
                <w:numId w:val="0"/>
              </w:numPr>
              <w:kinsoku w:val="0"/>
              <w:overflowPunct w:val="0"/>
              <w:ind w:right="45" w:rightChars="0"/>
              <w:rPr>
                <w:rFonts w:hint="eastAsia" w:asciiTheme="minorEastAsia" w:hAnsiTheme="minorEastAsia" w:eastAsiaTheme="minorEastAsia" w:cstheme="minorEastAsia"/>
                <w:kern w:val="0"/>
                <w:sz w:val="21"/>
                <w:szCs w:val="21"/>
              </w:rPr>
            </w:pPr>
          </w:p>
          <w:p>
            <w:pPr>
              <w:pStyle w:val="17"/>
              <w:numPr>
                <w:ilvl w:val="0"/>
                <w:numId w:val="2"/>
              </w:numPr>
              <w:kinsoku w:val="0"/>
              <w:overflowPunct w:val="0"/>
              <w:ind w:right="45"/>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贯彻实施国家交通科技政策、技术标准和规范，组织行业科技开发，推动技术进步。指导行业环境保护和节能减排工作。指导行业教育、培训工作。</w:t>
            </w:r>
          </w:p>
          <w:p>
            <w:pPr>
              <w:pStyle w:val="17"/>
              <w:kinsoku w:val="0"/>
              <w:overflowPunct w:val="0"/>
              <w:rPr>
                <w:rFonts w:hint="default" w:ascii="宋体" w:hAnsi="Times New Roman"/>
                <w:kern w:val="0"/>
              </w:rPr>
            </w:pPr>
          </w:p>
        </w:tc>
        <w:tc>
          <w:tcPr>
            <w:tcW w:w="5455"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ind w:right="45"/>
              <w:rPr>
                <w:rFonts w:hint="eastAsia" w:asciiTheme="minorEastAsia" w:hAnsiTheme="minorEastAsia" w:eastAsiaTheme="minorEastAsia" w:cstheme="minorEastAsia"/>
                <w:kern w:val="0"/>
                <w:sz w:val="20"/>
                <w:szCs w:val="20"/>
              </w:rPr>
            </w:pPr>
          </w:p>
          <w:p>
            <w:pPr>
              <w:pStyle w:val="17"/>
              <w:kinsoku w:val="0"/>
              <w:overflowPunct w:val="0"/>
              <w:ind w:right="45"/>
              <w:rPr>
                <w:rFonts w:hint="eastAsia" w:asciiTheme="minorEastAsia" w:hAnsiTheme="minorEastAsia" w:eastAsiaTheme="minorEastAsia" w:cstheme="minorEastAsia"/>
                <w:kern w:val="0"/>
                <w:sz w:val="20"/>
                <w:szCs w:val="20"/>
              </w:rPr>
            </w:pP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（一）负责全县综合交通运输发展重大问题研究，牵头拟定全县交通运输政策；</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（二）承担局机关规范性文件的合法性审查工作；</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（三）负责指导全县交通运输系统执法规范化建设和执法监督工作，负责重大案件查处和跨区域执法的组织协调工作；</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（四）承担行政复议、行政应诉等相关工作；</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（五）负责推进本系统职能转变和行政审批制度改革工作，组织编制系统内权责清单，深化简政放权，负责已划转至行政审批部门的行政许可及关联事项的事中事后监管，优化权力运行流程；</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（六）牵头负责信用交通建设，指导行业有关体制改革工作。</w:t>
            </w:r>
          </w:p>
        </w:tc>
        <w:tc>
          <w:tcPr>
            <w:tcW w:w="5239"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val="en-US" w:eastAsia="zh-CN"/>
              </w:rPr>
              <w:t>1、</w:t>
            </w:r>
            <w:r>
              <w:rPr>
                <w:rFonts w:hint="eastAsia" w:asciiTheme="minorEastAsia" w:hAnsiTheme="minorEastAsia" w:eastAsiaTheme="minorEastAsia" w:cstheme="minorEastAsia"/>
                <w:kern w:val="0"/>
                <w:sz w:val="20"/>
                <w:szCs w:val="20"/>
              </w:rPr>
              <w:t>牵头拟定全县交通运输政策，负责规范性文件合法性审查工作。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2、开展交通运输行政执法监督工作。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3、承担行政复议、行政应诉工作。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4、开展行政许可及关联事项事中事后监管情况的督导工作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5、负责信用交通建设工作。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6、开展交通运输普法工作。</w:t>
            </w:r>
          </w:p>
          <w:p>
            <w:pPr>
              <w:pStyle w:val="17"/>
              <w:kinsoku w:val="0"/>
              <w:overflowPunct w:val="0"/>
              <w:ind w:left="22"/>
              <w:rPr>
                <w:rFonts w:hint="eastAsia" w:asciiTheme="minorEastAsia" w:hAnsiTheme="minorEastAsia" w:eastAsiaTheme="minorEastAsia" w:cstheme="minorEastAsia"/>
                <w:kern w:val="0"/>
                <w:sz w:val="20"/>
                <w:szCs w:val="20"/>
              </w:rPr>
            </w:pPr>
          </w:p>
        </w:tc>
      </w:tr>
    </w:tbl>
    <w:p>
      <w:pPr>
        <w:pStyle w:val="5"/>
        <w:spacing w:before="0" w:after="0"/>
        <w:jc w:val="center"/>
      </w:pPr>
      <w:r>
        <w:t>三、规划建设科（挂铁路机场科牌子）职责任务清单</w:t>
      </w:r>
    </w:p>
    <w:tbl>
      <w:tblPr>
        <w:tblStyle w:val="10"/>
        <w:tblW w:w="14870" w:type="dxa"/>
        <w:jc w:val="center"/>
        <w:tblLayout w:type="fixed"/>
        <w:tblCellMar>
          <w:top w:w="0" w:type="dxa"/>
          <w:left w:w="0" w:type="dxa"/>
          <w:bottom w:w="0" w:type="dxa"/>
          <w:right w:w="0" w:type="dxa"/>
        </w:tblCellMar>
      </w:tblPr>
      <w:tblGrid>
        <w:gridCol w:w="4422"/>
        <w:gridCol w:w="6722"/>
        <w:gridCol w:w="3726"/>
      </w:tblGrid>
      <w:tr>
        <w:tblPrEx>
          <w:tblCellMar>
            <w:top w:w="0" w:type="dxa"/>
            <w:left w:w="0" w:type="dxa"/>
            <w:bottom w:w="0" w:type="dxa"/>
            <w:right w:w="0" w:type="dxa"/>
          </w:tblCellMar>
        </w:tblPrEx>
        <w:trPr>
          <w:trHeight w:val="364" w:hRule="atLeast"/>
          <w:jc w:val="center"/>
        </w:trPr>
        <w:tc>
          <w:tcPr>
            <w:tcW w:w="11144"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“三定”规定对应内容</w:t>
            </w:r>
          </w:p>
        </w:tc>
        <w:tc>
          <w:tcPr>
            <w:tcW w:w="372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4422"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6722"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jc w:val="center"/>
              <w:rPr>
                <w:rFonts w:hint="default"/>
                <w:w w:val="105"/>
              </w:rPr>
            </w:pPr>
            <w:r>
              <w:rPr>
                <w:rFonts w:ascii="黑体" w:hAnsi="黑体" w:eastAsia="黑体"/>
                <w:w w:val="105"/>
              </w:rPr>
              <w:t>科室职责</w:t>
            </w:r>
          </w:p>
        </w:tc>
        <w:tc>
          <w:tcPr>
            <w:tcW w:w="3726"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5238" w:hRule="atLeast"/>
          <w:jc w:val="center"/>
        </w:trPr>
        <w:tc>
          <w:tcPr>
            <w:tcW w:w="4422" w:type="dxa"/>
            <w:tcBorders>
              <w:top w:val="single" w:color="000000" w:sz="4" w:space="0"/>
              <w:left w:val="single" w:color="000000" w:sz="4" w:space="0"/>
              <w:bottom w:val="single" w:color="000000" w:sz="4" w:space="0"/>
              <w:right w:val="single" w:color="000000" w:sz="4" w:space="0"/>
            </w:tcBorders>
            <w:noWrap/>
          </w:tcPr>
          <w:p>
            <w:pPr>
              <w:pStyle w:val="17"/>
              <w:numPr>
                <w:ilvl w:val="0"/>
                <w:numId w:val="0"/>
              </w:numPr>
              <w:kinsoku w:val="0"/>
              <w:overflowPunct w:val="0"/>
              <w:rPr>
                <w:rFonts w:hint="eastAsia" w:asciiTheme="minorEastAsia" w:hAnsiTheme="minorEastAsia" w:eastAsiaTheme="minorEastAsia" w:cstheme="minorEastAsia"/>
                <w:kern w:val="0"/>
                <w:sz w:val="20"/>
                <w:szCs w:val="20"/>
              </w:rPr>
            </w:pPr>
          </w:p>
          <w:p>
            <w:pPr>
              <w:pStyle w:val="17"/>
              <w:numPr>
                <w:ilvl w:val="0"/>
                <w:numId w:val="3"/>
              </w:numPr>
              <w:kinsoku w:val="0"/>
              <w:overflowPunct w:val="0"/>
              <w:ind w:left="26"/>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负责全县国道、省道的布局规划，组织公路及其附属设施的建设、养护和管理。负责全县高速公路的布局规划，指导监督全县高速公路的建设、养护和运营管理。指导监督农村公路的规划、建设、养护、管理。</w:t>
            </w:r>
          </w:p>
          <w:p>
            <w:pPr>
              <w:pStyle w:val="17"/>
              <w:numPr>
                <w:ilvl w:val="0"/>
                <w:numId w:val="3"/>
              </w:numPr>
              <w:kinsoku w:val="0"/>
              <w:overflowPunct w:val="0"/>
              <w:ind w:left="26"/>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1"/>
                <w:szCs w:val="21"/>
              </w:rPr>
              <w:t>拟订公路、水路、地方铁路行业发展的战略、政策和规划、计划并监督实施。拟订机场发展的规划、计划并监督实施。指导城市轨道交通的规划、建设、运营、管理。</w:t>
            </w:r>
          </w:p>
          <w:p>
            <w:pPr>
              <w:pStyle w:val="17"/>
              <w:numPr>
                <w:ilvl w:val="0"/>
                <w:numId w:val="3"/>
              </w:numPr>
              <w:kinsoku w:val="0"/>
              <w:overflowPunct w:val="0"/>
              <w:ind w:left="26"/>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承担公路、水路、地方铁路、机场以及城市轨道交通建设市场监管责任。拟订公路、水路、地方铁路以及城市轨道交通工程建设相关政策、制度、标准并监督实施，拟订机场工程建设相关政策、制度并监督实施。组织协调公路、水路、地方铁路以及城市轨道交通有关重点工程建设和工程质量、安全生产监督管理，组织协调机场有关重点工程建设工作，指导公路、水路、地方铁路、机场以及城市轨道交通基础设施管理和维护。</w:t>
            </w:r>
          </w:p>
          <w:p>
            <w:pPr>
              <w:pStyle w:val="17"/>
              <w:numPr>
                <w:ilvl w:val="0"/>
                <w:numId w:val="3"/>
              </w:numPr>
              <w:kinsoku w:val="0"/>
              <w:overflowPunct w:val="0"/>
              <w:ind w:left="26"/>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承担县铁路建设领导小组的日常工作。</w:t>
            </w:r>
          </w:p>
          <w:p>
            <w:pPr>
              <w:pStyle w:val="17"/>
              <w:numPr>
                <w:ilvl w:val="0"/>
                <w:numId w:val="3"/>
              </w:numPr>
              <w:kinsoku w:val="0"/>
              <w:overflowPunct w:val="0"/>
              <w:ind w:left="26"/>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lang w:eastAsia="zh-CN"/>
              </w:rPr>
              <w:t>指导行业环境保护工作。</w:t>
            </w:r>
          </w:p>
        </w:tc>
        <w:tc>
          <w:tcPr>
            <w:tcW w:w="6722" w:type="dxa"/>
            <w:tcBorders>
              <w:top w:val="single" w:color="000000" w:sz="4" w:space="0"/>
              <w:left w:val="single" w:color="000000" w:sz="4" w:space="0"/>
              <w:bottom w:val="single" w:color="000000" w:sz="4" w:space="0"/>
              <w:right w:val="single" w:color="000000" w:sz="4" w:space="0"/>
            </w:tcBorders>
            <w:noWrap/>
          </w:tcPr>
          <w:p>
            <w:pPr>
              <w:rPr>
                <w:rFonts w:hint="eastAsia" w:asciiTheme="minorEastAsia" w:hAnsiTheme="minorEastAsia" w:eastAsiaTheme="minorEastAsia" w:cstheme="minorEastAsia"/>
                <w:kern w:val="0"/>
                <w:sz w:val="20"/>
                <w:szCs w:val="20"/>
              </w:rPr>
            </w:pP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组织编制全县综合交通运输体系规划，统筹公路、水路、地方铁路、机场和城市轨道交通等规划的衔接平衡。负责综合分析、预测行业经济运行情况，引导行业优化结构、协调发展。承担有关利用外资、行业统计工作。拟订行业科技政策并监督实施，组织行业科技开发，推动技术进步。组织协调有关重大科研项目研究。承担有关标准、质量和计量工作。指导行业环境保护、节能减排工作。承担信息化有关工作。</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拟订公路、水路、地方铁路以及城市轨道交通工程建设的相关制度和标准并监督实施，拟订机场建设的相关制度并监督实施，组织协调公路、水路、地方铁路、机场以及城市轨道交通有关重点工程建设，负责重点工程质量监督管理工作。负责公路、水路、地方铁路、机场和城市轨道交通建设市场监管，以及重点交通工程建设招投标的监管。承担交通有关重点工程设计管理、施工许可、竣工验收工作。</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拟订公路建设、养护、运营的相关政策、制度和标准，提出全县公路建设规划、计划并监督实施。组织实施国道、省道、县道的建设、养护和运营管理。指导监督全县高速公路、乡村公路的建设、养护和运营管理。负责全县公路路政管理。承担公路超限检测站设置的审核、报批工作。</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三）拟订全县地方铁路、机场建设的相关政策、制度和标准，提出全县地方铁路、机场建设规划、计划并监督实施。负责全县地方铁路、机场建设的组织协调、业务指导和监督检查，组织推进地方铁路、机场重点项目实施。负责地方铁路运输市场监管工作。承担县铁路建设领导小组的日常工作。</w:t>
            </w:r>
          </w:p>
          <w:p>
            <w:pPr>
              <w:autoSpaceDE w:val="0"/>
              <w:autoSpaceDN w:val="0"/>
              <w:adjustRightInd w:val="0"/>
              <w:jc w:val="left"/>
              <w:rPr>
                <w:rFonts w:hint="eastAsia" w:asciiTheme="minorEastAsia" w:hAnsiTheme="minorEastAsia" w:eastAsiaTheme="minorEastAsia" w:cstheme="minorEastAsia"/>
                <w:kern w:val="0"/>
                <w:sz w:val="20"/>
                <w:szCs w:val="20"/>
              </w:rPr>
            </w:pPr>
          </w:p>
          <w:p>
            <w:pPr>
              <w:pStyle w:val="17"/>
              <w:kinsoku w:val="0"/>
              <w:overflowPunct w:val="0"/>
              <w:ind w:right="45"/>
              <w:rPr>
                <w:rFonts w:hint="eastAsia" w:asciiTheme="minorEastAsia" w:hAnsiTheme="minorEastAsia" w:eastAsiaTheme="minorEastAsia" w:cstheme="minorEastAsia"/>
                <w:kern w:val="0"/>
                <w:sz w:val="20"/>
                <w:szCs w:val="20"/>
              </w:rPr>
            </w:pPr>
          </w:p>
        </w:tc>
        <w:tc>
          <w:tcPr>
            <w:tcW w:w="3726"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ind w:left="22"/>
              <w:rPr>
                <w:rFonts w:hint="default" w:ascii="宋体" w:hAnsi="Times New Roman"/>
                <w:kern w:val="0"/>
              </w:rPr>
            </w:pP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1.组织实施编制全县综合交通运输体系规划。</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2.承担行业统计、有关标准、质量、和计量工作。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3.开展农村公路建设规划、计划编制及地方铁路、机场规划、计划编制工作。</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4.组织实施农村公路、地方铁路、机场调查，收集、整理相关数据。</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5.做好农村公路规划、计划的编制工作。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6.开展公路、地方铁路、机场建设监督管理和建设市场监管工作。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7.承担农村公路年报工作。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8.负责设计管理、竣工验收审核确认工作。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9.承担县铁路建设领导小组的日常工作。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10.检查和评估农村公路建设质量。</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11.组织指导乡村公路建设、养护、和运营管理工作。</w:t>
            </w:r>
          </w:p>
          <w:p>
            <w:pPr>
              <w:pStyle w:val="17"/>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12.承担农村公路数据统计工作。</w:t>
            </w:r>
          </w:p>
          <w:p>
            <w:pPr>
              <w:pStyle w:val="17"/>
              <w:kinsoku w:val="0"/>
              <w:overflowPunct w:val="0"/>
              <w:ind w:left="22"/>
              <w:rPr>
                <w:rFonts w:hint="default" w:ascii="宋体" w:hAnsi="Times New Roman"/>
                <w:kern w:val="0"/>
              </w:rPr>
            </w:pPr>
          </w:p>
        </w:tc>
      </w:tr>
    </w:tbl>
    <w:p>
      <w:pPr>
        <w:jc w:val="both"/>
        <w:outlineLvl w:val="0"/>
        <w:rPr>
          <w:rFonts w:ascii="仿宋" w:hAnsi="仿宋" w:eastAsia="仿宋" w:cs="仿宋"/>
          <w:sz w:val="32"/>
          <w:szCs w:val="32"/>
        </w:rPr>
        <w:sectPr>
          <w:pgSz w:w="16838" w:h="11906" w:orient="landscape"/>
          <w:pgMar w:top="1474" w:right="1553" w:bottom="1474" w:left="1553" w:header="851" w:footer="992" w:gutter="0"/>
          <w:cols w:space="720" w:num="1"/>
          <w:docGrid w:linePitch="319" w:charSpace="0"/>
        </w:sectPr>
      </w:pPr>
    </w:p>
    <w:p>
      <w:pPr>
        <w:pStyle w:val="5"/>
        <w:jc w:val="center"/>
        <w:rPr>
          <w:sz w:val="32"/>
          <w:szCs w:val="32"/>
        </w:rPr>
      </w:pPr>
      <w:r>
        <w:t>四、运输管理科(挂交通战备办公室牌子)</w:t>
      </w:r>
    </w:p>
    <w:tbl>
      <w:tblPr>
        <w:tblStyle w:val="10"/>
        <w:tblW w:w="14870" w:type="dxa"/>
        <w:jc w:val="center"/>
        <w:tblLayout w:type="fixed"/>
        <w:tblCellMar>
          <w:top w:w="0" w:type="dxa"/>
          <w:left w:w="0" w:type="dxa"/>
          <w:bottom w:w="0" w:type="dxa"/>
          <w:right w:w="0" w:type="dxa"/>
        </w:tblCellMar>
      </w:tblPr>
      <w:tblGrid>
        <w:gridCol w:w="5649"/>
        <w:gridCol w:w="5727"/>
        <w:gridCol w:w="3494"/>
      </w:tblGrid>
      <w:tr>
        <w:tblPrEx>
          <w:tblCellMar>
            <w:top w:w="0" w:type="dxa"/>
            <w:left w:w="0" w:type="dxa"/>
            <w:bottom w:w="0" w:type="dxa"/>
            <w:right w:w="0" w:type="dxa"/>
          </w:tblCellMar>
        </w:tblPrEx>
        <w:trPr>
          <w:trHeight w:val="364" w:hRule="atLeast"/>
          <w:jc w:val="center"/>
        </w:trPr>
        <w:tc>
          <w:tcPr>
            <w:tcW w:w="11376"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“三定”规定对应内容</w:t>
            </w:r>
          </w:p>
        </w:tc>
        <w:tc>
          <w:tcPr>
            <w:tcW w:w="3494"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5649"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rPr>
                <w:rFonts w:hint="default" w:ascii="黑体" w:hAnsi="黑体" w:eastAsia="黑体"/>
                <w:w w:val="105"/>
              </w:rPr>
            </w:pPr>
            <w:r>
              <w:rPr>
                <w:rFonts w:ascii="黑体" w:hAnsi="黑体" w:eastAsia="黑体"/>
                <w:w w:val="105"/>
              </w:rPr>
              <w:t>部门主要职责</w:t>
            </w:r>
          </w:p>
        </w:tc>
        <w:tc>
          <w:tcPr>
            <w:tcW w:w="5727"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rPr>
                <w:rFonts w:hint="default"/>
                <w:w w:val="105"/>
              </w:rPr>
            </w:pPr>
            <w:r>
              <w:rPr>
                <w:rFonts w:ascii="黑体" w:hAnsi="黑体" w:eastAsia="黑体"/>
                <w:w w:val="105"/>
              </w:rPr>
              <w:t>科室职责</w:t>
            </w:r>
          </w:p>
        </w:tc>
        <w:tc>
          <w:tcPr>
            <w:tcW w:w="3494"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1081" w:hRule="atLeast"/>
          <w:jc w:val="center"/>
        </w:trPr>
        <w:tc>
          <w:tcPr>
            <w:tcW w:w="5649" w:type="dxa"/>
            <w:tcBorders>
              <w:top w:val="single" w:color="000000" w:sz="4" w:space="0"/>
              <w:left w:val="single" w:color="000000" w:sz="4" w:space="0"/>
              <w:bottom w:val="single" w:color="000000" w:sz="4" w:space="0"/>
              <w:right w:val="single" w:color="000000" w:sz="4" w:space="0"/>
            </w:tcBorders>
            <w:noWrap/>
          </w:tcPr>
          <w:p>
            <w:pPr>
              <w:pStyle w:val="21"/>
              <w:numPr>
                <w:ilvl w:val="0"/>
                <w:numId w:val="4"/>
              </w:numPr>
              <w:autoSpaceDE w:val="0"/>
              <w:autoSpaceDN w:val="0"/>
              <w:adjustRightInd w:val="0"/>
              <w:spacing w:line="300" w:lineRule="exact"/>
              <w:ind w:firstLine="0" w:firstLineChars="0"/>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贯彻执行交通运输工作法律、法规。</w:t>
            </w:r>
          </w:p>
          <w:p>
            <w:pPr>
              <w:pStyle w:val="17"/>
              <w:numPr>
                <w:ilvl w:val="0"/>
                <w:numId w:val="2"/>
              </w:numPr>
              <w:kinsoku w:val="0"/>
              <w:overflowPunct w:val="0"/>
              <w:ind w:right="45"/>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kern w:val="0"/>
                <w:sz w:val="21"/>
                <w:szCs w:val="21"/>
              </w:rPr>
              <w:t>负责推进全县综合交通运输体系建设，组织拟订综合交通运输发展战略和政策，建立与综合交通运输体系相适应的制度体制机制，优化交通运输主要通道和重要枢纽节点布局，拟订综合交通运输地方标准，促进各种交通运输方式融合。</w:t>
            </w:r>
          </w:p>
          <w:p>
            <w:pPr>
              <w:pStyle w:val="22"/>
              <w:numPr>
                <w:ilvl w:val="0"/>
                <w:numId w:val="0"/>
              </w:numPr>
              <w:ind w:leftChars="0"/>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参与拟订现代物流业发展规划、政策，拟订有关标准并监督实施。指导交通运输行业有关体制改革工作。</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lang w:eastAsia="zh-CN"/>
              </w:rPr>
              <w:t>四、</w:t>
            </w:r>
            <w:r>
              <w:rPr>
                <w:rFonts w:hint="eastAsia" w:asciiTheme="minorEastAsia" w:hAnsiTheme="minorEastAsia" w:eastAsiaTheme="minorEastAsia" w:cstheme="minorEastAsia"/>
                <w:b w:val="0"/>
                <w:kern w:val="0"/>
                <w:sz w:val="20"/>
                <w:szCs w:val="20"/>
              </w:rPr>
              <w:t>按照规定组织协调重点物资、紧急客货运输。</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lang w:eastAsia="zh-CN"/>
              </w:rPr>
              <w:t>五、</w:t>
            </w:r>
            <w:r>
              <w:rPr>
                <w:rFonts w:hint="eastAsia" w:asciiTheme="minorEastAsia" w:hAnsiTheme="minorEastAsia" w:eastAsiaTheme="minorEastAsia" w:cstheme="minorEastAsia"/>
                <w:b w:val="0"/>
                <w:kern w:val="0"/>
                <w:sz w:val="20"/>
                <w:szCs w:val="20"/>
              </w:rPr>
              <w:t>指导道路运输服务行业管理工作。组织协调全县铁路公路水路航空综合运输，承担道路、水路、地方铁路运输市场监管责任。拟订道路、水路、地方铁路运输有关政策、准入制度、运营规范、标准并监督实施。指导道路、水路、地方铁路运输服务行业管理工作。指导协调铁路道口监护管理和综合治理。</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lang w:eastAsia="zh-CN"/>
              </w:rPr>
            </w:pPr>
            <w:r>
              <w:rPr>
                <w:rFonts w:hint="eastAsia" w:asciiTheme="minorEastAsia" w:hAnsiTheme="minorEastAsia" w:eastAsiaTheme="minorEastAsia" w:cstheme="minorEastAsia"/>
                <w:b w:val="0"/>
                <w:kern w:val="0"/>
                <w:sz w:val="20"/>
                <w:szCs w:val="20"/>
                <w:lang w:eastAsia="zh-CN"/>
              </w:rPr>
              <w:t>六、</w:t>
            </w:r>
            <w:r>
              <w:rPr>
                <w:rFonts w:hint="eastAsia" w:asciiTheme="minorEastAsia" w:hAnsiTheme="minorEastAsia" w:eastAsiaTheme="minorEastAsia" w:cstheme="minorEastAsia"/>
                <w:b w:val="0"/>
                <w:kern w:val="0"/>
                <w:sz w:val="20"/>
                <w:szCs w:val="20"/>
              </w:rPr>
              <w:t>指导城市客运工作。</w:t>
            </w:r>
            <w:r>
              <w:rPr>
                <w:rFonts w:hint="eastAsia" w:asciiTheme="minorEastAsia" w:hAnsiTheme="minorEastAsia" w:eastAsiaTheme="minorEastAsia" w:cstheme="minorEastAsia"/>
                <w:b w:val="0"/>
                <w:kern w:val="0"/>
                <w:sz w:val="20"/>
                <w:szCs w:val="20"/>
                <w:lang w:eastAsia="zh-CN"/>
              </w:rPr>
              <w:t>指导节能减排工作。</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lang w:eastAsia="zh-CN"/>
              </w:rPr>
              <w:t>七、</w:t>
            </w:r>
            <w:r>
              <w:rPr>
                <w:rFonts w:hint="eastAsia" w:asciiTheme="minorEastAsia" w:hAnsiTheme="minorEastAsia" w:eastAsiaTheme="minorEastAsia" w:cstheme="minorEastAsia"/>
                <w:b w:val="0"/>
                <w:kern w:val="0"/>
                <w:sz w:val="20"/>
                <w:szCs w:val="20"/>
              </w:rPr>
              <w:t>负责道路运输行业统计工作。</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lang w:eastAsia="zh-CN"/>
              </w:rPr>
              <w:t>八、</w:t>
            </w:r>
            <w:r>
              <w:rPr>
                <w:rFonts w:hint="eastAsia" w:asciiTheme="minorEastAsia" w:hAnsiTheme="minorEastAsia" w:eastAsiaTheme="minorEastAsia" w:cstheme="minorEastAsia"/>
                <w:b w:val="0"/>
                <w:kern w:val="0"/>
                <w:sz w:val="20"/>
                <w:szCs w:val="20"/>
              </w:rPr>
              <w:t>承担县属重点交通运输企业的业务指导工作并参与考核。负责相关国际运输的管理工作。指导交通运输方面的合作与交流工作。</w:t>
            </w:r>
          </w:p>
          <w:p>
            <w:pPr>
              <w:pStyle w:val="21"/>
              <w:numPr>
                <w:numId w:val="0"/>
              </w:numPr>
              <w:autoSpaceDE w:val="0"/>
              <w:autoSpaceDN w:val="0"/>
              <w:adjustRightInd w:val="0"/>
              <w:spacing w:line="300" w:lineRule="exac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lang w:eastAsia="zh-CN"/>
              </w:rPr>
              <w:t>九、</w:t>
            </w:r>
            <w:r>
              <w:rPr>
                <w:rFonts w:hint="eastAsia" w:asciiTheme="minorEastAsia" w:hAnsiTheme="minorEastAsia" w:eastAsiaTheme="minorEastAsia" w:cstheme="minorEastAsia"/>
                <w:b w:val="0"/>
                <w:kern w:val="0"/>
                <w:sz w:val="20"/>
                <w:szCs w:val="20"/>
              </w:rPr>
              <w:t>负责全县交通战备工作，推进交通领域军民融合，承办县国防动员委员会的有关工作。</w:t>
            </w:r>
          </w:p>
          <w:p>
            <w:pPr>
              <w:pStyle w:val="17"/>
              <w:kinsoku w:val="0"/>
              <w:overflowPunct w:val="0"/>
              <w:rPr>
                <w:rFonts w:hint="eastAsia" w:asciiTheme="minorEastAsia" w:hAnsiTheme="minorEastAsia" w:eastAsiaTheme="minorEastAsia" w:cstheme="minorEastAsia"/>
                <w:b w:val="0"/>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p>
        </w:tc>
        <w:tc>
          <w:tcPr>
            <w:tcW w:w="5727" w:type="dxa"/>
            <w:tcBorders>
              <w:top w:val="single" w:color="000000" w:sz="4" w:space="0"/>
              <w:left w:val="single" w:color="000000" w:sz="4" w:space="0"/>
              <w:bottom w:val="single" w:color="000000" w:sz="4" w:space="0"/>
              <w:right w:val="single" w:color="000000" w:sz="4" w:space="0"/>
            </w:tcBorders>
            <w:noWrap/>
          </w:tcPr>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（一）组织拟订交通运输发展规划、计划，监督协调交通运输规划、计划实施。</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（二）组织开展县属重点交通运输企业的业务指导工作并参与考核。</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（三）组织协调公路、水路、铁路、航空、城市客运综合运输。</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（四）参与拟订现代物流业发展规划、政策，承担现代物流业发展的有关工作。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（五）承担组织协调国家重点物资、紧急客货运输有关工作。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（六）协调全县春运工作，承担节日运输有关工作。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（七）指导协调全县铁路专用线共用以及联运工作。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（八）指导道路旅客运输、货物运输管理。</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（九）负责道路运输市场监管以及涉外运输的相关管理工作，指导道路运输企业和道路班线客车、旅游包车等营运车辆的合法经营管理。</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（十）拟订城市公共交通建设发展政策、制度和服务标准并监督实施。</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（十一）指导城市轨道交通和城市综合枢纽的规划、建设和运营。</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（十二）指导与道路运输相关的维修驾培、综合性能检测、搬运装卸、人员培训和运输服务活动的管理。</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（十三）指导城市客运工作。指导网约车等新业态的管理工作。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四）规划国防交通网络布局，拟订国防交通保障计划。承担国防运力动员、运力征用和交通战备器材管理工作。组织协调县内军事行动、国防运输等重大活动的交通保障。承办县国防动员委员会的有关工作，负责推动交通运输领域军民融合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（十五）依照法律法规授权开展工作。</w:t>
            </w:r>
          </w:p>
        </w:tc>
        <w:tc>
          <w:tcPr>
            <w:tcW w:w="3494" w:type="dxa"/>
            <w:tcBorders>
              <w:top w:val="single" w:color="000000" w:sz="4" w:space="0"/>
              <w:left w:val="single" w:color="000000" w:sz="4" w:space="0"/>
              <w:bottom w:val="single" w:color="000000" w:sz="4" w:space="0"/>
              <w:right w:val="single" w:color="000000" w:sz="4" w:space="0"/>
            </w:tcBorders>
            <w:noWrap/>
          </w:tcPr>
          <w:p>
            <w:pPr>
              <w:pStyle w:val="19"/>
              <w:spacing w:line="240" w:lineRule="exact"/>
              <w:jc w:val="left"/>
              <w:rPr>
                <w:rFonts w:hint="eastAsia" w:asciiTheme="minorEastAsia" w:hAnsiTheme="minorEastAsia" w:eastAsiaTheme="minorEastAsia" w:cstheme="minorEastAsia"/>
                <w:b w:val="0"/>
                <w:kern w:val="0"/>
                <w:sz w:val="20"/>
                <w:szCs w:val="20"/>
              </w:rPr>
            </w:pP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组织拟订交通运输展规划、参与拟订现代物流业发展规划，拟订城市公共交通建设发展政策、制度和服务标准并监督实施。</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负责指导货运、客运、维修、驾培、综合性能检测、搬运装卸、人员培训、运输服务、网约车等道路运输行业及道路运输相关行业管理。</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组织开展相关道路运输企业年度质量信誉考核工作。</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负责协调国家重点物资、紧急客货运输、全县春运有关工作。</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组织协调公路、水路、铁路、航空、城市客运综合运输。指导协调全县铁路专用线共用以及联运工作。指导城市轨道交通和城市综合枢纽的规划、建设和运营。</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负责全县道路运输车辆《道路运输证》年度审验。</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负责道路运输驾驶员继续教育工作。</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负责道路运输驾驶员诚信考核工作。</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负责做好全县道路运输行业统计工作。</w:t>
            </w:r>
          </w:p>
          <w:p>
            <w:pPr>
              <w:pStyle w:val="19"/>
              <w:numPr>
                <w:ilvl w:val="0"/>
                <w:numId w:val="5"/>
              </w:numPr>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负责交通战备工作。</w:t>
            </w:r>
          </w:p>
          <w:p>
            <w:pPr>
              <w:pStyle w:val="19"/>
              <w:autoSpaceDE w:val="0"/>
              <w:autoSpaceDN w:val="0"/>
              <w:adjustRightInd w:val="0"/>
              <w:spacing w:line="240" w:lineRule="exact"/>
              <w:jc w:val="left"/>
              <w:rPr>
                <w:rFonts w:hint="eastAsia" w:asciiTheme="minorEastAsia" w:hAnsiTheme="minorEastAsia" w:eastAsiaTheme="minorEastAsia" w:cstheme="minorEastAsia"/>
                <w:b w:val="0"/>
                <w:kern w:val="0"/>
                <w:sz w:val="20"/>
                <w:szCs w:val="20"/>
              </w:rPr>
            </w:pPr>
          </w:p>
          <w:p>
            <w:pPr>
              <w:pStyle w:val="19"/>
              <w:spacing w:line="240" w:lineRule="exact"/>
              <w:jc w:val="left"/>
              <w:rPr>
                <w:rFonts w:hint="eastAsia" w:asciiTheme="minorEastAsia" w:hAnsiTheme="minorEastAsia" w:eastAsiaTheme="minorEastAsia" w:cstheme="minorEastAsia"/>
                <w:b w:val="0"/>
                <w:kern w:val="0"/>
                <w:sz w:val="20"/>
                <w:szCs w:val="20"/>
              </w:rPr>
            </w:pPr>
          </w:p>
        </w:tc>
      </w:tr>
    </w:tbl>
    <w:p>
      <w:pPr>
        <w:pStyle w:val="18"/>
        <w:jc w:val="both"/>
        <w:sectPr>
          <w:footerReference r:id="rId5" w:type="default"/>
          <w:footerReference r:id="rId6" w:type="even"/>
          <w:pgSz w:w="16838" w:h="11906" w:orient="landscape"/>
          <w:pgMar w:top="1417" w:right="1531" w:bottom="1417" w:left="1531" w:header="851" w:footer="1134" w:gutter="0"/>
          <w:pgNumType w:fmt="numberInDash" w:start="1"/>
          <w:cols w:space="720" w:num="1"/>
          <w:docGrid w:type="lines" w:linePitch="312" w:charSpace="0"/>
        </w:sectPr>
      </w:pPr>
    </w:p>
    <w:p>
      <w:pPr>
        <w:pStyle w:val="5"/>
        <w:jc w:val="center"/>
      </w:pPr>
      <w:r>
        <w:t>五、财务科职责任务清单</w:t>
      </w:r>
    </w:p>
    <w:tbl>
      <w:tblPr>
        <w:tblStyle w:val="10"/>
        <w:tblW w:w="14870" w:type="dxa"/>
        <w:jc w:val="center"/>
        <w:tblLayout w:type="fixed"/>
        <w:tblCellMar>
          <w:top w:w="0" w:type="dxa"/>
          <w:left w:w="0" w:type="dxa"/>
          <w:bottom w:w="0" w:type="dxa"/>
          <w:right w:w="0" w:type="dxa"/>
        </w:tblCellMar>
      </w:tblPr>
      <w:tblGrid>
        <w:gridCol w:w="3625"/>
        <w:gridCol w:w="5264"/>
        <w:gridCol w:w="5981"/>
      </w:tblGrid>
      <w:tr>
        <w:tblPrEx>
          <w:tblCellMar>
            <w:top w:w="0" w:type="dxa"/>
            <w:left w:w="0" w:type="dxa"/>
            <w:bottom w:w="0" w:type="dxa"/>
            <w:right w:w="0" w:type="dxa"/>
          </w:tblCellMar>
        </w:tblPrEx>
        <w:trPr>
          <w:trHeight w:val="364" w:hRule="atLeast"/>
          <w:jc w:val="center"/>
        </w:trPr>
        <w:tc>
          <w:tcPr>
            <w:tcW w:w="8889"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 xml:space="preserve"> “三定”规定对应内容</w:t>
            </w:r>
          </w:p>
        </w:tc>
        <w:tc>
          <w:tcPr>
            <w:tcW w:w="5981"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3625"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5264"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jc w:val="center"/>
              <w:rPr>
                <w:rFonts w:hint="default"/>
                <w:w w:val="105"/>
              </w:rPr>
            </w:pPr>
            <w:r>
              <w:rPr>
                <w:rFonts w:ascii="黑体" w:hAnsi="黑体" w:eastAsia="黑体"/>
                <w:w w:val="105"/>
              </w:rPr>
              <w:t>科室职责</w:t>
            </w:r>
          </w:p>
        </w:tc>
        <w:tc>
          <w:tcPr>
            <w:tcW w:w="5981"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5709" w:hRule="atLeast"/>
          <w:jc w:val="center"/>
        </w:trPr>
        <w:tc>
          <w:tcPr>
            <w:tcW w:w="3625" w:type="dxa"/>
            <w:tcBorders>
              <w:top w:val="single" w:color="000000" w:sz="4" w:space="0"/>
              <w:left w:val="single" w:color="000000" w:sz="4" w:space="0"/>
              <w:bottom w:val="single" w:color="000000" w:sz="4" w:space="0"/>
              <w:right w:val="single" w:color="000000" w:sz="4" w:space="0"/>
            </w:tcBorders>
            <w:noWrap/>
          </w:tcPr>
          <w:p>
            <w:pPr>
              <w:pStyle w:val="17"/>
              <w:numPr>
                <w:ilvl w:val="0"/>
                <w:numId w:val="0"/>
              </w:numPr>
              <w:kinsoku w:val="0"/>
              <w:overflowPunct w:val="0"/>
              <w:rPr>
                <w:rFonts w:hint="eastAsia" w:asciiTheme="minorEastAsia" w:hAnsiTheme="minorEastAsia" w:eastAsiaTheme="minorEastAsia" w:cstheme="minorEastAsia"/>
                <w:kern w:val="0"/>
                <w:sz w:val="20"/>
                <w:szCs w:val="20"/>
              </w:rPr>
            </w:pPr>
          </w:p>
          <w:p>
            <w:pPr>
              <w:pStyle w:val="17"/>
              <w:numPr>
                <w:ilvl w:val="0"/>
                <w:numId w:val="0"/>
              </w:numPr>
              <w:kinsoku w:val="0"/>
              <w:overflowPunct w:val="0"/>
              <w:rPr>
                <w:rFonts w:hint="eastAsia" w:asciiTheme="minorEastAsia" w:hAnsiTheme="minorEastAsia" w:eastAsiaTheme="minorEastAsia" w:cstheme="minorEastAsia"/>
                <w:kern w:val="0"/>
                <w:sz w:val="20"/>
                <w:szCs w:val="20"/>
              </w:rPr>
            </w:pPr>
          </w:p>
          <w:p>
            <w:pPr>
              <w:pStyle w:val="17"/>
              <w:numPr>
                <w:ilvl w:val="0"/>
                <w:numId w:val="6"/>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负责提出公路、水路、地方铁路、机场以及城市轨道交通固定资产投资规模和方向以及政府财政性资金安排建议。</w:t>
            </w:r>
          </w:p>
          <w:p>
            <w:pPr>
              <w:pStyle w:val="17"/>
              <w:numPr>
                <w:ilvl w:val="0"/>
                <w:numId w:val="6"/>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拟订行业有关规费政策并监督实施，提出有关财政、土地、价格等政策建议。</w:t>
            </w:r>
          </w:p>
          <w:p>
            <w:pPr>
              <w:pStyle w:val="17"/>
              <w:numPr>
                <w:ilvl w:val="0"/>
                <w:numId w:val="6"/>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负责公路通行费收费、内河船闸、公路超限检测站点设置的审核、报批工作。</w:t>
            </w:r>
          </w:p>
          <w:p>
            <w:pPr>
              <w:pStyle w:val="17"/>
              <w:numPr>
                <w:ilvl w:val="0"/>
                <w:numId w:val="6"/>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指导行业投融资工作。</w:t>
            </w:r>
          </w:p>
          <w:p>
            <w:pPr>
              <w:pStyle w:val="17"/>
              <w:numPr>
                <w:ilvl w:val="0"/>
                <w:numId w:val="6"/>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负责行业统计工作，发布有关信息。</w:t>
            </w:r>
          </w:p>
        </w:tc>
        <w:tc>
          <w:tcPr>
            <w:tcW w:w="5264" w:type="dxa"/>
            <w:tcBorders>
              <w:top w:val="single" w:color="000000" w:sz="4" w:space="0"/>
              <w:left w:val="single" w:color="000000" w:sz="4" w:space="0"/>
              <w:bottom w:val="single" w:color="000000" w:sz="4" w:space="0"/>
              <w:right w:val="single" w:color="000000" w:sz="4" w:space="0"/>
            </w:tcBorders>
            <w:noWrap/>
          </w:tcPr>
          <w:p>
            <w:pPr>
              <w:rPr>
                <w:rFonts w:hint="eastAsia" w:asciiTheme="minorEastAsia" w:hAnsiTheme="minorEastAsia" w:eastAsiaTheme="minorEastAsia" w:cstheme="minorEastAsia"/>
                <w:kern w:val="0"/>
                <w:sz w:val="20"/>
                <w:szCs w:val="20"/>
              </w:rPr>
            </w:pPr>
          </w:p>
          <w:p>
            <w:pPr>
              <w:rPr>
                <w:rFonts w:hint="eastAsia" w:asciiTheme="minorEastAsia" w:hAnsiTheme="minorEastAsia" w:eastAsiaTheme="minorEastAsia" w:cstheme="minorEastAsia"/>
                <w:kern w:val="0"/>
                <w:sz w:val="20"/>
                <w:szCs w:val="20"/>
              </w:rPr>
            </w:pPr>
          </w:p>
          <w:p>
            <w:pPr>
              <w:numPr>
                <w:ilvl w:val="0"/>
                <w:numId w:val="7"/>
              </w:num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拟订行业有关规费征收政策和办法并监督实施。</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（二）承担行业投融资的有关工作。</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（三）承担公路通行费收费站点设置以及公路通行费收费标准的审核、报批。</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（四）负责编制市级交通运输部门财政预算。</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（五）承担交通专项资金、预决算、政府采购有关工作。</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（六）承担受委托管理和政府投资形成的有关国有资产监管。</w:t>
            </w:r>
          </w:p>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（七）承担局机关财务、内部审计、国有资产管理,指导监督所属单位的财务、国有资产管理工作。</w:t>
            </w:r>
          </w:p>
          <w:p>
            <w:pPr>
              <w:pStyle w:val="17"/>
              <w:kinsoku w:val="0"/>
              <w:overflowPunct w:val="0"/>
              <w:ind w:right="45"/>
              <w:rPr>
                <w:rFonts w:hint="eastAsia" w:asciiTheme="minorEastAsia" w:hAnsiTheme="minorEastAsia" w:eastAsiaTheme="minorEastAsia" w:cstheme="minorEastAsia"/>
                <w:kern w:val="0"/>
                <w:sz w:val="20"/>
                <w:szCs w:val="20"/>
              </w:rPr>
            </w:pPr>
          </w:p>
        </w:tc>
        <w:tc>
          <w:tcPr>
            <w:tcW w:w="5981"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1.交通运输行业投融资工作。</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2.承担财政预决算工作，上报公开上级财政部门批复的部门预决算及报表，包括部门收支总体情况和财政拨款收支情况。。</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3.开展交通专项资金管理工作，负责对上级部门下达的交通专项资金进行管理，规范专项支出，保证专项支出使用安全。。</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4.承担受委托管理和政府投资形成的有关国有资产监管管理。。</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5.做好政府采购管理，负责政府采购的管理和监督工作。</w:t>
            </w:r>
          </w:p>
          <w:p>
            <w:pPr>
              <w:pStyle w:val="17"/>
              <w:kinsoku w:val="0"/>
              <w:overflowPunct w:val="0"/>
              <w:ind w:left="22"/>
              <w:rPr>
                <w:rFonts w:hint="eastAsia" w:asciiTheme="minorEastAsia" w:hAnsiTheme="minorEastAsia" w:eastAsiaTheme="minorEastAsia" w:cstheme="minorEastAsia"/>
                <w:kern w:val="0"/>
                <w:sz w:val="20"/>
                <w:szCs w:val="20"/>
              </w:rPr>
            </w:pPr>
          </w:p>
        </w:tc>
      </w:tr>
    </w:tbl>
    <w:p>
      <w:pPr>
        <w:pStyle w:val="2"/>
        <w:ind w:firstLine="604"/>
      </w:pPr>
    </w:p>
    <w:p>
      <w:pPr>
        <w:pStyle w:val="5"/>
        <w:jc w:val="center"/>
      </w:pPr>
      <w:bookmarkStart w:id="1" w:name="_GoBack"/>
      <w:bookmarkEnd w:id="1"/>
      <w:r>
        <w:t>六、安全监督科职责任务清单</w:t>
      </w:r>
    </w:p>
    <w:tbl>
      <w:tblPr>
        <w:tblStyle w:val="10"/>
        <w:tblW w:w="14870" w:type="dxa"/>
        <w:jc w:val="center"/>
        <w:tblLayout w:type="fixed"/>
        <w:tblCellMar>
          <w:top w:w="0" w:type="dxa"/>
          <w:left w:w="0" w:type="dxa"/>
          <w:bottom w:w="0" w:type="dxa"/>
          <w:right w:w="0" w:type="dxa"/>
        </w:tblCellMar>
      </w:tblPr>
      <w:tblGrid>
        <w:gridCol w:w="2635"/>
        <w:gridCol w:w="4459"/>
        <w:gridCol w:w="7776"/>
      </w:tblGrid>
      <w:tr>
        <w:tblPrEx>
          <w:tblCellMar>
            <w:top w:w="0" w:type="dxa"/>
            <w:left w:w="0" w:type="dxa"/>
            <w:bottom w:w="0" w:type="dxa"/>
            <w:right w:w="0" w:type="dxa"/>
          </w:tblCellMar>
        </w:tblPrEx>
        <w:trPr>
          <w:trHeight w:val="364" w:hRule="atLeast"/>
          <w:jc w:val="center"/>
        </w:trPr>
        <w:tc>
          <w:tcPr>
            <w:tcW w:w="7094"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“三定”规定对应内容</w:t>
            </w:r>
          </w:p>
        </w:tc>
        <w:tc>
          <w:tcPr>
            <w:tcW w:w="777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2635"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4459"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rPr>
                <w:rFonts w:hint="default"/>
                <w:w w:val="105"/>
              </w:rPr>
            </w:pPr>
            <w:r>
              <w:rPr>
                <w:rFonts w:ascii="黑体" w:hAnsi="黑体" w:eastAsia="黑体"/>
                <w:w w:val="105"/>
              </w:rPr>
              <w:t>科室职责</w:t>
            </w:r>
          </w:p>
        </w:tc>
        <w:tc>
          <w:tcPr>
            <w:tcW w:w="7776"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5050" w:hRule="atLeast"/>
          <w:jc w:val="center"/>
        </w:trPr>
        <w:tc>
          <w:tcPr>
            <w:tcW w:w="2635"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w:t>
            </w:r>
            <w:r>
              <w:rPr>
                <w:rFonts w:hint="eastAsia" w:asciiTheme="minorEastAsia" w:hAnsiTheme="minorEastAsia" w:eastAsiaTheme="minorEastAsia" w:cstheme="minorEastAsia"/>
                <w:sz w:val="21"/>
                <w:szCs w:val="21"/>
              </w:rPr>
              <w:t>在职责范围内，负责本部门、本行业领域的安全生产和安全消防工作。</w:t>
            </w:r>
          </w:p>
          <w:p>
            <w:pPr>
              <w:pStyle w:val="17"/>
              <w:kinsoku w:val="0"/>
              <w:overflowPunct w:val="0"/>
              <w:ind w:left="26"/>
              <w:rPr>
                <w:rFonts w:hint="eastAsia" w:asciiTheme="minorEastAsia" w:hAnsiTheme="minorEastAsia" w:eastAsiaTheme="minorEastAsia" w:cstheme="minorEastAsia"/>
                <w:kern w:val="0"/>
                <w:sz w:val="20"/>
                <w:szCs w:val="20"/>
              </w:rPr>
            </w:pPr>
          </w:p>
        </w:tc>
        <w:tc>
          <w:tcPr>
            <w:tcW w:w="4459" w:type="dxa"/>
            <w:tcBorders>
              <w:top w:val="single" w:color="000000" w:sz="4" w:space="0"/>
              <w:left w:val="single" w:color="000000" w:sz="4" w:space="0"/>
              <w:bottom w:val="single" w:color="000000" w:sz="4" w:space="0"/>
              <w:right w:val="single" w:color="000000" w:sz="4" w:space="0"/>
            </w:tcBorders>
            <w:noWrap/>
          </w:tcPr>
          <w:p>
            <w:pPr>
              <w:pStyle w:val="19"/>
              <w:spacing w:line="360" w:lineRule="exact"/>
              <w:jc w:val="left"/>
              <w:rPr>
                <w:rFonts w:hint="eastAsia" w:asciiTheme="minorEastAsia" w:hAnsiTheme="minorEastAsia" w:eastAsiaTheme="minorEastAsia" w:cstheme="minorEastAsia"/>
                <w:b w:val="0"/>
                <w:kern w:val="0"/>
                <w:sz w:val="20"/>
                <w:szCs w:val="20"/>
              </w:rPr>
            </w:pPr>
          </w:p>
          <w:p>
            <w:pPr>
              <w:pStyle w:val="19"/>
              <w:spacing w:line="36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（一）拟定行业安全生产政策、制度、规范并监督实施。</w:t>
            </w:r>
          </w:p>
          <w:p>
            <w:pPr>
              <w:pStyle w:val="19"/>
              <w:spacing w:line="36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（二）指导协调有关安全生产和应急处置体系建设。</w:t>
            </w:r>
          </w:p>
          <w:p>
            <w:pPr>
              <w:pStyle w:val="19"/>
              <w:spacing w:line="36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（三）承担交通运输有关企业安全生产监管，组织或者参与处理有关事故调查，指导交通运输工程建设和维护的安全生产工作。</w:t>
            </w:r>
          </w:p>
          <w:p>
            <w:pPr>
              <w:pStyle w:val="19"/>
              <w:spacing w:line="36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（四）负责应急值班工作。</w:t>
            </w:r>
          </w:p>
          <w:p>
            <w:pPr>
              <w:pStyle w:val="17"/>
              <w:kinsoku w:val="0"/>
              <w:overflowPunct w:val="0"/>
              <w:ind w:right="45"/>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（五）承担抗震救灾、防汛等应对重大自然灾害的交通保障。</w:t>
            </w:r>
          </w:p>
        </w:tc>
        <w:tc>
          <w:tcPr>
            <w:tcW w:w="7776"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rPr>
                <w:rFonts w:hint="eastAsia" w:asciiTheme="minorEastAsia" w:hAnsiTheme="minorEastAsia" w:eastAsiaTheme="minorEastAsia" w:cstheme="minorEastAsia"/>
                <w:kern w:val="0"/>
                <w:sz w:val="20"/>
                <w:szCs w:val="20"/>
              </w:rPr>
            </w:pP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组织开展交通运输行业安全生产有关法律、法规和地方政策研究和综合分析，并监督实施。</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指导协调有关安全生产体系建设。</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指导协调有关应急处置体系建设。</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监督交通运输有关企业安全生产工作，适时对工作开展情况进行督导检查。</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组织或者参与事故调查。</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指导交通运输工程建设和维护的安全生产工作，适时进行督导检查。</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负责应急值班工作。</w:t>
            </w:r>
          </w:p>
          <w:p>
            <w:pPr>
              <w:pStyle w:val="17"/>
              <w:numPr>
                <w:ilvl w:val="0"/>
                <w:numId w:val="8"/>
              </w:numPr>
              <w:kinsoku w:val="0"/>
              <w:overflowPunct w:val="0"/>
              <w:ind w:left="22"/>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承担抗震救灾、防汛等应对重大自然灾害的交通保障，制定应急预案，统计队伍、物资，并进行调度。</w:t>
            </w:r>
          </w:p>
        </w:tc>
      </w:tr>
    </w:tbl>
    <w:p>
      <w:pPr>
        <w:pStyle w:val="16"/>
        <w:jc w:val="both"/>
        <w:rPr>
          <w:sz w:val="32"/>
          <w:szCs w:val="32"/>
        </w:rPr>
      </w:pPr>
    </w:p>
    <w:p>
      <w:pPr>
        <w:pStyle w:val="5"/>
        <w:jc w:val="center"/>
      </w:pPr>
      <w:r>
        <w:t>七、水运科（挂地方海事办公室牌子）职责任务清单</w:t>
      </w:r>
    </w:p>
    <w:tbl>
      <w:tblPr>
        <w:tblStyle w:val="10"/>
        <w:tblW w:w="14870" w:type="dxa"/>
        <w:jc w:val="center"/>
        <w:tblLayout w:type="fixed"/>
        <w:tblCellMar>
          <w:top w:w="0" w:type="dxa"/>
          <w:left w:w="0" w:type="dxa"/>
          <w:bottom w:w="0" w:type="dxa"/>
          <w:right w:w="0" w:type="dxa"/>
        </w:tblCellMar>
      </w:tblPr>
      <w:tblGrid>
        <w:gridCol w:w="3571"/>
        <w:gridCol w:w="5304"/>
        <w:gridCol w:w="5995"/>
      </w:tblGrid>
      <w:tr>
        <w:tblPrEx>
          <w:tblCellMar>
            <w:top w:w="0" w:type="dxa"/>
            <w:left w:w="0" w:type="dxa"/>
            <w:bottom w:w="0" w:type="dxa"/>
            <w:right w:w="0" w:type="dxa"/>
          </w:tblCellMar>
        </w:tblPrEx>
        <w:trPr>
          <w:trHeight w:val="364" w:hRule="atLeast"/>
          <w:jc w:val="center"/>
        </w:trPr>
        <w:tc>
          <w:tcPr>
            <w:tcW w:w="8875" w:type="dxa"/>
            <w:gridSpan w:val="2"/>
            <w:tcBorders>
              <w:top w:val="single" w:color="000000" w:sz="4" w:space="0"/>
              <w:left w:val="single" w:color="000000" w:sz="4" w:space="0"/>
              <w:bottom w:val="single" w:color="000000" w:sz="4" w:space="0"/>
              <w:right w:val="single" w:color="000000" w:sz="4" w:space="0"/>
            </w:tcBorders>
            <w:noWrap/>
          </w:tcPr>
          <w:p>
            <w:pPr>
              <w:pStyle w:val="17"/>
              <w:kinsoku w:val="0"/>
              <w:overflowPunct w:val="0"/>
              <w:spacing w:before="105"/>
              <w:ind w:firstLine="1386" w:firstLineChars="550"/>
              <w:rPr>
                <w:rFonts w:hint="default"/>
                <w:w w:val="105"/>
              </w:rPr>
            </w:pPr>
            <w:r>
              <w:rPr>
                <w:rFonts w:ascii="黑体" w:hAnsi="黑体" w:eastAsia="黑体"/>
                <w:w w:val="105"/>
              </w:rPr>
              <w:t xml:space="preserve"> “三定”规定对应内容</w:t>
            </w:r>
          </w:p>
        </w:tc>
        <w:tc>
          <w:tcPr>
            <w:tcW w:w="5995"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jc w:val="center"/>
              <w:rPr>
                <w:rFonts w:hint="default"/>
                <w:w w:val="105"/>
              </w:rPr>
            </w:pPr>
            <w:r>
              <w:rPr>
                <w:rFonts w:ascii="黑体" w:hAnsi="黑体" w:eastAsia="黑体"/>
                <w:w w:val="105"/>
              </w:rPr>
              <w:t>科室工作任务</w:t>
            </w:r>
          </w:p>
        </w:tc>
      </w:tr>
      <w:tr>
        <w:tblPrEx>
          <w:tblCellMar>
            <w:top w:w="0" w:type="dxa"/>
            <w:left w:w="0" w:type="dxa"/>
            <w:bottom w:w="0" w:type="dxa"/>
            <w:right w:w="0" w:type="dxa"/>
          </w:tblCellMar>
        </w:tblPrEx>
        <w:trPr>
          <w:trHeight w:val="364" w:hRule="atLeast"/>
          <w:jc w:val="center"/>
        </w:trPr>
        <w:tc>
          <w:tcPr>
            <w:tcW w:w="3571"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630" w:firstLineChars="250"/>
              <w:rPr>
                <w:rFonts w:hint="default" w:ascii="黑体" w:hAnsi="黑体" w:eastAsia="黑体"/>
                <w:w w:val="105"/>
              </w:rPr>
            </w:pPr>
            <w:r>
              <w:rPr>
                <w:rFonts w:ascii="黑体" w:hAnsi="黑体" w:eastAsia="黑体"/>
                <w:w w:val="105"/>
              </w:rPr>
              <w:t>部门主要职责</w:t>
            </w:r>
          </w:p>
        </w:tc>
        <w:tc>
          <w:tcPr>
            <w:tcW w:w="5304" w:type="dxa"/>
            <w:tcBorders>
              <w:top w:val="single" w:color="000000" w:sz="4" w:space="0"/>
              <w:left w:val="single" w:color="000000" w:sz="4" w:space="0"/>
              <w:bottom w:val="single" w:color="000000" w:sz="4" w:space="0"/>
              <w:right w:val="single" w:color="000000" w:sz="4" w:space="0"/>
            </w:tcBorders>
            <w:noWrap/>
            <w:vAlign w:val="center"/>
          </w:tcPr>
          <w:p>
            <w:pPr>
              <w:pStyle w:val="17"/>
              <w:kinsoku w:val="0"/>
              <w:overflowPunct w:val="0"/>
              <w:ind w:firstLine="1008" w:firstLineChars="400"/>
              <w:rPr>
                <w:rFonts w:hint="default"/>
                <w:w w:val="105"/>
              </w:rPr>
            </w:pPr>
            <w:r>
              <w:rPr>
                <w:rFonts w:ascii="黑体" w:hAnsi="黑体" w:eastAsia="黑体"/>
                <w:w w:val="105"/>
              </w:rPr>
              <w:t>科室职责</w:t>
            </w:r>
          </w:p>
        </w:tc>
        <w:tc>
          <w:tcPr>
            <w:tcW w:w="5995" w:type="dxa"/>
            <w:vMerge w:val="continue"/>
            <w:tcBorders>
              <w:top w:val="nil"/>
              <w:left w:val="single" w:color="000000" w:sz="4" w:space="0"/>
              <w:bottom w:val="single" w:color="000000" w:sz="4" w:space="0"/>
              <w:right w:val="single" w:color="000000" w:sz="4" w:space="0"/>
            </w:tcBorders>
            <w:noWrap/>
          </w:tcPr>
          <w:p>
            <w:pPr>
              <w:pStyle w:val="7"/>
              <w:kinsoku w:val="0"/>
              <w:overflowPunct w:val="0"/>
              <w:spacing w:before="10"/>
              <w:rPr>
                <w:rFonts w:hint="default"/>
                <w:sz w:val="2"/>
              </w:rPr>
            </w:pPr>
          </w:p>
        </w:tc>
      </w:tr>
      <w:tr>
        <w:tblPrEx>
          <w:tblCellMar>
            <w:top w:w="0" w:type="dxa"/>
            <w:left w:w="0" w:type="dxa"/>
            <w:bottom w:w="0" w:type="dxa"/>
            <w:right w:w="0" w:type="dxa"/>
          </w:tblCellMar>
        </w:tblPrEx>
        <w:trPr>
          <w:trHeight w:val="4641" w:hRule="atLeast"/>
          <w:jc w:val="center"/>
        </w:trPr>
        <w:tc>
          <w:tcPr>
            <w:tcW w:w="3571"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一、按照规定负责港口规划和岸线使用管理工作。</w:t>
            </w:r>
          </w:p>
          <w:p>
            <w:pPr>
              <w:pStyle w:val="17"/>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二、承担县管内河通航水域的水上交通安全监管责任。负责县管内河通航水域交通管制、危险品运输监管工作，组织县管内河通航水域救助打捞工作。负责船舶检验和监督管理，负责船舶（不含渔业船舶）以及相关水上设施登记、防治污染工作。指导港口设施保安、引航管理工作。</w:t>
            </w:r>
          </w:p>
        </w:tc>
        <w:tc>
          <w:tcPr>
            <w:tcW w:w="5304" w:type="dxa"/>
            <w:tcBorders>
              <w:top w:val="single" w:color="000000" w:sz="4" w:space="0"/>
              <w:left w:val="single" w:color="000000" w:sz="4" w:space="0"/>
              <w:bottom w:val="single" w:color="000000" w:sz="4" w:space="0"/>
              <w:right w:val="single" w:color="000000" w:sz="4" w:space="0"/>
            </w:tcBorders>
            <w:noWrap/>
          </w:tcPr>
          <w:p>
            <w:pPr>
              <w:pStyle w:val="19"/>
              <w:spacing w:line="240" w:lineRule="exact"/>
              <w:jc w:val="left"/>
              <w:rPr>
                <w:rFonts w:hint="eastAsia" w:asciiTheme="minorEastAsia" w:hAnsiTheme="minorEastAsia" w:eastAsiaTheme="minorEastAsia" w:cstheme="minorEastAsia"/>
                <w:b w:val="0"/>
                <w:kern w:val="0"/>
                <w:sz w:val="20"/>
                <w:szCs w:val="20"/>
              </w:rPr>
            </w:pP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（一）拟定水路工程建设、维护以及水路运输相关政策、制度和标准。</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（二）提出全县港口、航道等规划、计划。</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（三）负责重点项目组织实施。</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（四）负责水路运输市场监管。</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（五）按照规定负责港区内危险化学品监管</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（六）指导港口设施保安、引航管理工作。</w:t>
            </w:r>
          </w:p>
          <w:p>
            <w:pPr>
              <w:pStyle w:val="19"/>
              <w:spacing w:line="240" w:lineRule="exact"/>
              <w:jc w:val="left"/>
              <w:rPr>
                <w:rFonts w:hint="eastAsia" w:asciiTheme="minorEastAsia" w:hAnsiTheme="minorEastAsia" w:eastAsiaTheme="minorEastAsia" w:cstheme="minorEastAsia"/>
                <w:b w:val="0"/>
                <w:kern w:val="0"/>
                <w:sz w:val="20"/>
                <w:szCs w:val="20"/>
              </w:rPr>
            </w:pPr>
            <w:r>
              <w:rPr>
                <w:rFonts w:hint="eastAsia" w:asciiTheme="minorEastAsia" w:hAnsiTheme="minorEastAsia" w:eastAsiaTheme="minorEastAsia" w:cstheme="minorEastAsia"/>
                <w:b w:val="0"/>
                <w:kern w:val="0"/>
                <w:sz w:val="20"/>
                <w:szCs w:val="20"/>
              </w:rPr>
              <w:t>（七）承担航道管理有关工作。</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（八）承担京杭运河建设管理有关工作。</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（九）承担县管内河通航水域的水上交通安全监管责任。</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（十）负责县管内河通航水域交通管制。</w:t>
            </w:r>
          </w:p>
          <w:p>
            <w:pPr>
              <w:autoSpaceDE w:val="0"/>
              <w:autoSpaceDN w:val="0"/>
              <w:adjustRightInd w:val="0"/>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（十一）组织县管内河通航水域救助打捞工作。</w:t>
            </w:r>
          </w:p>
        </w:tc>
        <w:tc>
          <w:tcPr>
            <w:tcW w:w="5995" w:type="dxa"/>
            <w:tcBorders>
              <w:top w:val="single" w:color="000000" w:sz="4" w:space="0"/>
              <w:left w:val="single" w:color="000000" w:sz="4" w:space="0"/>
              <w:bottom w:val="single" w:color="000000" w:sz="4" w:space="0"/>
              <w:right w:val="single" w:color="000000" w:sz="4" w:space="0"/>
            </w:tcBorders>
            <w:noWrap/>
          </w:tcPr>
          <w:p>
            <w:pPr>
              <w:pStyle w:val="17"/>
              <w:kinsoku w:val="0"/>
              <w:overflowPunct w:val="0"/>
              <w:ind w:left="22"/>
              <w:rPr>
                <w:rFonts w:hint="eastAsia" w:asciiTheme="minorEastAsia" w:hAnsiTheme="minorEastAsia" w:eastAsiaTheme="minorEastAsia" w:cstheme="minorEastAsia"/>
                <w:kern w:val="0"/>
                <w:sz w:val="20"/>
                <w:szCs w:val="20"/>
              </w:rPr>
            </w:pPr>
          </w:p>
          <w:p>
            <w:pPr>
              <w:pStyle w:val="17"/>
              <w:kinsoku w:val="0"/>
              <w:overflowPunct w:val="0"/>
              <w:rPr>
                <w:rFonts w:hint="eastAsia" w:asciiTheme="minorEastAsia" w:hAnsiTheme="minorEastAsia" w:eastAsiaTheme="minorEastAsia" w:cstheme="minorEastAsia"/>
                <w:kern w:val="0"/>
                <w:sz w:val="20"/>
                <w:szCs w:val="20"/>
              </w:rPr>
            </w:pP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拟定水路工程建设、维护以及水路运输相关政策、制度和标准。</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 xml:space="preserve">提出全县港口、航道等规划、计划。              </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负责水路运输市场监管。</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按照规定负责港区内危险化学品监管。</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指导港口设施保安、引航管理工作。</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承担航道管理有关工作。</w:t>
            </w:r>
          </w:p>
          <w:p>
            <w:pPr>
              <w:pStyle w:val="17"/>
              <w:numPr>
                <w:ilvl w:val="0"/>
                <w:numId w:val="9"/>
              </w:numPr>
              <w:kinsoku w:val="0"/>
              <w:overflowPunct w:val="0"/>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承担京杭运河建设管理有关工作。</w:t>
            </w:r>
          </w:p>
        </w:tc>
      </w:tr>
    </w:tbl>
    <w:p>
      <w:pPr>
        <w:pStyle w:val="16"/>
        <w:jc w:val="both"/>
        <w:rPr>
          <w:sz w:val="32"/>
          <w:szCs w:val="32"/>
        </w:rPr>
      </w:pPr>
    </w:p>
    <w:sectPr>
      <w:pgSz w:w="16838" w:h="11906" w:orient="landscape"/>
      <w:pgMar w:top="1474" w:right="1531" w:bottom="1474"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00000000" w:usb1="00000000" w:usb2="00000000" w:usb3="00000000" w:csb0="00000000" w:csb1="00000000"/>
  </w:font>
  <w:font w:name="方正黑体_GBK">
    <w:altName w:val="方正楷体简体"/>
    <w:panose1 w:val="00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Trebuchet MS">
    <w:altName w:val="NumberOnly"/>
    <w:panose1 w:val="020B0603020202020204"/>
    <w:charset w:val="00"/>
    <w:family w:val="swiss"/>
    <w:pitch w:val="default"/>
    <w:sig w:usb0="00000000" w:usb1="00000000" w:usb2="00000000" w:usb3="00000000" w:csb0="0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735"/>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rPr>
                        <w:rFonts w:hint="eastAsia"/>
                      </w:rP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735"/>
      <w:jc w:val="right"/>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4"/>
                              <w:szCs w:val="24"/>
                            </w:rPr>
                          </w:pPr>
                          <w:r>
                            <w:fldChar w:fldCharType="begin"/>
                          </w:r>
                          <w:r>
                            <w:instrText xml:space="preserve"> PAGE  \* MERGEFORMAT </w:instrText>
                          </w:r>
                          <w: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9ivQcAgAAIwQAAA4AAABkcnMvZTJvRG9jLnhtbK1Ty47TMBTdI/EP&#10;lvc0aWF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fXNFiWYKMzp9/3b68ev08yvBHwBqrZ/BbmNhGbq3psOgh3+Pz9h3&#10;VzkVb3REoAfUxwu8oguER6fpZDrNoeLQDQ/Ezx7drfPhnTCKRKGgDvNLsLLD2ofedDCJ2bRZNVKm&#10;GUpN2oJev77K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xPYr0HAIAACMEAAAO&#10;AAAAAAAAAAEAIAAAAB8BAABkcnMvZTJvRG9jLnhtbFBLBQYAAAAABgAGAFkBAACtBQAAAAA=&#10;">
              <v:fill on="f" focussize="0,0"/>
              <v:stroke on="f" weight="0.5pt"/>
              <v:imagedata o:title=""/>
              <o:lock v:ext="edit" aspectratio="f"/>
              <v:textbox inset="0mm,0mm,0mm,0mm" style="mso-fit-shape-to-text:t;">
                <w:txbxContent>
                  <w:p>
                    <w:pPr>
                      <w:pStyle w:val="8"/>
                      <w:rPr>
                        <w:sz w:val="24"/>
                        <w:szCs w:val="24"/>
                      </w:rPr>
                    </w:pPr>
                    <w:r>
                      <w:fldChar w:fldCharType="begin"/>
                    </w:r>
                    <w:r>
                      <w:instrText xml:space="preserve"> PAGE  \* MERGEFORMAT </w:instrText>
                    </w:r>
                    <w: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EDA01"/>
    <w:multiLevelType w:val="singleLevel"/>
    <w:tmpl w:val="8B8EDA01"/>
    <w:lvl w:ilvl="0" w:tentative="0">
      <w:start w:val="1"/>
      <w:numFmt w:val="decimal"/>
      <w:suff w:val="nothing"/>
      <w:lvlText w:val="%1、"/>
      <w:lvlJc w:val="left"/>
    </w:lvl>
  </w:abstractNum>
  <w:abstractNum w:abstractNumId="1">
    <w:nsid w:val="AEB695C1"/>
    <w:multiLevelType w:val="singleLevel"/>
    <w:tmpl w:val="AEB695C1"/>
    <w:lvl w:ilvl="0" w:tentative="0">
      <w:start w:val="1"/>
      <w:numFmt w:val="decimal"/>
      <w:lvlText w:val="%1."/>
      <w:lvlJc w:val="left"/>
      <w:pPr>
        <w:tabs>
          <w:tab w:val="left" w:pos="312"/>
        </w:tabs>
      </w:pPr>
    </w:lvl>
  </w:abstractNum>
  <w:abstractNum w:abstractNumId="2">
    <w:nsid w:val="FDDAF908"/>
    <w:multiLevelType w:val="singleLevel"/>
    <w:tmpl w:val="FDDAF908"/>
    <w:lvl w:ilvl="0" w:tentative="0">
      <w:start w:val="1"/>
      <w:numFmt w:val="decimal"/>
      <w:suff w:val="nothing"/>
      <w:lvlText w:val="%1、"/>
      <w:lvlJc w:val="left"/>
    </w:lvl>
  </w:abstractNum>
  <w:abstractNum w:abstractNumId="3">
    <w:nsid w:val="0B0C3103"/>
    <w:multiLevelType w:val="singleLevel"/>
    <w:tmpl w:val="0B0C3103"/>
    <w:lvl w:ilvl="0" w:tentative="0">
      <w:start w:val="1"/>
      <w:numFmt w:val="chineseCounting"/>
      <w:suff w:val="nothing"/>
      <w:lvlText w:val="（%1）"/>
      <w:lvlJc w:val="left"/>
      <w:rPr>
        <w:rFonts w:hint="eastAsia"/>
      </w:rPr>
    </w:lvl>
  </w:abstractNum>
  <w:abstractNum w:abstractNumId="4">
    <w:nsid w:val="1AE2DA3F"/>
    <w:multiLevelType w:val="singleLevel"/>
    <w:tmpl w:val="1AE2DA3F"/>
    <w:lvl w:ilvl="0" w:tentative="0">
      <w:start w:val="1"/>
      <w:numFmt w:val="chineseCounting"/>
      <w:suff w:val="nothing"/>
      <w:lvlText w:val="%1、"/>
      <w:lvlJc w:val="left"/>
      <w:rPr>
        <w:rFonts w:hint="eastAsia"/>
      </w:rPr>
    </w:lvl>
  </w:abstractNum>
  <w:abstractNum w:abstractNumId="5">
    <w:nsid w:val="2D0948F4"/>
    <w:multiLevelType w:val="singleLevel"/>
    <w:tmpl w:val="2D0948F4"/>
    <w:lvl w:ilvl="0" w:tentative="0">
      <w:start w:val="1"/>
      <w:numFmt w:val="decimal"/>
      <w:suff w:val="nothing"/>
      <w:lvlText w:val="%1、"/>
      <w:lvlJc w:val="left"/>
    </w:lvl>
  </w:abstractNum>
  <w:abstractNum w:abstractNumId="6">
    <w:nsid w:val="419991EA"/>
    <w:multiLevelType w:val="singleLevel"/>
    <w:tmpl w:val="419991EA"/>
    <w:lvl w:ilvl="0" w:tentative="0">
      <w:start w:val="1"/>
      <w:numFmt w:val="chineseCounting"/>
      <w:suff w:val="nothing"/>
      <w:lvlText w:val="%1、"/>
      <w:lvlJc w:val="left"/>
      <w:rPr>
        <w:rFonts w:hint="eastAsia"/>
      </w:rPr>
    </w:lvl>
  </w:abstractNum>
  <w:abstractNum w:abstractNumId="7">
    <w:nsid w:val="571DC9BA"/>
    <w:multiLevelType w:val="multilevel"/>
    <w:tmpl w:val="571DC9BA"/>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914B25E"/>
    <w:multiLevelType w:val="singleLevel"/>
    <w:tmpl w:val="6914B25E"/>
    <w:lvl w:ilvl="0" w:tentative="0">
      <w:start w:val="1"/>
      <w:numFmt w:val="chineseCounting"/>
      <w:suff w:val="nothing"/>
      <w:lvlText w:val="%1、"/>
      <w:lvlJc w:val="left"/>
      <w:rPr>
        <w:rFonts w:hint="eastAsia"/>
      </w:rPr>
    </w:lvl>
  </w:abstractNum>
  <w:num w:numId="1">
    <w:abstractNumId w:val="0"/>
  </w:num>
  <w:num w:numId="2">
    <w:abstractNumId w:val="6"/>
  </w:num>
  <w:num w:numId="3">
    <w:abstractNumId w:val="7"/>
  </w:num>
  <w:num w:numId="4">
    <w:abstractNumId w:val="8"/>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6368A"/>
    <w:rsid w:val="00512516"/>
    <w:rsid w:val="00745490"/>
    <w:rsid w:val="007E6D94"/>
    <w:rsid w:val="00816238"/>
    <w:rsid w:val="009A5EA8"/>
    <w:rsid w:val="00B03FB4"/>
    <w:rsid w:val="00C44EE9"/>
    <w:rsid w:val="00E354E3"/>
    <w:rsid w:val="00EA520B"/>
    <w:rsid w:val="00FE1AA0"/>
    <w:rsid w:val="06606F0E"/>
    <w:rsid w:val="0756087C"/>
    <w:rsid w:val="08773244"/>
    <w:rsid w:val="0A24557E"/>
    <w:rsid w:val="0C825F21"/>
    <w:rsid w:val="135B048A"/>
    <w:rsid w:val="178466BF"/>
    <w:rsid w:val="1B264DD9"/>
    <w:rsid w:val="22A1352D"/>
    <w:rsid w:val="2A3C752C"/>
    <w:rsid w:val="2D0A680F"/>
    <w:rsid w:val="313945A5"/>
    <w:rsid w:val="3396368A"/>
    <w:rsid w:val="3F8132EA"/>
    <w:rsid w:val="464B4947"/>
    <w:rsid w:val="48B764F9"/>
    <w:rsid w:val="4B137BE8"/>
    <w:rsid w:val="4C5E771D"/>
    <w:rsid w:val="4D306FA5"/>
    <w:rsid w:val="4DD7463B"/>
    <w:rsid w:val="524D7D2D"/>
    <w:rsid w:val="532A5646"/>
    <w:rsid w:val="56A741E0"/>
    <w:rsid w:val="6351538E"/>
    <w:rsid w:val="647B73EF"/>
    <w:rsid w:val="64862DC3"/>
    <w:rsid w:val="663F5A61"/>
    <w:rsid w:val="6B6B5F37"/>
    <w:rsid w:val="6D054B08"/>
    <w:rsid w:val="6D34281A"/>
    <w:rsid w:val="6D75510E"/>
    <w:rsid w:val="6E835B25"/>
    <w:rsid w:val="74020780"/>
    <w:rsid w:val="757E1F3A"/>
    <w:rsid w:val="76831930"/>
    <w:rsid w:val="79097125"/>
    <w:rsid w:val="7957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4"/>
    <w:qFormat/>
    <w:uiPriority w:val="0"/>
    <w:pPr>
      <w:keepNext/>
      <w:keepLines/>
      <w:autoSpaceDE w:val="0"/>
      <w:autoSpaceDN w:val="0"/>
      <w:adjustRightInd w:val="0"/>
      <w:spacing w:before="340" w:after="330" w:line="578" w:lineRule="auto"/>
      <w:jc w:val="left"/>
      <w:outlineLvl w:val="0"/>
    </w:pPr>
    <w:rPr>
      <w:rFonts w:hint="eastAsia" w:ascii="宋体" w:hAnsi="Times New Roman"/>
      <w:b/>
      <w:bCs/>
      <w:kern w:val="44"/>
      <w:sz w:val="44"/>
      <w:szCs w:val="44"/>
    </w:rPr>
  </w:style>
  <w:style w:type="paragraph" w:styleId="6">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800" w:lineRule="exact"/>
      <w:ind w:firstLine="573"/>
    </w:pPr>
    <w:rPr>
      <w:rFonts w:ascii="仿宋_GB2312"/>
      <w:spacing w:val="46"/>
    </w:rPr>
  </w:style>
  <w:style w:type="paragraph" w:styleId="4">
    <w:name w:val="Normal Indent"/>
    <w:basedOn w:val="1"/>
    <w:qFormat/>
    <w:uiPriority w:val="0"/>
    <w:pPr>
      <w:ind w:firstLine="420" w:firstLineChars="200"/>
    </w:pPr>
    <w:rPr>
      <w:rFonts w:eastAsia="仿宋"/>
    </w:rPr>
  </w:style>
  <w:style w:type="paragraph" w:styleId="7">
    <w:name w:val="Body Text"/>
    <w:basedOn w:val="1"/>
    <w:unhideWhenUsed/>
    <w:qFormat/>
    <w:uiPriority w:val="1"/>
    <w:rPr>
      <w:rFonts w:hint="eastAsia"/>
      <w:sz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黑体"/>
    <w:basedOn w:val="1"/>
    <w:qFormat/>
    <w:uiPriority w:val="4"/>
    <w:pPr>
      <w:spacing w:line="280" w:lineRule="exact"/>
      <w:jc w:val="center"/>
    </w:pPr>
    <w:rPr>
      <w:rFonts w:ascii="宋体" w:hAnsi="宋体" w:eastAsia="方正黑体_GBK"/>
      <w:b/>
      <w:sz w:val="24"/>
      <w:szCs w:val="32"/>
    </w:rPr>
  </w:style>
  <w:style w:type="paragraph" w:customStyle="1" w:styleId="14">
    <w:name w:val="标题小标宋"/>
    <w:basedOn w:val="1"/>
    <w:qFormat/>
    <w:uiPriority w:val="1"/>
    <w:pPr>
      <w:spacing w:line="720" w:lineRule="exact"/>
      <w:jc w:val="center"/>
    </w:pPr>
    <w:rPr>
      <w:rFonts w:ascii="宋体" w:hAnsi="宋体" w:eastAsia="方正小标宋_GBK"/>
      <w:b/>
      <w:spacing w:val="10"/>
      <w:sz w:val="44"/>
      <w:szCs w:val="44"/>
    </w:rPr>
  </w:style>
  <w:style w:type="paragraph" w:customStyle="1" w:styleId="15">
    <w:name w:val="Body text|1"/>
    <w:basedOn w:val="1"/>
    <w:qFormat/>
    <w:uiPriority w:val="0"/>
    <w:pPr>
      <w:spacing w:line="480" w:lineRule="auto"/>
      <w:ind w:firstLine="400"/>
    </w:pPr>
    <w:rPr>
      <w:rFonts w:ascii="宋体" w:hAnsi="宋体" w:cs="宋体"/>
      <w:sz w:val="18"/>
      <w:szCs w:val="18"/>
    </w:rPr>
  </w:style>
  <w:style w:type="paragraph" w:customStyle="1" w:styleId="16">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paragraph" w:customStyle="1" w:styleId="17">
    <w:name w:val="Table Paragraph"/>
    <w:basedOn w:val="1"/>
    <w:unhideWhenUsed/>
    <w:qFormat/>
    <w:uiPriority w:val="1"/>
    <w:rPr>
      <w:rFonts w:hint="eastAsia"/>
      <w:sz w:val="24"/>
    </w:rPr>
  </w:style>
  <w:style w:type="paragraph" w:customStyle="1" w:styleId="18">
    <w:name w:val="副标题楷体"/>
    <w:basedOn w:val="1"/>
    <w:qFormat/>
    <w:uiPriority w:val="1"/>
    <w:pPr>
      <w:spacing w:line="600" w:lineRule="exact"/>
      <w:jc w:val="center"/>
    </w:pPr>
    <w:rPr>
      <w:rFonts w:ascii="宋体" w:hAnsi="宋体" w:eastAsia="方正楷体_GBK"/>
      <w:b/>
      <w:sz w:val="32"/>
      <w:szCs w:val="32"/>
    </w:rPr>
  </w:style>
  <w:style w:type="paragraph" w:customStyle="1" w:styleId="19">
    <w:name w:val="表格仿宋"/>
    <w:basedOn w:val="1"/>
    <w:qFormat/>
    <w:uiPriority w:val="4"/>
    <w:pPr>
      <w:spacing w:line="280" w:lineRule="exact"/>
      <w:jc w:val="center"/>
    </w:pPr>
    <w:rPr>
      <w:rFonts w:ascii="宋体" w:hAnsi="宋体" w:eastAsia="方正仿宋_GBK"/>
      <w:b/>
      <w:sz w:val="24"/>
      <w:szCs w:val="32"/>
    </w:rPr>
  </w:style>
  <w:style w:type="paragraph" w:customStyle="1" w:styleId="20">
    <w:name w:val="表格楷体"/>
    <w:basedOn w:val="1"/>
    <w:qFormat/>
    <w:uiPriority w:val="4"/>
    <w:pPr>
      <w:spacing w:line="280" w:lineRule="exact"/>
      <w:jc w:val="center"/>
    </w:pPr>
    <w:rPr>
      <w:rFonts w:ascii="宋体" w:hAnsi="宋体" w:eastAsia="方正楷体_GBK"/>
      <w:b/>
      <w:sz w:val="24"/>
      <w:szCs w:val="32"/>
    </w:rPr>
  </w:style>
  <w:style w:type="paragraph" w:customStyle="1" w:styleId="21">
    <w:name w:val="仿宋正文"/>
    <w:basedOn w:val="1"/>
    <w:qFormat/>
    <w:uiPriority w:val="0"/>
    <w:pPr>
      <w:spacing w:line="600" w:lineRule="exact"/>
      <w:ind w:firstLine="643" w:firstLineChars="200"/>
    </w:pPr>
    <w:rPr>
      <w:rFonts w:ascii="宋体" w:hAnsi="宋体" w:eastAsia="方正仿宋_GBK"/>
      <w:b/>
      <w:szCs w:val="32"/>
    </w:rPr>
  </w:style>
  <w:style w:type="paragraph" w:styleId="22">
    <w:name w:val="List Paragraph"/>
    <w:basedOn w:val="1"/>
    <w:unhideWhenUsed/>
    <w:uiPriority w:val="99"/>
    <w:pPr>
      <w:autoSpaceDE w:val="0"/>
      <w:autoSpaceDN w:val="0"/>
      <w:adjustRightInd w:val="0"/>
      <w:ind w:firstLine="420" w:firstLineChars="200"/>
      <w:jc w:val="left"/>
    </w:pPr>
    <w:rPr>
      <w:rFonts w:hint="eastAsia" w:ascii="宋体" w:hAnsi="Times New Roman"/>
      <w:kern w:val="0"/>
      <w:sz w:val="22"/>
      <w:szCs w:val="20"/>
    </w:rPr>
  </w:style>
  <w:style w:type="paragraph" w:customStyle="1" w:styleId="23">
    <w:name w:val="_Style 6"/>
    <w:basedOn w:val="1"/>
    <w:uiPriority w:val="0"/>
    <w:pPr>
      <w:tabs>
        <w:tab w:val="left" w:pos="360"/>
      </w:tabs>
    </w:pPr>
    <w:rPr>
      <w:sz w:val="24"/>
      <w:szCs w:val="32"/>
    </w:rPr>
  </w:style>
  <w:style w:type="character" w:customStyle="1" w:styleId="24">
    <w:name w:val="标题 1 Char"/>
    <w:basedOn w:val="12"/>
    <w:link w:val="5"/>
    <w:uiPriority w:val="0"/>
    <w:rPr>
      <w:rFonts w:ascii="宋体"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866</Words>
  <Characters>4940</Characters>
  <Lines>41</Lines>
  <Paragraphs>11</Paragraphs>
  <TotalTime>5</TotalTime>
  <ScaleCrop>false</ScaleCrop>
  <LinksUpToDate>false</LinksUpToDate>
  <CharactersWithSpaces>5795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2020-07-31T09:34:00Z</dcterms:created>
  <dc:creator>Administrator</dc:creator>
  <cp:lastModifiedBy>Administrator</cp:lastModifiedBy>
  <dcterms:modified xsi:type="dcterms:W3CDTF">2020-08-12T07:53:58Z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