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17"/>
          <w:sz w:val="44"/>
          <w:szCs w:val="44"/>
          <w:shd w:val="clear" w:fill="FFFFFF"/>
        </w:rPr>
        <w:t>梁山县退役军人事务局202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3</w:t>
      </w:r>
      <w:r>
        <w:rPr>
          <w:rFonts w:hint="eastAsia" w:ascii="方正小标宋简体" w:hAnsi="方正小标宋简体" w:eastAsia="方正小标宋简体" w:cs="方正小标宋简体"/>
          <w:b w:val="0"/>
          <w:bCs/>
          <w:i w:val="0"/>
          <w:caps w:val="0"/>
          <w:color w:val="333333"/>
          <w:spacing w:val="-17"/>
          <w:sz w:val="44"/>
          <w:szCs w:val="44"/>
          <w:shd w:val="clear" w:fill="FFFFFF"/>
        </w:rPr>
        <w:t>年政府信息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17"/>
          <w:sz w:val="44"/>
          <w:szCs w:val="44"/>
          <w:shd w:val="clear" w:fill="FFFFFF"/>
        </w:rPr>
        <w:t>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ascii="仿宋" w:hAnsi="仿宋" w:eastAsia="仿宋" w:cs="仿宋"/>
          <w:i w:val="0"/>
          <w:iCs w:val="0"/>
          <w:caps w:val="0"/>
          <w:color w:val="333333"/>
          <w:spacing w:val="0"/>
          <w:sz w:val="31"/>
          <w:szCs w:val="31"/>
        </w:rPr>
      </w:pPr>
      <w:r>
        <w:rPr>
          <w:rStyle w:val="6"/>
          <w:rFonts w:ascii="仿宋" w:hAnsi="仿宋" w:eastAsia="仿宋" w:cs="仿宋"/>
          <w:i w:val="0"/>
          <w:iCs w:val="0"/>
          <w:caps w:val="0"/>
          <w:color w:val="333333"/>
          <w:spacing w:val="0"/>
          <w:sz w:val="31"/>
          <w:szCs w:val="31"/>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本报告由梁山县退役军人事务局按照《中华人民共和国政府信息公开条例》（以下简称《条例》）和《中华人民共和国政府信息公开工作年度报告格式》（国办公开办函〔2021〕30号）要求编制。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报告所列数据的统计期限自2023年1月1日起至2023年12月31日止。本报告电子版可在梁山县人民政府门户网站（www.liangshan.gov.cn）查阅或下载。如对本报告有疑问，请与梁山县退役军人事务局联系（地址：梁山县和为贵社会治理服务中心2011室，联系电话：0537-7368100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ascii="黑体" w:hAnsi="宋体" w:eastAsia="黑体" w:cs="黑体"/>
          <w:i w:val="0"/>
          <w:iCs w:val="0"/>
          <w:caps w:val="0"/>
          <w:color w:val="000000"/>
          <w:spacing w:val="0"/>
          <w:sz w:val="31"/>
          <w:szCs w:val="31"/>
        </w:rPr>
        <w:t xml:space="preserve">  </w:t>
      </w:r>
      <w:r>
        <w:rPr>
          <w:rStyle w:val="6"/>
          <w:rFonts w:ascii="黑体" w:hAnsi="宋体" w:eastAsia="黑体" w:cs="黑体"/>
          <w:b w:val="0"/>
          <w:bCs/>
          <w:i w:val="0"/>
          <w:iCs w:val="0"/>
          <w:caps w:val="0"/>
          <w:color w:val="000000"/>
          <w:spacing w:val="0"/>
          <w:sz w:val="31"/>
          <w:szCs w:val="31"/>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r>
        <w:rPr>
          <w:rStyle w:val="6"/>
          <w:rFonts w:hint="eastAsia" w:ascii="仿宋" w:hAnsi="仿宋" w:eastAsia="仿宋" w:cs="仿宋"/>
          <w:i w:val="0"/>
          <w:iCs w:val="0"/>
          <w:caps w:val="0"/>
          <w:color w:val="333333"/>
          <w:spacing w:val="0"/>
          <w:sz w:val="31"/>
          <w:szCs w:val="31"/>
        </w:rPr>
        <w:t xml:space="preserve">    </w:t>
      </w:r>
      <w:r>
        <w:rPr>
          <w:rFonts w:hint="eastAsia" w:ascii="仿宋_GB2312" w:hAnsi="仿宋_GB2312" w:eastAsia="仿宋_GB2312" w:cs="仿宋_GB2312"/>
          <w:kern w:val="2"/>
          <w:sz w:val="32"/>
          <w:szCs w:val="32"/>
          <w:lang w:val="en-US" w:eastAsia="zh-CN" w:bidi="ar-SA"/>
        </w:rPr>
        <w:t>2023年，梁山县退役军人事务局认真贯彻落实《中华人民共和国政府信息公开条例》，坚持以公开为常态、不公开为例外的原则，不断完善政府信息公开制度建设和平台建设，优化政务服务，及时回应公众关切，切实保障人民群众知情权、参与权和监督权。</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13" w:leftChars="0" w:right="0" w:rightChars="0"/>
        <w:jc w:val="left"/>
        <w:textAlignment w:val="auto"/>
        <w:rPr>
          <w:rStyle w:val="6"/>
          <w:rFonts w:ascii="楷体" w:hAnsi="楷体" w:eastAsia="楷体" w:cs="楷体"/>
          <w:b w:val="0"/>
          <w:bCs/>
          <w:i w:val="0"/>
          <w:iCs w:val="0"/>
          <w:caps w:val="0"/>
          <w:color w:val="333333"/>
          <w:spacing w:val="0"/>
          <w:sz w:val="31"/>
          <w:szCs w:val="31"/>
        </w:rPr>
      </w:pPr>
      <w:r>
        <w:rPr>
          <w:rStyle w:val="6"/>
          <w:rFonts w:hint="eastAsia" w:ascii="楷体" w:hAnsi="楷体" w:eastAsia="楷体" w:cs="楷体"/>
          <w:b w:val="0"/>
          <w:bCs/>
          <w:i w:val="0"/>
          <w:iCs w:val="0"/>
          <w:caps w:val="0"/>
          <w:color w:val="333333"/>
          <w:spacing w:val="0"/>
          <w:sz w:val="31"/>
          <w:szCs w:val="31"/>
          <w:lang w:eastAsia="zh-CN"/>
        </w:rPr>
        <w:t>（</w:t>
      </w:r>
      <w:r>
        <w:rPr>
          <w:rStyle w:val="6"/>
          <w:rFonts w:hint="eastAsia" w:ascii="楷体" w:hAnsi="楷体" w:eastAsia="楷体" w:cs="楷体"/>
          <w:b w:val="0"/>
          <w:bCs/>
          <w:i w:val="0"/>
          <w:iCs w:val="0"/>
          <w:caps w:val="0"/>
          <w:color w:val="333333"/>
          <w:spacing w:val="0"/>
          <w:sz w:val="31"/>
          <w:szCs w:val="31"/>
          <w:lang w:val="en-US" w:eastAsia="zh-CN"/>
        </w:rPr>
        <w:t>一</w:t>
      </w:r>
      <w:r>
        <w:rPr>
          <w:rStyle w:val="6"/>
          <w:rFonts w:hint="eastAsia" w:ascii="楷体" w:hAnsi="楷体" w:eastAsia="楷体" w:cs="楷体"/>
          <w:b w:val="0"/>
          <w:bCs/>
          <w:i w:val="0"/>
          <w:iCs w:val="0"/>
          <w:caps w:val="0"/>
          <w:color w:val="333333"/>
          <w:spacing w:val="0"/>
          <w:sz w:val="31"/>
          <w:szCs w:val="31"/>
          <w:lang w:eastAsia="zh-CN"/>
        </w:rPr>
        <w:t>）</w:t>
      </w:r>
      <w:r>
        <w:rPr>
          <w:rStyle w:val="6"/>
          <w:rFonts w:ascii="楷体" w:hAnsi="楷体" w:eastAsia="楷体" w:cs="楷体"/>
          <w:b w:val="0"/>
          <w:bCs/>
          <w:i w:val="0"/>
          <w:iCs w:val="0"/>
          <w:caps w:val="0"/>
          <w:color w:val="333333"/>
          <w:spacing w:val="0"/>
          <w:sz w:val="31"/>
          <w:szCs w:val="31"/>
        </w:rPr>
        <w:t>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2023年1月1日起至2023年12月31日梁山县退役军人事务局公开政务信息34条，其中部门动态15条、梁山县双拥工作专栏10条、就业服务6条、信息公开年度1条、部门财政预预算1条、部门财政预决算1条。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left"/>
        <w:textAlignment w:val="auto"/>
        <w:rPr>
          <w:rStyle w:val="6"/>
          <w:rFonts w:hint="eastAsia" w:ascii="仿宋" w:hAnsi="仿宋" w:eastAsia="仿宋" w:cs="仿宋"/>
          <w:i w:val="0"/>
          <w:iCs w:val="0"/>
          <w:caps w:val="0"/>
          <w:color w:val="333333"/>
          <w:spacing w:val="0"/>
          <w:sz w:val="31"/>
          <w:szCs w:val="31"/>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r>
        <w:rPr>
          <w:rStyle w:val="6"/>
          <w:rFonts w:hint="eastAsia" w:ascii="楷体" w:hAnsi="楷体" w:eastAsia="楷体" w:cs="楷体"/>
          <w:i w:val="0"/>
          <w:iCs w:val="0"/>
          <w:caps w:val="0"/>
          <w:color w:val="333333"/>
          <w:spacing w:val="0"/>
          <w:sz w:val="31"/>
          <w:szCs w:val="31"/>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楷体" w:hAnsi="楷体" w:eastAsia="楷体" w:cs="楷体"/>
          <w:i w:val="0"/>
          <w:iCs w:val="0"/>
          <w:caps w:val="0"/>
          <w:color w:val="333333"/>
          <w:spacing w:val="0"/>
          <w:sz w:val="31"/>
          <w:szCs w:val="31"/>
          <w:lang w:eastAsia="zh-CN"/>
        </w:rPr>
      </w:pPr>
      <w:r>
        <w:rPr>
          <w:rStyle w:val="6"/>
          <w:rFonts w:hint="eastAsia" w:ascii="楷体" w:hAnsi="楷体" w:eastAsia="楷体" w:cs="楷体"/>
          <w:i w:val="0"/>
          <w:iCs w:val="0"/>
          <w:caps w:val="0"/>
          <w:color w:val="333333"/>
          <w:spacing w:val="0"/>
          <w:sz w:val="31"/>
          <w:szCs w:val="31"/>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-3525520</wp:posOffset>
            </wp:positionV>
            <wp:extent cx="5080000" cy="3810000"/>
            <wp:effectExtent l="4445" t="4445" r="20955" b="14605"/>
            <wp:wrapNone/>
            <wp:docPr id="2" name="图表 2" descr="7b0a202020202263686172745265734964223a202232303437343936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微软雅黑" w:hAnsi="微软雅黑" w:eastAsia="微软雅黑" w:cs="微软雅黑"/>
          <w:b w:val="0"/>
          <w:bCs/>
          <w:i w:val="0"/>
          <w:iCs w:val="0"/>
          <w:caps w:val="0"/>
          <w:color w:val="333333"/>
          <w:spacing w:val="0"/>
          <w:sz w:val="24"/>
          <w:szCs w:val="24"/>
        </w:rPr>
      </w:pPr>
      <w:r>
        <w:rPr>
          <w:rStyle w:val="6"/>
          <w:rFonts w:hint="eastAsia" w:ascii="楷体" w:hAnsi="楷体" w:eastAsia="楷体" w:cs="楷体"/>
          <w:b w:val="0"/>
          <w:bCs/>
          <w:i w:val="0"/>
          <w:iCs w:val="0"/>
          <w:caps w:val="0"/>
          <w:color w:val="333333"/>
          <w:spacing w:val="0"/>
          <w:sz w:val="31"/>
          <w:szCs w:val="31"/>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2023年1月1日至2023年12月31日本单位未收到政府信息公开申请。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i w:val="0"/>
          <w:iCs w:val="0"/>
          <w:caps w:val="0"/>
          <w:color w:val="333333"/>
          <w:spacing w:val="0"/>
          <w:sz w:val="31"/>
          <w:szCs w:val="31"/>
        </w:rPr>
        <w:t>   </w:t>
      </w:r>
      <w:r>
        <w:rPr>
          <w:rStyle w:val="6"/>
          <w:rFonts w:hint="eastAsia" w:ascii="楷体" w:hAnsi="楷体" w:eastAsia="楷体" w:cs="楷体"/>
          <w:i w:val="0"/>
          <w:iCs w:val="0"/>
          <w:caps w:val="0"/>
          <w:color w:val="333333"/>
          <w:spacing w:val="0"/>
          <w:sz w:val="31"/>
          <w:szCs w:val="31"/>
          <w:lang w:val="en-US" w:eastAsia="zh-CN"/>
        </w:rPr>
        <w:t xml:space="preserve"> </w:t>
      </w:r>
      <w:r>
        <w:rPr>
          <w:rStyle w:val="6"/>
          <w:rFonts w:hint="eastAsia" w:ascii="楷体" w:hAnsi="楷体" w:eastAsia="楷体" w:cs="楷体"/>
          <w:b w:val="0"/>
          <w:bCs/>
          <w:i w:val="0"/>
          <w:iCs w:val="0"/>
          <w:caps w:val="0"/>
          <w:color w:val="333333"/>
          <w:spacing w:val="0"/>
          <w:sz w:val="31"/>
          <w:szCs w:val="31"/>
          <w:lang w:val="en-US" w:eastAsia="zh-CN"/>
        </w:rPr>
        <w:t xml:space="preserve"> </w:t>
      </w:r>
      <w:r>
        <w:rPr>
          <w:rStyle w:val="6"/>
          <w:rFonts w:hint="eastAsia" w:ascii="楷体" w:hAnsi="楷体" w:eastAsia="楷体" w:cs="楷体"/>
          <w:b w:val="0"/>
          <w:bCs/>
          <w:i w:val="0"/>
          <w:iCs w:val="0"/>
          <w:caps w:val="0"/>
          <w:color w:val="333333"/>
          <w:spacing w:val="0"/>
          <w:sz w:val="31"/>
          <w:szCs w:val="31"/>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保密审查责任和程序，建立重大事项报告制度、网站信息发布审核制度等，加强公开信息的保密审查，确保内容准确、表述规范，有效保障公开工作的顺利开展。及时调整已失效或内容有较大更改的信息，保证公开的及时性、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Style w:val="6"/>
          <w:rFonts w:hint="eastAsia" w:ascii="楷体" w:hAnsi="楷体" w:eastAsia="楷体" w:cs="楷体"/>
          <w:b w:val="0"/>
          <w:bCs/>
          <w:i w:val="0"/>
          <w:iCs w:val="0"/>
          <w:caps w:val="0"/>
          <w:color w:val="333333"/>
          <w:spacing w:val="0"/>
          <w:sz w:val="31"/>
          <w:szCs w:val="31"/>
        </w:rPr>
      </w:pPr>
      <w:r>
        <w:rPr>
          <w:rStyle w:val="6"/>
          <w:rFonts w:hint="eastAsia" w:ascii="楷体" w:hAnsi="楷体" w:eastAsia="楷体" w:cs="楷体"/>
          <w:b w:val="0"/>
          <w:bCs/>
          <w:i w:val="0"/>
          <w:iCs w:val="0"/>
          <w:caps w:val="0"/>
          <w:color w:val="333333"/>
          <w:spacing w:val="0"/>
          <w:sz w:val="31"/>
          <w:szCs w:val="31"/>
          <w:lang w:eastAsia="zh-CN"/>
        </w:rPr>
        <w:t>（</w:t>
      </w:r>
      <w:r>
        <w:rPr>
          <w:rStyle w:val="6"/>
          <w:rFonts w:hint="eastAsia" w:ascii="楷体" w:hAnsi="楷体" w:eastAsia="楷体" w:cs="楷体"/>
          <w:b w:val="0"/>
          <w:bCs/>
          <w:i w:val="0"/>
          <w:iCs w:val="0"/>
          <w:caps w:val="0"/>
          <w:color w:val="333333"/>
          <w:spacing w:val="0"/>
          <w:sz w:val="31"/>
          <w:szCs w:val="31"/>
        </w:rPr>
        <w:t>四）政府信息公开平台建设方面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为更好地服务退役军人，搭建沟通桥梁，确保公开透明、常态化运行，梁山县退役军人事务局主要通过梁山县人民政府门户网站为公开的基本途径和方式，确保网站栏目内容准确、发布规范、更新及时。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微软雅黑" w:hAnsi="微软雅黑" w:eastAsia="微软雅黑" w:cs="微软雅黑"/>
          <w:b w:val="0"/>
          <w:bCs/>
          <w:i w:val="0"/>
          <w:iCs w:val="0"/>
          <w:caps w:val="0"/>
          <w:color w:val="333333"/>
          <w:spacing w:val="0"/>
          <w:sz w:val="24"/>
          <w:szCs w:val="24"/>
        </w:rPr>
      </w:pPr>
      <w:r>
        <w:rPr>
          <w:rStyle w:val="6"/>
          <w:rFonts w:hint="default" w:ascii="楷体_GB2312" w:hAnsi="微软雅黑" w:eastAsia="楷体_GB2312" w:cs="楷体_GB2312"/>
          <w:b w:val="0"/>
          <w:bCs/>
          <w:i w:val="0"/>
          <w:iCs w:val="0"/>
          <w:caps w:val="0"/>
          <w:color w:val="333333"/>
          <w:spacing w:val="0"/>
          <w:sz w:val="31"/>
          <w:szCs w:val="31"/>
          <w:shd w:val="clear" w:fill="FFFFFF"/>
        </w:rPr>
        <w:t>（五）监督保障方面方面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一是及时调整梁山县退役军人事务局政府信息公开领导小组，明确工作职责，全局形成上下联动、整体推进的工作体系，为公开工作营造良好氛围。</w:t>
      </w:r>
      <w:r>
        <w:rPr>
          <w:rFonts w:hint="default" w:ascii="仿宋_GB2312" w:hAnsi="仿宋_GB2312" w:eastAsia="仿宋_GB2312" w:cs="仿宋_GB2312"/>
          <w:kern w:val="2"/>
          <w:sz w:val="32"/>
          <w:szCs w:val="32"/>
          <w:lang w:val="en-US" w:eastAsia="zh-CN" w:bidi="ar-SA"/>
        </w:rPr>
        <w:t>二是强化责任担当，进一步健全信息公开工作体系和运行机制，真正实现全面公开、立体公开、主动公开、及时公开和规范公开，积极推进阳光政府、法治政府建设。三是严格保密审查。提高全局人员保密意识。定期组织全局干部职工认真学习《中华人民共和国政府信息公开条例》等，进一步增强全员保密意识，确保“涉密信息不上网、上网信息不涉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000000"/>
          <w:spacing w:val="0"/>
          <w:sz w:val="31"/>
          <w:szCs w:val="31"/>
        </w:rPr>
        <w:t>  </w:t>
      </w:r>
      <w:r>
        <w:rPr>
          <w:rStyle w:val="6"/>
          <w:rFonts w:hint="eastAsia" w:ascii="黑体" w:hAnsi="宋体" w:eastAsia="黑体" w:cs="黑体"/>
          <w:b w:val="0"/>
          <w:bCs/>
          <w:i w:val="0"/>
          <w:iCs w:val="0"/>
          <w:caps w:val="0"/>
          <w:color w:val="000000"/>
          <w:spacing w:val="0"/>
          <w:sz w:val="31"/>
          <w:szCs w:val="31"/>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Calibri" w:eastAsia="仿宋_GB2312" w:cs="Calibri"/>
                <w:color w:val="000000"/>
                <w:kern w:val="0"/>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eastAsia="zh-CN"/>
              </w:rPr>
            </w:pPr>
            <w:r>
              <w:rPr>
                <w:rFonts w:hint="eastAsia" w:ascii="仿宋_GB2312" w:hAnsi="Times New Roman" w:eastAsia="仿宋_GB2312"/>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66" w:leftChars="0" w:right="0" w:firstLine="0" w:firstLineChars="0"/>
        <w:jc w:val="left"/>
        <w:textAlignment w:val="auto"/>
        <w:rPr>
          <w:rStyle w:val="6"/>
          <w:rFonts w:hint="eastAsia" w:ascii="黑体" w:hAnsi="宋体" w:eastAsia="黑体" w:cs="黑体"/>
          <w:b w:val="0"/>
          <w:bCs/>
          <w:i w:val="0"/>
          <w:iCs w:val="0"/>
          <w:caps w:val="0"/>
          <w:color w:val="333333"/>
          <w:spacing w:val="0"/>
          <w:sz w:val="31"/>
          <w:szCs w:val="31"/>
        </w:rPr>
      </w:pPr>
      <w:r>
        <w:rPr>
          <w:rStyle w:val="6"/>
          <w:rFonts w:hint="eastAsia" w:ascii="黑体" w:hAnsi="宋体" w:eastAsia="黑体" w:cs="黑体"/>
          <w:b w:val="0"/>
          <w:bCs/>
          <w:i w:val="0"/>
          <w:iCs w:val="0"/>
          <w:caps w:val="0"/>
          <w:color w:val="333333"/>
          <w:spacing w:val="0"/>
          <w:sz w:val="31"/>
          <w:szCs w:val="31"/>
        </w:rPr>
        <w:t>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2023年，梁山县退役军人事务局政府信息公开工作虽取得一定进步，但对照上级工作要求和退役军人期待，还存在需要完善的地方：一是公开质量还需进一步提升；二是对于政策解读和主动回应的关注程度不够。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2024年，梁山县退役军人事务局将从以下三方面着手，稳步提升政府信息公开工作：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一是系统提升工作能力。在主动回应社会关切、提升公开工作人员业务能力水平等方面加大力度，进一步拓展公开广度、深度，推进政府信息公开工作再上新台阶。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二是稳步提高公开质量。充分利用梁山县人民政府门户网站发布信息，不断提高公开质量，更好地服务广大退役军人。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三是不断加强政策解读。进一步拓宽解读渠道，增强解读效果，探索运用多种形式展现，使解读信息更可视、可读、可感、可用。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i w:val="0"/>
          <w:iCs w:val="0"/>
          <w:caps w:val="0"/>
          <w:color w:val="333333"/>
          <w:spacing w:val="0"/>
          <w:sz w:val="31"/>
          <w:szCs w:val="31"/>
        </w:rPr>
        <w:t>  </w:t>
      </w:r>
      <w:r>
        <w:rPr>
          <w:rStyle w:val="6"/>
          <w:rFonts w:hint="eastAsia" w:ascii="黑体" w:hAnsi="宋体" w:eastAsia="黑体" w:cs="黑体"/>
          <w:b w:val="0"/>
          <w:bCs/>
          <w:i w:val="0"/>
          <w:iCs w:val="0"/>
          <w:caps w:val="0"/>
          <w:color w:val="333333"/>
          <w:spacing w:val="0"/>
          <w:sz w:val="31"/>
          <w:szCs w:val="31"/>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（一）落实上级年度政务公开工作要点情况：县</w:t>
      </w:r>
      <w:r>
        <w:rPr>
          <w:rFonts w:hint="default" w:ascii="仿宋_GB2312" w:hAnsi="仿宋_GB2312" w:eastAsia="仿宋_GB2312" w:cs="仿宋_GB2312"/>
          <w:kern w:val="2"/>
          <w:sz w:val="32"/>
          <w:szCs w:val="32"/>
          <w:lang w:val="en-US" w:eastAsia="zh-CN" w:bidi="ar-SA"/>
        </w:rPr>
        <w:t>退役军人事务局高度重视政务公开工作，</w:t>
      </w:r>
      <w:r>
        <w:rPr>
          <w:rFonts w:hint="eastAsia" w:ascii="仿宋_GB2312" w:hAnsi="仿宋_GB2312" w:eastAsia="仿宋_GB2312" w:cs="仿宋_GB2312"/>
          <w:kern w:val="2"/>
          <w:sz w:val="32"/>
          <w:szCs w:val="32"/>
          <w:lang w:val="en-US" w:eastAsia="zh-CN" w:bidi="ar-SA"/>
        </w:rPr>
        <w:t>根据</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梁山县</w:t>
      </w:r>
      <w:r>
        <w:rPr>
          <w:rFonts w:hint="default" w:ascii="仿宋_GB2312" w:hAnsi="仿宋_GB2312" w:eastAsia="仿宋_GB2312" w:cs="仿宋_GB2312"/>
          <w:kern w:val="2"/>
          <w:sz w:val="32"/>
          <w:szCs w:val="32"/>
          <w:lang w:val="en-US" w:eastAsia="zh-CN" w:bidi="ar-SA"/>
        </w:rPr>
        <w:t>政务公开工作任务分解表及本单位政务公开工作清单目录，</w:t>
      </w:r>
      <w:r>
        <w:rPr>
          <w:rFonts w:hint="eastAsia" w:ascii="仿宋_GB2312" w:hAnsi="仿宋_GB2312" w:eastAsia="仿宋_GB2312" w:cs="仿宋_GB2312"/>
          <w:kern w:val="2"/>
          <w:sz w:val="32"/>
          <w:szCs w:val="32"/>
          <w:lang w:val="en-US" w:eastAsia="zh-CN" w:bidi="ar-SA"/>
        </w:rPr>
        <w:t>党组牵头，局各科室、中心共同参与，</w:t>
      </w:r>
      <w:bookmarkStart w:id="10" w:name="_GoBack"/>
      <w:bookmarkEnd w:id="10"/>
      <w:r>
        <w:rPr>
          <w:rFonts w:hint="eastAsia" w:ascii="仿宋_GB2312" w:hAnsi="仿宋_GB2312" w:eastAsia="仿宋_GB2312" w:cs="仿宋_GB2312"/>
          <w:kern w:val="2"/>
          <w:sz w:val="32"/>
          <w:szCs w:val="32"/>
          <w:lang w:val="en-US" w:eastAsia="zh-CN" w:bidi="ar-SA"/>
        </w:rPr>
        <w:t>严格了责任分工，明确了措施要求，切实把政务公开当成一项重要任务来抓。</w:t>
      </w:r>
      <w:r>
        <w:rPr>
          <w:rFonts w:hint="default" w:ascii="仿宋_GB2312" w:hAnsi="仿宋_GB2312" w:eastAsia="仿宋_GB2312" w:cs="仿宋_GB2312"/>
          <w:kern w:val="2"/>
          <w:sz w:val="32"/>
          <w:szCs w:val="32"/>
          <w:lang w:val="en-US" w:eastAsia="zh-CN" w:bidi="ar-SA"/>
        </w:rPr>
        <w:t>局办公室牵头督导并汇总审核公开，明确职责、落实责任，不断提升政务公开工作质量。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仿宋_GB2312" w:hAnsi="仿宋_GB2312" w:eastAsia="仿宋_GB2312" w:cs="仿宋_GB2312"/>
          <w:kern w:val="2"/>
          <w:sz w:val="32"/>
          <w:szCs w:val="32"/>
          <w:lang w:val="en-US" w:eastAsia="zh-CN" w:bidi="ar-SA"/>
        </w:rPr>
      </w:pPr>
      <w:r>
        <w:rPr>
          <w:rStyle w:val="6"/>
          <w:rFonts w:hint="eastAsia" w:ascii="仿宋" w:hAnsi="仿宋" w:eastAsia="仿宋" w:cs="仿宋"/>
          <w:i w:val="0"/>
          <w:iCs w:val="0"/>
          <w:caps w:val="0"/>
          <w:color w:val="333333"/>
          <w:spacing w:val="0"/>
          <w:sz w:val="31"/>
          <w:szCs w:val="31"/>
        </w:rPr>
        <w:t> </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）依据《政府信息公开信息处理费管理办法》规定，我单位202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年未收取信息处理费</w:t>
      </w:r>
      <w:r>
        <w:rPr>
          <w:rFonts w:hint="eastAsia" w:ascii="仿宋_GB2312" w:hAnsi="仿宋_GB2312" w:eastAsia="仿宋_GB2312" w:cs="仿宋_GB2312"/>
          <w:kern w:val="2"/>
          <w:sz w:val="32"/>
          <w:szCs w:val="32"/>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46F09E-66AE-4198-BEE3-F182EDF74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46A827-AA9F-4252-9BEB-F5AFF2663C5E}"/>
  </w:font>
  <w:font w:name="方正小标宋简体">
    <w:panose1 w:val="02000000000000000000"/>
    <w:charset w:val="86"/>
    <w:family w:val="auto"/>
    <w:pitch w:val="default"/>
    <w:sig w:usb0="A00002BF" w:usb1="184F6CFA" w:usb2="00000012" w:usb3="00000000" w:csb0="00040001" w:csb1="00000000"/>
    <w:embedRegular r:id="rId3" w:fontKey="{79B68B85-1A82-4B9C-BF86-ED1369DC150D}"/>
  </w:font>
  <w:font w:name="仿宋">
    <w:panose1 w:val="02010609060101010101"/>
    <w:charset w:val="86"/>
    <w:family w:val="auto"/>
    <w:pitch w:val="default"/>
    <w:sig w:usb0="800002BF" w:usb1="38CF7CFA" w:usb2="00000016" w:usb3="00000000" w:csb0="00040001" w:csb1="00000000"/>
    <w:embedRegular r:id="rId4" w:fontKey="{FF33E777-A10A-4D3C-9E96-CEE1C7DE4344}"/>
  </w:font>
  <w:font w:name="仿宋_GB2312">
    <w:altName w:val="仿宋"/>
    <w:panose1 w:val="02010609030101010101"/>
    <w:charset w:val="86"/>
    <w:family w:val="decorative"/>
    <w:pitch w:val="default"/>
    <w:sig w:usb0="00000000" w:usb1="00000000" w:usb2="00000000" w:usb3="00000000" w:csb0="00040000" w:csb1="00000000"/>
    <w:embedRegular r:id="rId5" w:fontKey="{C5FA503E-4F9E-4ACA-834B-EF2806447790}"/>
  </w:font>
  <w:font w:name="微软雅黑">
    <w:panose1 w:val="020B0503020204020204"/>
    <w:charset w:val="86"/>
    <w:family w:val="auto"/>
    <w:pitch w:val="default"/>
    <w:sig w:usb0="80000287" w:usb1="2ACF3C50" w:usb2="00000016" w:usb3="00000000" w:csb0="0004001F" w:csb1="00000000"/>
    <w:embedRegular r:id="rId6" w:fontKey="{06B51973-F5D7-4F6A-BC64-8CC6090D8329}"/>
  </w:font>
  <w:font w:name="楷体">
    <w:panose1 w:val="02010609060101010101"/>
    <w:charset w:val="86"/>
    <w:family w:val="auto"/>
    <w:pitch w:val="default"/>
    <w:sig w:usb0="800002BF" w:usb1="38CF7CFA" w:usb2="00000016" w:usb3="00000000" w:csb0="00040001" w:csb1="00000000"/>
    <w:embedRegular r:id="rId7" w:fontKey="{250C6CB3-5246-4436-B638-22236A2728FF}"/>
  </w:font>
  <w:font w:name="楷体_GB2312">
    <w:altName w:val="楷体"/>
    <w:panose1 w:val="00000000000000000000"/>
    <w:charset w:val="00"/>
    <w:family w:val="auto"/>
    <w:pitch w:val="default"/>
    <w:sig w:usb0="00000000" w:usb1="00000000" w:usb2="00000000" w:usb3="00000000" w:csb0="00000000" w:csb1="00000000"/>
    <w:embedRegular r:id="rId8" w:fontKey="{5A6166D8-CE63-4B89-B7CA-F7CDD684696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8C414"/>
    <w:multiLevelType w:val="singleLevel"/>
    <w:tmpl w:val="E1B8C414"/>
    <w:lvl w:ilvl="0" w:tentative="0">
      <w:start w:val="5"/>
      <w:numFmt w:val="chineseCounting"/>
      <w:suff w:val="nothing"/>
      <w:lvlText w:val="%1、"/>
      <w:lvlJc w:val="left"/>
      <w:pPr>
        <w:ind w:left="466"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ZDdiNmNiY2Y2MmZjMmNiMmVjN2EyNTAxZDE0ZjYifQ=="/>
    <w:docVar w:name="KSO_WPS_MARK_KEY" w:val="a6567b0c-78cb-42c3-83e4-430480fd5657"/>
  </w:docVars>
  <w:rsids>
    <w:rsidRoot w:val="00000000"/>
    <w:rsid w:val="093A7BD7"/>
    <w:rsid w:val="0E6B4233"/>
    <w:rsid w:val="0F2A296B"/>
    <w:rsid w:val="10205D28"/>
    <w:rsid w:val="1E3B3E7A"/>
    <w:rsid w:val="1EE65429"/>
    <w:rsid w:val="23055CE2"/>
    <w:rsid w:val="242D23BA"/>
    <w:rsid w:val="32680F60"/>
    <w:rsid w:val="379C609C"/>
    <w:rsid w:val="3F5415E5"/>
    <w:rsid w:val="45672107"/>
    <w:rsid w:val="4AC40AD3"/>
    <w:rsid w:val="576E5908"/>
    <w:rsid w:val="577745BD"/>
    <w:rsid w:val="5D5F3B72"/>
    <w:rsid w:val="6A781F9D"/>
    <w:rsid w:val="6FFA7D1B"/>
    <w:rsid w:val="7C13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梁山县退役军人事务局2023年发布信息数量图表</a:t>
            </a:r>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pieChart>
        <c:varyColors val="1"/>
        <c:ser>
          <c:idx val="0"/>
          <c:order val="0"/>
          <c:tx>
            <c:strRef>
              <c:f>Sheet1!$B$1</c:f>
              <c:strCache>
                <c:ptCount val="1"/>
                <c:pt idx="0">
                  <c:v>梁山县退役军人事务局2023年发布信息数量图表</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explosion val="12"/>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部门动态</c:v>
                </c:pt>
                <c:pt idx="1">
                  <c:v>梁山县双拥工作专栏</c:v>
                </c:pt>
                <c:pt idx="2">
                  <c:v>就业服务</c:v>
                </c:pt>
                <c:pt idx="3">
                  <c:v>信息公开年度</c:v>
                </c:pt>
                <c:pt idx="4">
                  <c:v>部门财政预预算</c:v>
                </c:pt>
                <c:pt idx="5">
                  <c:v>部门财政预决算</c:v>
                </c:pt>
              </c:strCache>
            </c:strRef>
          </c:cat>
          <c:val>
            <c:numRef>
              <c:f>Sheet1!$B$2:$B$7</c:f>
              <c:numCache>
                <c:formatCode>General</c:formatCode>
                <c:ptCount val="6"/>
                <c:pt idx="0">
                  <c:v>15</c:v>
                </c:pt>
                <c:pt idx="1">
                  <c:v>10</c:v>
                </c:pt>
                <c:pt idx="2">
                  <c:v>6</c:v>
                </c:pt>
                <c:pt idx="3">
                  <c:v>1</c:v>
                </c:pt>
                <c:pt idx="4">
                  <c:v>1</c:v>
                </c:pt>
                <c:pt idx="5">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2434</Words>
  <Characters>2535</Characters>
  <Lines>0</Lines>
  <Paragraphs>0</Paragraphs>
  <TotalTime>1</TotalTime>
  <ScaleCrop>false</ScaleCrop>
  <LinksUpToDate>false</LinksUpToDate>
  <CharactersWithSpaces>2572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2023-01-31T07:32:00Z</dcterms:created>
  <dc:creator>Administrator</dc:creator>
  <cp:lastModifiedBy>默</cp:lastModifiedBy>
  <dcterms:modified xsi:type="dcterms:W3CDTF">2024-01-25T02:07:20Z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80CA0D5DA9674B988EAA645DD217B045_13</vt:lpwstr>
  </property>
</Properties>
</file>