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微软雅黑" w:hAnsi="微软雅黑" w:eastAsia="微软雅黑" w:cs="微软雅黑"/>
          <w:i w:val="0"/>
          <w:caps w:val="0"/>
          <w:color w:val="333333"/>
          <w:spacing w:val="0"/>
          <w:sz w:val="21"/>
          <w:szCs w:val="21"/>
        </w:rPr>
      </w:pPr>
      <w:r>
        <w:rPr>
          <w:rStyle w:val="6"/>
          <w:rFonts w:ascii="方正小标宋简体" w:hAnsi="方正小标宋简体" w:eastAsia="方正小标宋简体" w:cs="方正小标宋简体"/>
          <w:i w:val="0"/>
          <w:caps w:val="0"/>
          <w:color w:val="333333"/>
          <w:spacing w:val="0"/>
          <w:sz w:val="43"/>
          <w:szCs w:val="43"/>
        </w:rPr>
        <w:t>梁山县</w:t>
      </w:r>
      <w:r>
        <w:rPr>
          <w:rStyle w:val="6"/>
          <w:rFonts w:hint="eastAsia" w:ascii="方正小标宋简体" w:hAnsi="方正小标宋简体" w:eastAsia="方正小标宋简体" w:cs="方正小标宋简体"/>
          <w:i w:val="0"/>
          <w:caps w:val="0"/>
          <w:color w:val="333333"/>
          <w:spacing w:val="0"/>
          <w:sz w:val="43"/>
          <w:szCs w:val="43"/>
          <w:lang w:val="en-US" w:eastAsia="zh-CN"/>
        </w:rPr>
        <w:t>综合行政执法局</w:t>
      </w:r>
      <w:r>
        <w:rPr>
          <w:rStyle w:val="6"/>
          <w:rFonts w:hint="eastAsia" w:ascii="方正小标宋简体" w:hAnsi="方正小标宋简体" w:eastAsia="方正小标宋简体" w:cs="方正小标宋简体"/>
          <w:i w:val="0"/>
          <w:caps w:val="0"/>
          <w:color w:val="333333"/>
          <w:spacing w:val="0"/>
          <w:sz w:val="43"/>
          <w:szCs w:val="43"/>
        </w:rPr>
        <w:t>2021年政府信息公开工作年度报告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微软雅黑" w:hAnsi="微软雅黑" w:eastAsia="微软雅黑" w:cs="微软雅黑"/>
          <w:i w:val="0"/>
          <w:caps w:val="0"/>
          <w:color w:val="333333"/>
          <w:spacing w:val="0"/>
          <w:sz w:val="21"/>
          <w:szCs w:val="21"/>
        </w:rPr>
      </w:pPr>
      <w:r>
        <w:rPr>
          <w:rStyle w:val="6"/>
          <w:rFonts w:ascii="方正仿宋简体" w:hAnsi="方正仿宋简体" w:eastAsia="方正仿宋简体" w:cs="方正仿宋简体"/>
          <w:i w:val="0"/>
          <w:caps w:val="0"/>
          <w:color w:val="333333"/>
          <w:spacing w:val="0"/>
          <w:sz w:val="31"/>
          <w:szCs w:val="3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微软雅黑" w:hAnsi="微软雅黑" w:eastAsia="微软雅黑" w:cs="微软雅黑"/>
          <w:i w:val="0"/>
          <w:caps w:val="0"/>
          <w:color w:val="333333"/>
          <w:spacing w:val="0"/>
          <w:sz w:val="21"/>
          <w:szCs w:val="21"/>
        </w:rPr>
      </w:pPr>
      <w:r>
        <w:rPr>
          <w:rStyle w:val="6"/>
          <w:rFonts w:hint="default" w:ascii="方正仿宋简体" w:hAnsi="方正仿宋简体" w:eastAsia="方正仿宋简体" w:cs="方正仿宋简体"/>
          <w:i w:val="0"/>
          <w:caps w:val="0"/>
          <w:color w:val="333333"/>
          <w:spacing w:val="0"/>
          <w:sz w:val="31"/>
          <w:szCs w:val="31"/>
        </w:rPr>
        <w:t>本报告由梁山县</w:t>
      </w:r>
      <w:r>
        <w:rPr>
          <w:rStyle w:val="6"/>
          <w:rFonts w:hint="eastAsia" w:ascii="方正仿宋简体" w:hAnsi="方正仿宋简体" w:eastAsia="方正仿宋简体" w:cs="方正仿宋简体"/>
          <w:i w:val="0"/>
          <w:caps w:val="0"/>
          <w:color w:val="333333"/>
          <w:spacing w:val="0"/>
          <w:sz w:val="31"/>
          <w:szCs w:val="31"/>
          <w:lang w:val="en-US" w:eastAsia="zh-CN"/>
        </w:rPr>
        <w:t>综合行政执法局</w:t>
      </w:r>
      <w:r>
        <w:rPr>
          <w:rStyle w:val="6"/>
          <w:rFonts w:hint="default" w:ascii="方正仿宋简体" w:hAnsi="方正仿宋简体" w:eastAsia="方正仿宋简体" w:cs="方正仿宋简体"/>
          <w:i w:val="0"/>
          <w:caps w:val="0"/>
          <w:color w:val="333333"/>
          <w:spacing w:val="0"/>
          <w:sz w:val="31"/>
          <w:szCs w:val="31"/>
        </w:rPr>
        <w:t>按照《中华人民共和国政府信息公开条例》（以下简称《条例》）和《中华人民共和国政府信息公开工作年度报告格式》（国办公开办函〔2021〕30号）要求编制。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微软雅黑" w:hAnsi="微软雅黑" w:eastAsia="微软雅黑" w:cs="微软雅黑"/>
          <w:i w:val="0"/>
          <w:caps w:val="0"/>
          <w:color w:val="333333"/>
          <w:spacing w:val="0"/>
          <w:sz w:val="21"/>
          <w:szCs w:val="21"/>
        </w:rPr>
      </w:pPr>
      <w:r>
        <w:rPr>
          <w:rStyle w:val="6"/>
          <w:rFonts w:hint="default" w:ascii="方正仿宋简体" w:hAnsi="方正仿宋简体" w:eastAsia="方正仿宋简体" w:cs="方正仿宋简体"/>
          <w:i w:val="0"/>
          <w:caps w:val="0"/>
          <w:color w:val="333333"/>
          <w:spacing w:val="0"/>
          <w:sz w:val="31"/>
          <w:szCs w:val="31"/>
        </w:rPr>
        <w:t>本报告内容包括总体情况、主动公开政府信息情况、收到和处理政府信息公开申请情况、政府信息公开行政复议和行政诉讼情况、存在的主要问题及改进情况、其他需要报告的事项等六部分内容。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微软雅黑" w:hAnsi="微软雅黑" w:eastAsia="微软雅黑" w:cs="微软雅黑"/>
          <w:i w:val="0"/>
          <w:caps w:val="0"/>
          <w:color w:val="333333"/>
          <w:spacing w:val="0"/>
          <w:sz w:val="21"/>
          <w:szCs w:val="21"/>
        </w:rPr>
      </w:pPr>
      <w:r>
        <w:rPr>
          <w:rStyle w:val="6"/>
          <w:rFonts w:hint="default" w:ascii="方正仿宋简体" w:hAnsi="方正仿宋简体" w:eastAsia="方正仿宋简体" w:cs="方正仿宋简体"/>
          <w:i w:val="0"/>
          <w:caps w:val="0"/>
          <w:color w:val="333333"/>
          <w:spacing w:val="0"/>
          <w:sz w:val="31"/>
          <w:szCs w:val="31"/>
        </w:rPr>
        <w:t>本报告所列数据的统计期限自2021年1月1日起至2021年12月31日止。本报告电子版可在“中国·梁山”政府门户网站（http://www.liangshan.gov.cn/）查阅或下载。如对本报告有疑问，请与梁山县</w:t>
      </w:r>
      <w:r>
        <w:rPr>
          <w:rStyle w:val="6"/>
          <w:rFonts w:hint="eastAsia" w:ascii="方正仿宋简体" w:hAnsi="方正仿宋简体" w:eastAsia="方正仿宋简体" w:cs="方正仿宋简体"/>
          <w:i w:val="0"/>
          <w:caps w:val="0"/>
          <w:color w:val="333333"/>
          <w:spacing w:val="0"/>
          <w:sz w:val="31"/>
          <w:szCs w:val="31"/>
          <w:lang w:val="en-US" w:eastAsia="zh-CN"/>
        </w:rPr>
        <w:t>综合行政执法局</w:t>
      </w:r>
      <w:r>
        <w:rPr>
          <w:rStyle w:val="6"/>
          <w:rFonts w:hint="default" w:ascii="方正仿宋简体" w:hAnsi="方正仿宋简体" w:eastAsia="方正仿宋简体" w:cs="方正仿宋简体"/>
          <w:i w:val="0"/>
          <w:caps w:val="0"/>
          <w:color w:val="333333"/>
          <w:spacing w:val="0"/>
          <w:sz w:val="31"/>
          <w:szCs w:val="31"/>
        </w:rPr>
        <w:t>联系（地址：梁山县</w:t>
      </w:r>
      <w:r>
        <w:rPr>
          <w:rStyle w:val="6"/>
          <w:rFonts w:hint="eastAsia" w:ascii="方正仿宋简体" w:hAnsi="方正仿宋简体" w:eastAsia="方正仿宋简体" w:cs="方正仿宋简体"/>
          <w:i w:val="0"/>
          <w:caps w:val="0"/>
          <w:color w:val="333333"/>
          <w:spacing w:val="0"/>
          <w:sz w:val="31"/>
          <w:szCs w:val="31"/>
          <w:lang w:val="en-US" w:eastAsia="zh-CN"/>
        </w:rPr>
        <w:t>人民北路102号</w:t>
      </w:r>
      <w:r>
        <w:rPr>
          <w:rStyle w:val="6"/>
          <w:rFonts w:hint="default" w:ascii="方正仿宋简体" w:hAnsi="方正仿宋简体" w:eastAsia="方正仿宋简体" w:cs="方正仿宋简体"/>
          <w:i w:val="0"/>
          <w:caps w:val="0"/>
          <w:color w:val="333333"/>
          <w:spacing w:val="0"/>
          <w:sz w:val="31"/>
          <w:szCs w:val="31"/>
        </w:rPr>
        <w:t>，联系电话：0537-73</w:t>
      </w:r>
      <w:r>
        <w:rPr>
          <w:rStyle w:val="6"/>
          <w:rFonts w:hint="eastAsia" w:ascii="方正仿宋简体" w:hAnsi="方正仿宋简体" w:eastAsia="方正仿宋简体" w:cs="方正仿宋简体"/>
          <w:i w:val="0"/>
          <w:caps w:val="0"/>
          <w:color w:val="333333"/>
          <w:spacing w:val="0"/>
          <w:sz w:val="31"/>
          <w:szCs w:val="31"/>
          <w:lang w:val="en-US" w:eastAsia="zh-CN"/>
        </w:rPr>
        <w:t>63690</w:t>
      </w:r>
      <w:r>
        <w:rPr>
          <w:rStyle w:val="6"/>
          <w:rFonts w:hint="default" w:ascii="方正仿宋简体" w:hAnsi="方正仿宋简体" w:eastAsia="方正仿宋简体" w:cs="方正仿宋简体"/>
          <w:i w:val="0"/>
          <w:caps w:val="0"/>
          <w:color w:val="333333"/>
          <w:spacing w:val="0"/>
          <w:sz w:val="31"/>
          <w:szCs w:val="3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微软雅黑" w:hAnsi="微软雅黑" w:eastAsia="微软雅黑" w:cs="微软雅黑"/>
          <w:i w:val="0"/>
          <w:caps w:val="0"/>
          <w:color w:val="333333"/>
          <w:spacing w:val="0"/>
          <w:sz w:val="21"/>
          <w:szCs w:val="21"/>
        </w:rPr>
      </w:pPr>
      <w:r>
        <w:rPr>
          <w:rStyle w:val="6"/>
          <w:rFonts w:ascii="方正黑体简体" w:hAnsi="方正黑体简体" w:eastAsia="方正黑体简体" w:cs="方正黑体简体"/>
          <w:i w:val="0"/>
          <w:caps w:val="0"/>
          <w:color w:val="333333"/>
          <w:spacing w:val="0"/>
          <w:sz w:val="31"/>
          <w:szCs w:val="31"/>
        </w:rPr>
        <w:t>一、总体情况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微软雅黑" w:hAnsi="微软雅黑" w:eastAsia="微软雅黑" w:cs="微软雅黑"/>
          <w:i w:val="0"/>
          <w:caps w:val="0"/>
          <w:color w:val="333333"/>
          <w:spacing w:val="0"/>
          <w:sz w:val="21"/>
          <w:szCs w:val="21"/>
        </w:rPr>
      </w:pPr>
      <w:r>
        <w:rPr>
          <w:rStyle w:val="6"/>
          <w:rFonts w:hint="default" w:ascii="方正仿宋简体" w:hAnsi="方正仿宋简体" w:eastAsia="方正仿宋简体" w:cs="方正仿宋简体"/>
          <w:i w:val="0"/>
          <w:caps w:val="0"/>
          <w:color w:val="333333"/>
          <w:spacing w:val="0"/>
          <w:sz w:val="31"/>
          <w:szCs w:val="31"/>
        </w:rPr>
        <w:t>2021年，我局认真按照《中华人民共和国政府信息公开条例》和国家及省、市、县政府信息公开工作部署要求，着力推进政务信息公开，在一年的工作中取得了明显成效。在县政府信息公开办公室的帮助指导下，我局进一步健全信息公开工作机制，修订完善《梁山县</w:t>
      </w:r>
      <w:r>
        <w:rPr>
          <w:rStyle w:val="6"/>
          <w:rFonts w:hint="eastAsia" w:ascii="方正仿宋简体" w:hAnsi="方正仿宋简体" w:eastAsia="方正仿宋简体" w:cs="方正仿宋简体"/>
          <w:i w:val="0"/>
          <w:caps w:val="0"/>
          <w:color w:val="333333"/>
          <w:spacing w:val="0"/>
          <w:sz w:val="31"/>
          <w:szCs w:val="31"/>
          <w:lang w:val="en-US" w:eastAsia="zh-CN"/>
        </w:rPr>
        <w:t>综合行政执法局</w:t>
      </w:r>
      <w:r>
        <w:rPr>
          <w:rStyle w:val="6"/>
          <w:rFonts w:hint="default" w:ascii="方正仿宋简体" w:hAnsi="方正仿宋简体" w:eastAsia="方正仿宋简体" w:cs="方正仿宋简体"/>
          <w:i w:val="0"/>
          <w:caps w:val="0"/>
          <w:color w:val="333333"/>
          <w:spacing w:val="0"/>
          <w:sz w:val="31"/>
          <w:szCs w:val="31"/>
        </w:rPr>
        <w:t>信息公开指南》和《梁山县</w:t>
      </w:r>
      <w:r>
        <w:rPr>
          <w:rStyle w:val="6"/>
          <w:rFonts w:hint="eastAsia" w:ascii="方正仿宋简体" w:hAnsi="方正仿宋简体" w:eastAsia="方正仿宋简体" w:cs="方正仿宋简体"/>
          <w:i w:val="0"/>
          <w:caps w:val="0"/>
          <w:color w:val="333333"/>
          <w:spacing w:val="0"/>
          <w:sz w:val="31"/>
          <w:szCs w:val="31"/>
          <w:lang w:val="en-US" w:eastAsia="zh-CN"/>
        </w:rPr>
        <w:t>综合行政执法局</w:t>
      </w:r>
      <w:r>
        <w:rPr>
          <w:rStyle w:val="6"/>
          <w:rFonts w:hint="default" w:ascii="方正仿宋简体" w:hAnsi="方正仿宋简体" w:eastAsia="方正仿宋简体" w:cs="方正仿宋简体"/>
          <w:i w:val="0"/>
          <w:caps w:val="0"/>
          <w:color w:val="333333"/>
          <w:spacing w:val="0"/>
          <w:sz w:val="31"/>
          <w:szCs w:val="31"/>
        </w:rPr>
        <w:t>政府信息主动公开目录》，切实加强对信息公开工作的自查自纠，确保各项准备工作和措施落实到位。同时加强与</w:t>
      </w:r>
      <w:r>
        <w:rPr>
          <w:rStyle w:val="6"/>
          <w:rFonts w:hint="eastAsia" w:ascii="方正仿宋简体" w:hAnsi="方正仿宋简体" w:eastAsia="方正仿宋简体" w:cs="方正仿宋简体"/>
          <w:i w:val="0"/>
          <w:caps w:val="0"/>
          <w:color w:val="333333"/>
          <w:spacing w:val="0"/>
          <w:sz w:val="31"/>
          <w:szCs w:val="31"/>
          <w:lang w:val="en-US" w:eastAsia="zh-CN"/>
        </w:rPr>
        <w:t>市城管局</w:t>
      </w:r>
      <w:r>
        <w:rPr>
          <w:rStyle w:val="6"/>
          <w:rFonts w:hint="default" w:ascii="方正仿宋简体" w:hAnsi="方正仿宋简体" w:eastAsia="方正仿宋简体" w:cs="方正仿宋简体"/>
          <w:i w:val="0"/>
          <w:caps w:val="0"/>
          <w:color w:val="333333"/>
          <w:spacing w:val="0"/>
          <w:sz w:val="31"/>
          <w:szCs w:val="31"/>
        </w:rPr>
        <w:t>及其他县直部门之间信息公开工作的沟通对接，研究解决工作中出现的新情况和新问题，并及时完善纠正，政务公开质量稳步提升。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微软雅黑" w:hAnsi="微软雅黑" w:eastAsia="微软雅黑" w:cs="微软雅黑"/>
          <w:i w:val="0"/>
          <w:caps w:val="0"/>
          <w:color w:val="333333"/>
          <w:spacing w:val="0"/>
          <w:sz w:val="21"/>
          <w:szCs w:val="21"/>
        </w:rPr>
      </w:pPr>
      <w:r>
        <w:rPr>
          <w:rStyle w:val="6"/>
          <w:rFonts w:ascii="方正楷体简体" w:hAnsi="方正楷体简体" w:eastAsia="方正楷体简体" w:cs="方正楷体简体"/>
          <w:i w:val="0"/>
          <w:caps w:val="0"/>
          <w:color w:val="333333"/>
          <w:spacing w:val="0"/>
          <w:sz w:val="31"/>
          <w:szCs w:val="31"/>
        </w:rPr>
        <w:t>（一）主动公开情况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微软雅黑" w:hAnsi="微软雅黑" w:eastAsia="微软雅黑" w:cs="微软雅黑"/>
          <w:i w:val="0"/>
          <w:caps w:val="0"/>
          <w:color w:val="333333"/>
          <w:spacing w:val="0"/>
          <w:sz w:val="21"/>
          <w:szCs w:val="21"/>
        </w:rPr>
      </w:pPr>
      <w:r>
        <w:rPr>
          <w:rStyle w:val="6"/>
          <w:rFonts w:hint="default" w:ascii="方正仿宋简体" w:hAnsi="方正仿宋简体" w:eastAsia="方正仿宋简体" w:cs="方正仿宋简体"/>
          <w:i w:val="0"/>
          <w:caps w:val="0"/>
          <w:color w:val="333333"/>
          <w:spacing w:val="0"/>
          <w:sz w:val="31"/>
          <w:szCs w:val="31"/>
        </w:rPr>
        <w:t>2021年，我局累计公开信息</w:t>
      </w:r>
      <w:r>
        <w:rPr>
          <w:rStyle w:val="6"/>
          <w:rFonts w:hint="eastAsia" w:ascii="方正仿宋简体" w:hAnsi="方正仿宋简体" w:eastAsia="方正仿宋简体" w:cs="方正仿宋简体"/>
          <w:i w:val="0"/>
          <w:caps w:val="0"/>
          <w:color w:val="333333"/>
          <w:spacing w:val="0"/>
          <w:sz w:val="31"/>
          <w:szCs w:val="31"/>
          <w:lang w:val="en-US" w:eastAsia="zh-CN"/>
        </w:rPr>
        <w:t>18</w:t>
      </w:r>
      <w:r>
        <w:rPr>
          <w:rStyle w:val="6"/>
          <w:rFonts w:hint="default" w:ascii="方正仿宋简体" w:hAnsi="方正仿宋简体" w:eastAsia="方正仿宋简体" w:cs="方正仿宋简体"/>
          <w:i w:val="0"/>
          <w:caps w:val="0"/>
          <w:color w:val="333333"/>
          <w:spacing w:val="0"/>
          <w:sz w:val="31"/>
          <w:szCs w:val="31"/>
        </w:rPr>
        <w:t>条。设置了“双随机、一公开”专栏，依法对随机抽查事项清单、抽查计划、抽查结果等情况进行了全面公示；2021年我局政府信息主动公开内容丰富多样，综合运用多种方式，主动、及时、全面、准确地发布权威政府信息，特别是重要会议、重要活动、重要决策部署等重要信息，不断满足公众对政府信息的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微软雅黑" w:hAnsi="微软雅黑" w:eastAsia="微软雅黑" w:cs="微软雅黑"/>
          <w:i w:val="0"/>
          <w:caps w:val="0"/>
          <w:color w:val="333333"/>
          <w:spacing w:val="0"/>
          <w:sz w:val="21"/>
          <w:szCs w:val="21"/>
        </w:rPr>
      </w:pPr>
      <w:r>
        <w:rPr>
          <w:rFonts w:hint="default" w:ascii="方正楷体简体" w:hAnsi="方正楷体简体" w:eastAsia="方正楷体简体" w:cs="方正楷体简体"/>
          <w:i w:val="0"/>
          <w:caps w:val="0"/>
          <w:color w:val="333333"/>
          <w:spacing w:val="0"/>
          <w:sz w:val="31"/>
          <w:szCs w:val="31"/>
        </w:rPr>
        <w:t>（二）</w:t>
      </w:r>
      <w:r>
        <w:rPr>
          <w:rStyle w:val="6"/>
          <w:rFonts w:hint="default" w:ascii="方正楷体简体" w:hAnsi="方正楷体简体" w:eastAsia="方正楷体简体" w:cs="方正楷体简体"/>
          <w:i w:val="0"/>
          <w:caps w:val="0"/>
          <w:color w:val="333333"/>
          <w:spacing w:val="0"/>
          <w:sz w:val="31"/>
          <w:szCs w:val="31"/>
        </w:rPr>
        <w:t>依申请公开情况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left"/>
        <w:rPr>
          <w:rFonts w:hint="eastAsia" w:ascii="微软雅黑" w:hAnsi="微软雅黑" w:eastAsia="微软雅黑" w:cs="微软雅黑"/>
          <w:i w:val="0"/>
          <w:caps w:val="0"/>
          <w:color w:val="333333"/>
          <w:spacing w:val="0"/>
          <w:sz w:val="24"/>
          <w:szCs w:val="24"/>
        </w:rPr>
      </w:pPr>
      <w:r>
        <w:rPr>
          <w:rStyle w:val="6"/>
          <w:rFonts w:hint="default" w:ascii="方正仿宋简体" w:hAnsi="方正仿宋简体" w:eastAsia="方正仿宋简体" w:cs="方正仿宋简体"/>
          <w:i w:val="0"/>
          <w:caps w:val="0"/>
          <w:color w:val="333333"/>
          <w:spacing w:val="0"/>
          <w:sz w:val="31"/>
          <w:szCs w:val="31"/>
        </w:rPr>
        <w:t>我局严格按照政务信息公开有关要求，不断规范依申请公开办理工作流程，建立登记、审核、办理、答复、归档等一整套工作流程，准确把握信息公开申请办理时限，依法依规依程序做好政府信息公开申请工作。2021年，我局未收到依申请公开事项，未发生政府信息公开为由提起的行政复议和行政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微软雅黑" w:hAnsi="微软雅黑" w:eastAsia="微软雅黑" w:cs="微软雅黑"/>
          <w:i w:val="0"/>
          <w:caps w:val="0"/>
          <w:color w:val="333333"/>
          <w:spacing w:val="0"/>
          <w:sz w:val="21"/>
          <w:szCs w:val="21"/>
        </w:rPr>
      </w:pPr>
      <w:r>
        <w:rPr>
          <w:rStyle w:val="6"/>
          <w:rFonts w:hint="default" w:ascii="方正楷体简体" w:hAnsi="方正楷体简体" w:eastAsia="方正楷体简体" w:cs="方正楷体简体"/>
          <w:i w:val="0"/>
          <w:caps w:val="0"/>
          <w:color w:val="333333"/>
          <w:spacing w:val="0"/>
          <w:sz w:val="31"/>
          <w:szCs w:val="31"/>
        </w:rPr>
        <w:t>（三）政府信息管理情况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微软雅黑" w:hAnsi="微软雅黑" w:eastAsia="微软雅黑" w:cs="微软雅黑"/>
          <w:i w:val="0"/>
          <w:caps w:val="0"/>
          <w:color w:val="333333"/>
          <w:spacing w:val="0"/>
          <w:sz w:val="21"/>
          <w:szCs w:val="21"/>
        </w:rPr>
      </w:pPr>
      <w:r>
        <w:rPr>
          <w:rStyle w:val="6"/>
          <w:rFonts w:hint="default" w:ascii="方正仿宋简体" w:hAnsi="方正仿宋简体" w:eastAsia="方正仿宋简体" w:cs="方正仿宋简体"/>
          <w:i w:val="0"/>
          <w:caps w:val="0"/>
          <w:color w:val="333333"/>
          <w:spacing w:val="0"/>
          <w:sz w:val="31"/>
          <w:szCs w:val="31"/>
        </w:rPr>
        <w:t>一是加强公开组织领导。我局高度重视政府信息管理工作，党组专题研究我局政务公开工作，我局主要领导、分管领导多次对政务公开工作进行部署安排。人员岗位调整后，及时调整我局政务公开领导小组，明确责任领导和责任人，进一步完善政务公开协调运行机制。根据县政府政务公开办要求，我局专门设立政务公开办公室，政务公开办公室设在局办公室，负责推进、指导、协调、监督全局政务公开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微软雅黑" w:hAnsi="微软雅黑" w:eastAsia="微软雅黑" w:cs="微软雅黑"/>
          <w:i w:val="0"/>
          <w:caps w:val="0"/>
          <w:color w:val="333333"/>
          <w:spacing w:val="0"/>
          <w:sz w:val="21"/>
          <w:szCs w:val="21"/>
        </w:rPr>
      </w:pPr>
      <w:r>
        <w:rPr>
          <w:rStyle w:val="6"/>
          <w:rFonts w:hint="default" w:ascii="方正仿宋简体" w:hAnsi="方正仿宋简体" w:eastAsia="方正仿宋简体" w:cs="方正仿宋简体"/>
          <w:i w:val="0"/>
          <w:caps w:val="0"/>
          <w:color w:val="333333"/>
          <w:spacing w:val="0"/>
          <w:sz w:val="31"/>
          <w:szCs w:val="31"/>
        </w:rPr>
        <w:t>二是严格落实信息审查机制。在制发文件时，对文件公开属性进行明确标识，从源头上保障了公开信息不涉密、涉密信息不公开。建立完善逐级审查制度，严格履行保密审查程序，确保政府信息公开工作安全。2021年，我局未发生政府信息公开泄密事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微软雅黑" w:hAnsi="微软雅黑" w:eastAsia="微软雅黑" w:cs="微软雅黑"/>
          <w:i w:val="0"/>
          <w:caps w:val="0"/>
          <w:color w:val="333333"/>
          <w:spacing w:val="0"/>
          <w:sz w:val="21"/>
          <w:szCs w:val="21"/>
        </w:rPr>
      </w:pPr>
      <w:r>
        <w:rPr>
          <w:rStyle w:val="6"/>
          <w:rFonts w:hint="default" w:ascii="方正楷体简体" w:hAnsi="方正楷体简体" w:eastAsia="方正楷体简体" w:cs="方正楷体简体"/>
          <w:i w:val="0"/>
          <w:caps w:val="0"/>
          <w:color w:val="333333"/>
          <w:spacing w:val="0"/>
          <w:sz w:val="31"/>
          <w:szCs w:val="31"/>
        </w:rPr>
        <w:t>（四）政府信息公开平台建设情况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微软雅黑" w:hAnsi="微软雅黑" w:eastAsia="微软雅黑" w:cs="微软雅黑"/>
          <w:i w:val="0"/>
          <w:caps w:val="0"/>
          <w:color w:val="333333"/>
          <w:spacing w:val="0"/>
          <w:sz w:val="21"/>
          <w:szCs w:val="21"/>
        </w:rPr>
      </w:pPr>
      <w:r>
        <w:rPr>
          <w:rStyle w:val="6"/>
          <w:rFonts w:hint="default" w:ascii="方正仿宋简体" w:hAnsi="方正仿宋简体" w:eastAsia="方正仿宋简体" w:cs="方正仿宋简体"/>
          <w:i w:val="0"/>
          <w:caps w:val="0"/>
          <w:color w:val="333333"/>
          <w:spacing w:val="0"/>
          <w:sz w:val="31"/>
          <w:szCs w:val="31"/>
        </w:rPr>
        <w:t>2021年，我局对政府门户网站进行了全面升级改版，优化调整栏目设置，根据国家及省、市、县政务公开工作最新要求及时调整栏目设置，为公众查阅提供更加便利的条件。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微软雅黑" w:hAnsi="微软雅黑" w:eastAsia="微软雅黑" w:cs="微软雅黑"/>
          <w:i w:val="0"/>
          <w:caps w:val="0"/>
          <w:color w:val="333333"/>
          <w:spacing w:val="0"/>
          <w:sz w:val="21"/>
          <w:szCs w:val="21"/>
        </w:rPr>
      </w:pPr>
      <w:r>
        <w:rPr>
          <w:rStyle w:val="6"/>
          <w:rFonts w:hint="default" w:ascii="方正楷体简体" w:hAnsi="方正楷体简体" w:eastAsia="方正楷体简体" w:cs="方正楷体简体"/>
          <w:i w:val="0"/>
          <w:caps w:val="0"/>
          <w:color w:val="333333"/>
          <w:spacing w:val="0"/>
          <w:sz w:val="31"/>
          <w:szCs w:val="31"/>
        </w:rPr>
        <w:t>（五）监督保障情况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微软雅黑" w:hAnsi="微软雅黑" w:eastAsia="微软雅黑" w:cs="微软雅黑"/>
          <w:i w:val="0"/>
          <w:caps w:val="0"/>
          <w:color w:val="333333"/>
          <w:spacing w:val="0"/>
          <w:sz w:val="21"/>
          <w:szCs w:val="21"/>
        </w:rPr>
      </w:pPr>
      <w:r>
        <w:rPr>
          <w:rStyle w:val="6"/>
          <w:rFonts w:hint="default" w:ascii="方正仿宋简体" w:hAnsi="方正仿宋简体" w:eastAsia="方正仿宋简体" w:cs="方正仿宋简体"/>
          <w:i w:val="0"/>
          <w:caps w:val="0"/>
          <w:color w:val="333333"/>
          <w:spacing w:val="0"/>
          <w:sz w:val="31"/>
          <w:szCs w:val="31"/>
        </w:rPr>
        <w:t>建立以政务公开专题业务培训为主，微信群、面对面指导形式为辅的多元化培训机制，提高了全局政务公开工作水平。2021年开展政务公开专题培训1次，通过其他形式培训</w:t>
      </w:r>
      <w:r>
        <w:rPr>
          <w:rStyle w:val="6"/>
          <w:rFonts w:hint="eastAsia" w:ascii="方正仿宋简体" w:hAnsi="方正仿宋简体" w:eastAsia="方正仿宋简体" w:cs="方正仿宋简体"/>
          <w:i w:val="0"/>
          <w:caps w:val="0"/>
          <w:color w:val="333333"/>
          <w:spacing w:val="0"/>
          <w:sz w:val="31"/>
          <w:szCs w:val="31"/>
          <w:lang w:val="en-US" w:eastAsia="zh-CN"/>
        </w:rPr>
        <w:t>一百</w:t>
      </w:r>
      <w:r>
        <w:rPr>
          <w:rStyle w:val="6"/>
          <w:rFonts w:hint="default" w:ascii="方正仿宋简体" w:hAnsi="方正仿宋简体" w:eastAsia="方正仿宋简体" w:cs="方正仿宋简体"/>
          <w:i w:val="0"/>
          <w:caps w:val="0"/>
          <w:color w:val="333333"/>
          <w:spacing w:val="0"/>
          <w:sz w:val="31"/>
          <w:szCs w:val="31"/>
        </w:rPr>
        <w:t>余人次。</w:t>
      </w:r>
    </w:p>
    <w:p>
      <w:pPr>
        <w:spacing w:line="590" w:lineRule="exact"/>
        <w:ind w:right="-100" w:rightChars="-50" w:firstLine="640" w:firstLineChars="200"/>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二、主动公开政府信息情况</w:t>
      </w:r>
    </w:p>
    <w:tbl>
      <w:tblPr>
        <w:tblStyle w:val="7"/>
        <w:tblW w:w="87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E8C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E8CF" w:themeFill="background1"/>
          <w:tblLayout w:type="fixed"/>
          <w:tblCellMar>
            <w:top w:w="0" w:type="dxa"/>
            <w:left w:w="0" w:type="dxa"/>
            <w:bottom w:w="0" w:type="dxa"/>
            <w:right w:w="0" w:type="dxa"/>
          </w:tblCellMar>
        </w:tblPrEx>
        <w:trPr>
          <w:trHeight w:val="340" w:hRule="atLeast"/>
          <w:jc w:val="center"/>
        </w:trPr>
        <w:tc>
          <w:tcPr>
            <w:tcW w:w="8773" w:type="dxa"/>
            <w:gridSpan w:val="4"/>
            <w:shd w:val="clear" w:color="auto" w:fill="CCE8CF" w:themeFill="background1"/>
            <w:tcMar>
              <w:left w:w="57" w:type="dxa"/>
              <w:right w:w="57" w:type="dxa"/>
            </w:tcMar>
            <w:vAlign w:val="center"/>
          </w:tcPr>
          <w:p>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CCE8C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CCE8C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CCE8C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CCE8C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CCE8C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CCE8C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c>
          <w:tcPr>
            <w:tcW w:w="2216" w:type="dxa"/>
            <w:shd w:val="clear" w:color="auto" w:fill="CCE8C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c>
          <w:tcPr>
            <w:tcW w:w="1989" w:type="dxa"/>
            <w:shd w:val="clear" w:color="auto" w:fill="CCE8C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Calibri" w:eastAsia="方正仿宋简体" w:cs="Calibri"/>
                <w:b/>
                <w:sz w:val="24"/>
                <w:szCs w:val="24"/>
                <w:lang w:bidi="ar"/>
              </w:rPr>
              <w:t> </w:t>
            </w: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CCE8C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CCE8C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c>
          <w:tcPr>
            <w:tcW w:w="2216" w:type="dxa"/>
            <w:shd w:val="clear" w:color="auto" w:fill="CCE8C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c>
          <w:tcPr>
            <w:tcW w:w="1989" w:type="dxa"/>
            <w:shd w:val="clear" w:color="auto" w:fill="CCE8C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Calibri" w:eastAsia="方正仿宋简体" w:cs="Calibri"/>
                <w:b/>
                <w:sz w:val="24"/>
                <w:szCs w:val="24"/>
                <w:lang w:bidi="ar"/>
              </w:rPr>
              <w:t> </w:t>
            </w: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773" w:type="dxa"/>
            <w:gridSpan w:val="4"/>
            <w:shd w:val="clear" w:color="auto" w:fill="CCE8C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CCE8C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CCE8C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CCE8C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CCE8C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Calibri" w:eastAsia="方正仿宋简体" w:cs="Calibri"/>
                <w:b/>
                <w:sz w:val="24"/>
                <w:szCs w:val="24"/>
                <w:lang w:bidi="ar"/>
              </w:rPr>
              <w:t> </w:t>
            </w: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773" w:type="dxa"/>
            <w:gridSpan w:val="4"/>
            <w:shd w:val="clear" w:color="auto" w:fill="CCE8C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CCE8C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CCE8C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CCE8C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CCE8C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CCE8C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CCE8C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773" w:type="dxa"/>
            <w:gridSpan w:val="4"/>
            <w:shd w:val="clear" w:color="auto" w:fill="CCE8C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CCE8C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CCE8C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CCE8C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CCE8CF" w:themeFill="background1"/>
            <w:tcMar>
              <w:left w:w="57" w:type="dxa"/>
              <w:right w:w="57" w:type="dxa"/>
            </w:tcMar>
            <w:vAlign w:val="center"/>
          </w:tcPr>
          <w:p>
            <w:pPr>
              <w:spacing w:line="340" w:lineRule="exact"/>
              <w:rPr>
                <w:rFonts w:ascii="方正仿宋简体" w:eastAsia="方正仿宋简体"/>
                <w:b/>
                <w:sz w:val="24"/>
                <w:szCs w:val="24"/>
              </w:rPr>
            </w:pPr>
          </w:p>
        </w:tc>
      </w:tr>
    </w:tbl>
    <w:p>
      <w:pPr>
        <w:spacing w:before="62" w:beforeLines="10" w:after="62" w:afterLines="10" w:line="600" w:lineRule="exact"/>
        <w:ind w:firstLine="640"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7"/>
        <w:tblW w:w="88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59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bookmarkStart w:id="0" w:name="_GoBack"/>
            <w:bookmarkEnd w:id="0"/>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bl>
    <w:p>
      <w:pPr>
        <w:spacing w:line="590" w:lineRule="exact"/>
        <w:ind w:right="-100" w:rightChars="-50" w:firstLine="640"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7"/>
        <w:tblW w:w="881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r>
    </w:tbl>
    <w:p>
      <w:pPr>
        <w:spacing w:line="590" w:lineRule="exact"/>
        <w:ind w:right="-100" w:rightChars="-50" w:firstLine="640"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spacing w:line="590" w:lineRule="exact"/>
        <w:ind w:right="-100" w:rightChars="-50" w:firstLine="640" w:firstLineChars="200"/>
        <w:rPr>
          <w:rFonts w:ascii="方正仿宋简体" w:eastAsia="方正仿宋简体"/>
          <w:b/>
          <w:sz w:val="32"/>
          <w:szCs w:val="32"/>
        </w:rPr>
      </w:pPr>
      <w:r>
        <w:rPr>
          <w:rFonts w:hint="eastAsia" w:ascii="方正仿宋简体" w:eastAsia="方正仿宋简体"/>
          <w:b/>
          <w:sz w:val="32"/>
          <w:szCs w:val="32"/>
        </w:rPr>
        <w:t>主要报告本行政机关政府信息公开工作中存在的主要问题及改进情况。改进情况应对存在的主要问题逐一作出回应，说明改进成效。内容应实事求是、明确具体，避免笼统模糊、泛泛而谈。查找问题应有针对性，改进举措应有实效性，避免出现敷衍了事甚至年年雷同的现象。</w:t>
      </w:r>
    </w:p>
    <w:p>
      <w:pPr>
        <w:spacing w:line="590" w:lineRule="exact"/>
        <w:ind w:right="-100" w:rightChars="-50" w:firstLine="640" w:firstLineChars="200"/>
        <w:rPr>
          <w:rFonts w:ascii="方正黑体简体" w:eastAsia="方正黑体简体"/>
          <w:b/>
          <w:sz w:val="32"/>
          <w:szCs w:val="32"/>
        </w:rPr>
      </w:pPr>
      <w:r>
        <w:rPr>
          <w:rFonts w:hint="eastAsia" w:ascii="方正黑体简体" w:eastAsia="方正黑体简体"/>
          <w:b/>
          <w:sz w:val="32"/>
          <w:szCs w:val="32"/>
        </w:rPr>
        <w:t>六、其他需要报告的事项</w:t>
      </w:r>
    </w:p>
    <w:p>
      <w:pPr>
        <w:spacing w:line="590" w:lineRule="exact"/>
        <w:ind w:right="-100" w:rightChars="-50" w:firstLine="640" w:firstLineChars="200"/>
        <w:rPr>
          <w:rFonts w:ascii="方正仿宋简体" w:eastAsia="方正仿宋简体"/>
          <w:b/>
          <w:sz w:val="32"/>
          <w:szCs w:val="32"/>
        </w:rPr>
      </w:pPr>
      <w:r>
        <w:rPr>
          <w:rFonts w:hint="eastAsia" w:ascii="方正仿宋简体" w:eastAsia="方正仿宋简体"/>
          <w:b/>
          <w:sz w:val="32"/>
          <w:szCs w:val="32"/>
          <w:lang w:val="en-US" w:eastAsia="zh-CN"/>
        </w:rPr>
        <w:t>无</w:t>
      </w:r>
    </w:p>
    <w:p>
      <w:pPr>
        <w:spacing w:line="590" w:lineRule="exact"/>
        <w:ind w:right="-100" w:rightChars="-50"/>
        <w:rPr>
          <w:rFonts w:ascii="方正仿宋简体" w:eastAsia="方正仿宋简体"/>
          <w:b/>
          <w:sz w:val="32"/>
          <w:szCs w:val="32"/>
        </w:rPr>
      </w:pPr>
    </w:p>
    <w:p>
      <w:pPr>
        <w:spacing w:line="590" w:lineRule="exact"/>
        <w:ind w:right="-100" w:rightChars="-50"/>
        <w:rPr>
          <w:rFonts w:hint="eastAsia" w:ascii="方正黑体简体" w:eastAsia="方正黑体简体"/>
          <w:b/>
          <w:sz w:val="32"/>
          <w:szCs w:val="32"/>
        </w:rPr>
      </w:pPr>
    </w:p>
    <w:p>
      <w:pPr>
        <w:spacing w:line="590" w:lineRule="exact"/>
        <w:ind w:right="-100" w:rightChars="-50"/>
        <w:rPr>
          <w:rFonts w:hint="eastAsia" w:ascii="方正黑体简体" w:eastAsia="方正黑体简体"/>
          <w:b/>
          <w:sz w:val="32"/>
          <w:szCs w:val="32"/>
        </w:rPr>
      </w:pPr>
    </w:p>
    <w:p>
      <w:pPr>
        <w:spacing w:line="590" w:lineRule="exact"/>
        <w:ind w:right="-100" w:rightChars="-50"/>
        <w:rPr>
          <w:rFonts w:hint="eastAsia" w:ascii="方正黑体简体" w:eastAsia="方正黑体简体"/>
          <w:b/>
          <w:sz w:val="32"/>
          <w:szCs w:val="32"/>
        </w:rPr>
      </w:pPr>
    </w:p>
    <w:p>
      <w:pPr>
        <w:spacing w:line="590" w:lineRule="exact"/>
        <w:ind w:right="-100" w:rightChars="-50"/>
        <w:rPr>
          <w:rFonts w:hint="eastAsia" w:ascii="方正黑体简体" w:eastAsia="方正黑体简体"/>
          <w:b/>
          <w:sz w:val="32"/>
          <w:szCs w:val="32"/>
        </w:rPr>
      </w:pPr>
    </w:p>
    <w:p>
      <w:pPr>
        <w:spacing w:line="590" w:lineRule="exact"/>
        <w:ind w:right="-100" w:rightChars="-50"/>
        <w:rPr>
          <w:rFonts w:hint="eastAsia" w:ascii="方正黑体简体" w:eastAsia="方正黑体简体"/>
          <w:b/>
          <w:sz w:val="32"/>
          <w:szCs w:val="32"/>
        </w:rPr>
      </w:pPr>
    </w:p>
    <w:p>
      <w:pPr>
        <w:spacing w:line="590" w:lineRule="exact"/>
        <w:ind w:right="-100" w:rightChars="-50"/>
        <w:rPr>
          <w:rFonts w:hint="eastAsia" w:ascii="方正黑体简体" w:eastAsia="方正黑体简体"/>
          <w:b/>
          <w:sz w:val="32"/>
          <w:szCs w:val="32"/>
        </w:rPr>
      </w:pPr>
    </w:p>
    <w:p>
      <w:pPr>
        <w:spacing w:line="590" w:lineRule="exact"/>
        <w:ind w:right="-100" w:rightChars="-50"/>
        <w:rPr>
          <w:rFonts w:ascii="方正黑体简体" w:eastAsia="方正黑体简体"/>
          <w:b/>
          <w:sz w:val="32"/>
          <w:szCs w:val="32"/>
        </w:rPr>
      </w:pPr>
      <w:r>
        <w:rPr>
          <w:rFonts w:hint="eastAsia" w:ascii="方正黑体简体" w:eastAsia="方正黑体简体"/>
          <w:b/>
          <w:sz w:val="32"/>
          <w:szCs w:val="32"/>
        </w:rPr>
        <w:t>附件3</w:t>
      </w:r>
    </w:p>
    <w:p>
      <w:pPr>
        <w:spacing w:line="590" w:lineRule="exact"/>
        <w:ind w:right="-100" w:rightChars="-50"/>
        <w:jc w:val="center"/>
        <w:rPr>
          <w:rFonts w:ascii="方正小标宋简体" w:eastAsia="方正小标宋简体"/>
          <w:b/>
          <w:sz w:val="44"/>
          <w:szCs w:val="44"/>
        </w:rPr>
      </w:pPr>
      <w:r>
        <w:rPr>
          <w:rFonts w:hint="eastAsia" w:ascii="方正小标宋简体" w:eastAsia="方正小标宋简体"/>
          <w:b/>
          <w:sz w:val="44"/>
          <w:szCs w:val="44"/>
          <w:lang w:val="en-US" w:eastAsia="zh-CN"/>
        </w:rPr>
        <w:t>梁山县综合行政执法局</w:t>
      </w:r>
      <w:r>
        <w:rPr>
          <w:rFonts w:hint="eastAsia" w:ascii="方正小标宋简体" w:eastAsia="方正小标宋简体"/>
          <w:b/>
          <w:sz w:val="44"/>
          <w:szCs w:val="44"/>
        </w:rPr>
        <w:t>2021年政府信息公开</w:t>
      </w:r>
    </w:p>
    <w:p>
      <w:pPr>
        <w:spacing w:line="590" w:lineRule="exact"/>
        <w:ind w:right="-100" w:rightChars="-50"/>
        <w:jc w:val="center"/>
        <w:rPr>
          <w:rFonts w:ascii="方正小标宋简体" w:eastAsia="方正小标宋简体"/>
          <w:b/>
          <w:sz w:val="44"/>
          <w:szCs w:val="44"/>
        </w:rPr>
      </w:pPr>
      <w:r>
        <w:rPr>
          <w:rFonts w:hint="eastAsia" w:ascii="方正小标宋简体" w:eastAsia="方正小标宋简体"/>
          <w:b/>
          <w:sz w:val="44"/>
          <w:szCs w:val="44"/>
        </w:rPr>
        <w:t>情况统计表</w:t>
      </w:r>
    </w:p>
    <w:tbl>
      <w:tblPr>
        <w:tblStyle w:val="7"/>
        <w:tblW w:w="8696" w:type="dxa"/>
        <w:jc w:val="center"/>
        <w:tblInd w:w="0" w:type="dxa"/>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967"/>
        <w:gridCol w:w="904"/>
        <w:gridCol w:w="825"/>
      </w:tblGrid>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00" w:hRule="exact"/>
          <w:tblHeader/>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spacing w:before="0" w:beforeAutospacing="0" w:after="0" w:afterAutospacing="0" w:line="240" w:lineRule="exact"/>
              <w:ind w:firstLine="685"/>
              <w:jc w:val="center"/>
              <w:rPr>
                <w:rFonts w:ascii="方正黑体简体" w:eastAsia="方正黑体简体"/>
                <w:b/>
                <w:color w:val="000000"/>
              </w:rPr>
            </w:pPr>
            <w:r>
              <w:rPr>
                <w:rStyle w:val="6"/>
                <w:rFonts w:hint="eastAsia" w:ascii="方正黑体简体" w:eastAsia="方正黑体简体"/>
                <w:color w:val="000000"/>
                <w:sz w:val="20"/>
                <w:szCs w:val="20"/>
              </w:rPr>
              <w:t>统　计　指　标</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黑体简体" w:hAnsi="宋体" w:eastAsia="方正黑体简体" w:cs="宋体"/>
                <w:b/>
                <w:color w:val="000000"/>
                <w:sz w:val="24"/>
              </w:rPr>
            </w:pPr>
            <w:r>
              <w:rPr>
                <w:rStyle w:val="6"/>
                <w:rFonts w:hint="eastAsia" w:ascii="方正黑体简体" w:eastAsia="方正黑体简体"/>
                <w:color w:val="000000"/>
              </w:rPr>
              <w:t>单位</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黑体简体" w:hAnsi="宋体" w:eastAsia="方正黑体简体" w:cs="宋体"/>
                <w:b/>
                <w:color w:val="000000"/>
                <w:sz w:val="24"/>
              </w:rPr>
            </w:pPr>
            <w:r>
              <w:rPr>
                <w:rStyle w:val="6"/>
                <w:rFonts w:hint="eastAsia" w:ascii="方正黑体简体" w:eastAsia="方正黑体简体"/>
                <w:color w:val="000000"/>
              </w:rPr>
              <w:t>统计数</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黑体简体" w:hAnsi="宋体" w:eastAsia="方正黑体简体" w:cs="宋体"/>
                <w:b/>
                <w:color w:val="000000"/>
                <w:sz w:val="24"/>
              </w:rPr>
            </w:pPr>
            <w:r>
              <w:rPr>
                <w:rFonts w:hint="eastAsia" w:ascii="方正黑体简体" w:hAnsi="宋体" w:eastAsia="方正黑体简体"/>
                <w:b/>
                <w:color w:val="000000"/>
              </w:rPr>
              <w:t>一、主动公开情况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spacing w:line="240" w:lineRule="exact"/>
              <w:jc w:val="center"/>
              <w:rPr>
                <w:rFonts w:ascii="方正仿宋简体" w:hAnsi="宋体" w:eastAsia="方正仿宋简体" w:cs="宋体"/>
                <w:b/>
                <w:color w:val="000000"/>
                <w:sz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513" w:hRule="atLeas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hint="eastAsia" w:ascii="方正仿宋简体" w:hAnsi="宋体" w:eastAsia="方正仿宋简体"/>
                <w:b/>
                <w:color w:val="000000"/>
                <w:lang w:eastAsia="zh-CN"/>
              </w:rPr>
            </w:pPr>
            <w:r>
              <w:rPr>
                <w:rFonts w:hint="eastAsia" w:ascii="方正仿宋简体" w:hAnsi="宋体" w:eastAsia="方正仿宋简体"/>
                <w:b/>
                <w:color w:val="000000"/>
              </w:rPr>
              <w:t>　　（一）主动公开政府信息数（不同渠道和方式公开相同信息计1条）</w:t>
            </w:r>
          </w:p>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（不同渠道和方式公开相同信息计1条）</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18</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其中：主动公开规范性文件数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制发规范性文件总数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件</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（二）通过不同渠道和方式公开政府信息的情况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spacing w:line="240" w:lineRule="exact"/>
              <w:jc w:val="center"/>
              <w:rPr>
                <w:rFonts w:ascii="方正仿宋简体" w:hAnsi="宋体" w:eastAsia="方正仿宋简体" w:cs="宋体"/>
                <w:b/>
                <w:color w:val="000000"/>
                <w:sz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1.政府公报公开政府信息数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2.政府网站公开政府信息数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18</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3.政务微博公开政府信息数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4.政务微信公开政府信息数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5.其他方式公开政府信息数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黑体简体" w:hAnsi="宋体" w:eastAsia="方正黑体简体"/>
                <w:b/>
                <w:color w:val="000000"/>
              </w:rPr>
              <w:t>二、回应解读情况（不同方式回应同一热点或舆情计1次）</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pStyle w:val="4"/>
              <w:spacing w:before="0" w:beforeAutospacing="0" w:after="0" w:afterAutospacing="0" w:line="240" w:lineRule="exact"/>
              <w:ind w:firstLine="685"/>
              <w:jc w:val="center"/>
              <w:rPr>
                <w:rFonts w:ascii="方正仿宋简体" w:eastAsia="方正仿宋简体"/>
                <w:b/>
                <w:color w:val="000000"/>
              </w:rPr>
            </w:pPr>
          </w:p>
        </w:tc>
        <w:tc>
          <w:tcPr>
            <w:tcW w:w="825" w:type="dxa"/>
            <w:tcBorders>
              <w:top w:val="single" w:color="auto" w:sz="0" w:space="0"/>
              <w:left w:val="single" w:color="auto" w:sz="0" w:space="0"/>
              <w:bottom w:val="single" w:color="auto" w:sz="0"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spacing w:before="0" w:beforeAutospacing="0" w:after="0" w:afterAutospacing="0" w:line="240" w:lineRule="exact"/>
              <w:ind w:firstLine="400" w:firstLineChars="200"/>
              <w:rPr>
                <w:rFonts w:hint="eastAsia" w:ascii="方正仿宋简体" w:eastAsia="方正仿宋简体" w:cs="Times New Roman"/>
                <w:b/>
                <w:color w:val="000000"/>
                <w:kern w:val="2"/>
                <w:sz w:val="20"/>
                <w:szCs w:val="20"/>
                <w:lang w:eastAsia="zh-CN"/>
              </w:rPr>
            </w:pPr>
            <w:r>
              <w:rPr>
                <w:rFonts w:hint="eastAsia" w:ascii="方正仿宋简体" w:eastAsia="方正仿宋简体" w:cs="Times New Roman"/>
                <w:b/>
                <w:color w:val="000000"/>
                <w:kern w:val="2"/>
                <w:sz w:val="20"/>
                <w:szCs w:val="20"/>
              </w:rPr>
              <w:t>（一）回应公众关注热点或重大舆情数</w:t>
            </w:r>
          </w:p>
          <w:p>
            <w:pPr>
              <w:pStyle w:val="4"/>
              <w:spacing w:before="0" w:beforeAutospacing="0" w:after="0" w:afterAutospacing="0" w:line="240" w:lineRule="exact"/>
              <w:ind w:firstLine="400" w:firstLineChars="200"/>
              <w:rPr>
                <w:rFonts w:ascii="方正仿宋简体" w:eastAsia="方正仿宋简体"/>
                <w:b/>
                <w:color w:val="000000"/>
              </w:rPr>
            </w:pPr>
            <w:r>
              <w:rPr>
                <w:rFonts w:hint="eastAsia" w:ascii="方正仿宋简体" w:eastAsia="方正仿宋简体" w:cs="Times New Roman"/>
                <w:b/>
                <w:color w:val="000000"/>
                <w:kern w:val="2"/>
                <w:sz w:val="20"/>
                <w:szCs w:val="20"/>
              </w:rPr>
              <w:t>　　　　 （不同方式回应同一热点或舆情计1次）</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2</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（二）通过不同渠道和方式回应解读的情况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spacing w:line="240" w:lineRule="exact"/>
              <w:jc w:val="center"/>
              <w:rPr>
                <w:rFonts w:ascii="方正仿宋简体" w:hAnsi="宋体" w:eastAsia="方正仿宋简体" w:cs="宋体"/>
                <w:b/>
                <w:color w:val="000000"/>
                <w:sz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1.参加或举办新闻发布会总次数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其中：主要负责同志参加新闻发布会次数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2.政府网站在线访谈次数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其中：主要负责同志参加政府网站在线访谈次数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3.政策解读稿件发布数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篇</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4.微博微信回应事件数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5.其他方式回应事件数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rPr>
                <w:rFonts w:ascii="方正仿宋简体" w:hAnsi="宋体" w:eastAsia="方正仿宋简体"/>
                <w:b/>
                <w:color w:val="000000"/>
              </w:rPr>
            </w:pPr>
            <w:r>
              <w:rPr>
                <w:rFonts w:hint="eastAsia" w:ascii="方正黑体简体" w:hAnsi="宋体" w:eastAsia="方正黑体简体"/>
                <w:b/>
                <w:color w:val="000000"/>
              </w:rPr>
              <w:t>三、开通政府信息公开网站（或设立门户网站信息公开专栏）数</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322" w:hRule="atLeas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rPr>
                <w:rFonts w:ascii="方正仿宋简体" w:hAnsi="宋体" w:eastAsia="方正仿宋简体"/>
                <w:b/>
                <w:color w:val="000000"/>
              </w:rPr>
            </w:pPr>
            <w:r>
              <w:rPr>
                <w:rFonts w:hint="eastAsia" w:ascii="方正仿宋简体" w:hAnsi="宋体" w:eastAsia="方正仿宋简体"/>
                <w:b/>
                <w:color w:val="000000"/>
              </w:rPr>
              <w:t>　　（一）市政府部门门户网站</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400" w:firstLineChars="200"/>
              <w:rPr>
                <w:rFonts w:ascii="方正仿宋简体" w:hAnsi="宋体" w:eastAsia="方正仿宋简体"/>
                <w:b/>
                <w:color w:val="000000"/>
              </w:rPr>
            </w:pPr>
            <w:r>
              <w:rPr>
                <w:rFonts w:hint="eastAsia" w:ascii="方正仿宋简体" w:hAnsi="宋体" w:eastAsia="方正仿宋简体"/>
                <w:b/>
                <w:color w:val="000000"/>
              </w:rPr>
              <w:t>（二）县（市、区）政府及其部门门户网站</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33"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400" w:firstLineChars="200"/>
              <w:rPr>
                <w:rFonts w:ascii="方正仿宋简体" w:hAnsi="宋体" w:eastAsia="方正仿宋简体"/>
                <w:b/>
                <w:color w:val="000000"/>
              </w:rPr>
            </w:pPr>
            <w:r>
              <w:rPr>
                <w:rFonts w:hint="eastAsia" w:ascii="方正仿宋简体" w:hAnsi="宋体" w:eastAsia="方正仿宋简体"/>
                <w:b/>
                <w:color w:val="000000"/>
              </w:rPr>
              <w:t>（三）乡镇政府（街道办事处）门户网站</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rPr>
                <w:rFonts w:ascii="方正黑体简体" w:hAnsi="宋体" w:eastAsia="方正黑体简体"/>
                <w:b/>
                <w:color w:val="000000"/>
              </w:rPr>
            </w:pPr>
            <w:r>
              <w:rPr>
                <w:rFonts w:hint="eastAsia" w:ascii="方正黑体简体" w:hAnsi="宋体" w:eastAsia="方正黑体简体"/>
                <w:b/>
                <w:color w:val="000000"/>
              </w:rPr>
              <w:t>四、设置政府信息查阅点数</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400" w:firstLineChars="200"/>
              <w:rPr>
                <w:rFonts w:ascii="方正仿宋简体" w:hAnsi="宋体" w:eastAsia="方正仿宋简体"/>
                <w:b/>
                <w:color w:val="000000"/>
              </w:rPr>
            </w:pPr>
            <w:r>
              <w:rPr>
                <w:rFonts w:hint="eastAsia" w:ascii="方正仿宋简体" w:hAnsi="宋体" w:eastAsia="方正仿宋简体"/>
                <w:b/>
                <w:color w:val="000000"/>
              </w:rPr>
              <w:t>（一）市政府部门</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400" w:firstLineChars="200"/>
              <w:rPr>
                <w:rFonts w:ascii="方正仿宋简体" w:hAnsi="宋体" w:eastAsia="方正仿宋简体"/>
                <w:b/>
                <w:color w:val="000000"/>
              </w:rPr>
            </w:pPr>
            <w:r>
              <w:rPr>
                <w:rFonts w:hint="eastAsia" w:ascii="方正仿宋简体" w:hAnsi="宋体" w:eastAsia="方正仿宋简体"/>
                <w:b/>
                <w:color w:val="000000"/>
              </w:rPr>
              <w:t>（二）县（市、区）政府及其部门</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400" w:firstLineChars="200"/>
              <w:rPr>
                <w:rFonts w:ascii="方正仿宋简体" w:hAnsi="宋体" w:eastAsia="方正仿宋简体"/>
                <w:b/>
                <w:color w:val="000000"/>
              </w:rPr>
            </w:pPr>
            <w:r>
              <w:rPr>
                <w:rFonts w:hint="eastAsia" w:ascii="方正仿宋简体" w:hAnsi="宋体" w:eastAsia="方正仿宋简体"/>
                <w:b/>
                <w:color w:val="000000"/>
              </w:rPr>
              <w:t>（三）乡镇政府（街道办事处）</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rPr>
                <w:rFonts w:ascii="方正仿宋简体" w:hAnsi="宋体" w:eastAsia="方正仿宋简体"/>
                <w:b/>
                <w:color w:val="000000"/>
              </w:rPr>
            </w:pPr>
            <w:r>
              <w:rPr>
                <w:rFonts w:hint="eastAsia" w:ascii="方正黑体简体" w:hAnsi="宋体" w:eastAsia="方正黑体简体"/>
                <w:b/>
                <w:color w:val="000000"/>
              </w:rPr>
              <w:t>五、查阅点接待人数</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次</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400" w:firstLineChars="200"/>
              <w:rPr>
                <w:rFonts w:ascii="方正仿宋简体" w:hAnsi="宋体" w:eastAsia="方正仿宋简体"/>
                <w:b/>
                <w:color w:val="000000"/>
              </w:rPr>
            </w:pPr>
            <w:r>
              <w:rPr>
                <w:rFonts w:hint="eastAsia" w:ascii="方正仿宋简体" w:hAnsi="宋体" w:eastAsia="方正仿宋简体"/>
                <w:b/>
                <w:color w:val="000000"/>
              </w:rPr>
              <w:t>（一）市政府及其部门</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次</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400" w:firstLineChars="200"/>
              <w:rPr>
                <w:rFonts w:ascii="方正仿宋简体" w:hAnsi="宋体" w:eastAsia="方正仿宋简体"/>
                <w:b/>
                <w:color w:val="000000"/>
              </w:rPr>
            </w:pPr>
            <w:r>
              <w:rPr>
                <w:rFonts w:hint="eastAsia" w:ascii="方正仿宋简体" w:hAnsi="宋体" w:eastAsia="方正仿宋简体"/>
                <w:b/>
                <w:color w:val="000000"/>
              </w:rPr>
              <w:t>（二）县（市、区）政府及其部门</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次</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right w:val="outset" w:color="000000" w:sz="6" w:space="0"/>
            </w:tcBorders>
            <w:shd w:val="clear" w:color="auto" w:fill="auto"/>
            <w:vAlign w:val="center"/>
          </w:tcPr>
          <w:p>
            <w:pPr>
              <w:spacing w:line="240" w:lineRule="exact"/>
              <w:ind w:firstLine="400" w:firstLineChars="200"/>
              <w:rPr>
                <w:rFonts w:ascii="方正仿宋简体" w:hAnsi="宋体" w:eastAsia="方正仿宋简体"/>
                <w:b/>
                <w:color w:val="000000"/>
              </w:rPr>
            </w:pPr>
            <w:r>
              <w:rPr>
                <w:rFonts w:hint="eastAsia" w:ascii="方正仿宋简体" w:hAnsi="宋体" w:eastAsia="方正仿宋简体"/>
                <w:b/>
                <w:color w:val="000000"/>
              </w:rPr>
              <w:t>（三）乡镇政府（街道办事处）</w:t>
            </w:r>
          </w:p>
        </w:tc>
        <w:tc>
          <w:tcPr>
            <w:tcW w:w="904" w:type="dxa"/>
            <w:tcBorders>
              <w:top w:val="single" w:color="auto" w:sz="4" w:space="0"/>
              <w:left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次</w:t>
            </w:r>
          </w:p>
        </w:tc>
        <w:tc>
          <w:tcPr>
            <w:tcW w:w="825" w:type="dxa"/>
            <w:tcBorders>
              <w:top w:val="single" w:color="auto" w:sz="4" w:space="0"/>
              <w:left w:val="outset" w:color="000000" w:sz="6" w:space="0"/>
              <w:right w:val="outset" w:color="000000" w:sz="6" w:space="0"/>
            </w:tcBorders>
            <w:shd w:val="clear" w:color="auto" w:fill="auto"/>
            <w:vAlign w:val="center"/>
          </w:tcPr>
          <w:p>
            <w:pPr>
              <w:widowControl/>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b/>
                <w:color w:val="000000"/>
              </w:rPr>
            </w:pPr>
            <w:r>
              <w:rPr>
                <w:rFonts w:hint="eastAsia" w:ascii="方正黑体简体" w:hAnsi="宋体" w:eastAsia="方正黑体简体"/>
                <w:b/>
                <w:color w:val="000000"/>
              </w:rPr>
              <w:t>六、机构建设和保障经费情况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spacing w:line="240" w:lineRule="exact"/>
              <w:jc w:val="center"/>
              <w:rPr>
                <w:rFonts w:ascii="方正仿宋简体" w:hAnsi="宋体" w:eastAsia="方正仿宋简体" w:cs="宋体"/>
                <w:b/>
                <w:color w:val="000000"/>
                <w:sz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（一）政府信息公开工作专门机构数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个</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（二）从事政府信息公开工作人员数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人</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1.专职人员数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人</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2.兼职人员数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人</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6967" w:type="dxa"/>
            <w:tcBorders>
              <w:top w:val="outset" w:color="000000" w:sz="6" w:space="0"/>
              <w:left w:val="outset" w:color="000000" w:sz="6" w:space="0"/>
              <w:bottom w:val="single" w:color="auto" w:sz="4"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（三）政府信息公开专项经费</w:t>
            </w:r>
          </w:p>
        </w:tc>
        <w:tc>
          <w:tcPr>
            <w:tcW w:w="904" w:type="dxa"/>
            <w:tcBorders>
              <w:top w:val="outset" w:color="000000" w:sz="6"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万元</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黑体简体" w:hAnsi="宋体" w:eastAsia="方正黑体简体"/>
                <w:b/>
                <w:color w:val="000000"/>
              </w:rPr>
              <w:t>七、政府信息公开会议和培训情况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spacing w:line="240" w:lineRule="exact"/>
              <w:jc w:val="center"/>
              <w:rPr>
                <w:rFonts w:ascii="方正仿宋简体" w:hAnsi="宋体" w:eastAsia="方正仿宋简体" w:cs="宋体"/>
                <w:b/>
                <w:color w:val="000000"/>
                <w:sz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（一）召开政府信息公开工作会议或专题会议数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（二）举办各类培训班数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（三）接受培训人员数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人次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100</w:t>
            </w:r>
          </w:p>
        </w:tc>
      </w:tr>
    </w:tbl>
    <w:p>
      <w:pPr>
        <w:spacing w:line="590" w:lineRule="exact"/>
        <w:ind w:right="-100" w:rightChars="-50"/>
        <w:rPr>
          <w:rFonts w:ascii="方正仿宋简体" w:eastAsia="方正仿宋简体"/>
          <w:b/>
          <w:sz w:val="24"/>
          <w:szCs w:val="24"/>
        </w:rPr>
      </w:pPr>
      <w:r>
        <w:rPr>
          <w:rFonts w:hint="eastAsia" w:ascii="方正仿宋简体" w:eastAsia="方正仿宋简体"/>
          <w:b/>
          <w:sz w:val="24"/>
          <w:szCs w:val="24"/>
        </w:rPr>
        <w:t>（注：各子栏目数总数要等于总栏目数量）</w:t>
      </w:r>
    </w:p>
    <w:p>
      <w:pPr>
        <w:ind w:firstLine="4482" w:firstLineChars="1400"/>
        <w:rPr>
          <w:rFonts w:hint="eastAsia" w:ascii="方正仿宋简体" w:hAnsi="文星仿宋" w:eastAsia="方正仿宋简体" w:cs="方正仿宋简体"/>
          <w:b/>
          <w:color w:val="000000"/>
          <w:sz w:val="32"/>
          <w:szCs w:val="32"/>
          <w:lang w:bidi="ar"/>
        </w:rPr>
      </w:pPr>
    </w:p>
    <w:sectPr>
      <w:pgSz w:w="11906" w:h="16838"/>
      <w:pgMar w:top="1440" w:right="1587"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20B0603030804020204"/>
    <w:charset w:val="00"/>
    <w:family w:val="roman"/>
    <w:pitch w:val="default"/>
    <w:sig w:usb0="00000000" w:usb1="00000000" w:usb2="0A246029" w:usb3="0400200C" w:csb0="600001FF" w:csb1="DFFF0000"/>
  </w:font>
  <w:font w:name="方正书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00"/>
    <w:family w:val="auto"/>
    <w:pitch w:val="default"/>
    <w:sig w:usb0="00000000" w:usb1="00000000" w:usb2="0000000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思源黑体 CN">
    <w:altName w:val="黑体"/>
    <w:panose1 w:val="020B0600000000000000"/>
    <w:charset w:val="86"/>
    <w:family w:val="auto"/>
    <w:pitch w:val="default"/>
    <w:sig w:usb0="00000000" w:usb1="00000000" w:usb2="00000016" w:usb3="00000000" w:csb0="60060107"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font>
  <w:font w:name="方正仿宋简体">
    <w:altName w:val="Arial Unicode MS"/>
    <w:panose1 w:val="02000000000000000000"/>
    <w:charset w:val="86"/>
    <w:family w:val="auto"/>
    <w:pitch w:val="default"/>
    <w:sig w:usb0="00000000" w:usb1="00000000" w:usb2="00000012" w:usb3="00000000" w:csb0="00040001" w:csb1="00000000"/>
  </w:font>
  <w:font w:name="方正黑体简体">
    <w:altName w:val="Arial Unicode MS"/>
    <w:panose1 w:val="02000000000000000000"/>
    <w:charset w:val="86"/>
    <w:family w:val="auto"/>
    <w:pitch w:val="default"/>
    <w:sig w:usb0="00000000" w:usb1="00000000" w:usb2="00000000" w:usb3="00000000" w:csb0="00040000" w:csb1="00000000"/>
  </w:font>
  <w:font w:name="方正楷体简体">
    <w:altName w:val="宋体"/>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DejaVu Sans">
    <w:altName w:val="Segoe Print"/>
    <w:panose1 w:val="020B0603030804020204"/>
    <w:charset w:val="CC"/>
    <w:family w:val="roman"/>
    <w:pitch w:val="default"/>
    <w:sig w:usb0="00000000" w:usb1="00000000" w:usb2="0A246029" w:usb3="0400200C" w:csb0="600001FF" w:csb1="DFFF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简体">
    <w:altName w:val="Arial Unicode MS"/>
    <w:panose1 w:val="00000000000000000000"/>
    <w:charset w:val="00"/>
    <w:family w:val="auto"/>
    <w:pitch w:val="default"/>
    <w:sig w:usb0="00000000" w:usb1="00000000" w:usb2="00000000" w:usb3="00000000" w:csb0="00000000" w:csb1="00000000"/>
  </w:font>
  <w:font w:name="方正黑体简体">
    <w:altName w:val="Arial Unicode MS"/>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E92D98"/>
    <w:rsid w:val="3AFF84CD"/>
    <w:rsid w:val="422B08F9"/>
    <w:rsid w:val="61337D8E"/>
    <w:rsid w:val="64F416F2"/>
    <w:rsid w:val="6DE57C7E"/>
    <w:rsid w:val="78E92D98"/>
    <w:rsid w:val="DCF44039"/>
    <w:rsid w:val="DFFF86C0"/>
    <w:rsid w:val="EBEAD5D0"/>
    <w:rsid w:val="F7F3AB10"/>
    <w:rsid w:val="FDF3E4EC"/>
    <w:rsid w:val="FEFB42CB"/>
    <w:rsid w:val="FF7EE6EC"/>
    <w:rsid w:val="FFEF8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BodyText"/>
    <w:basedOn w:val="1"/>
    <w:qFormat/>
    <w:uiPriority w:val="0"/>
    <w:pPr>
      <w:spacing w:after="120"/>
      <w:jc w:val="both"/>
      <w:textAlignment w:val="baseline"/>
    </w:pPr>
    <w:rPr>
      <w:rFonts w:ascii="Times New Roman" w:hAnsi="Times New Roman" w:eastAsia="仿宋_GB2312"/>
      <w:kern w:val="2"/>
      <w:sz w:val="32"/>
      <w:szCs w:val="24"/>
      <w:lang w:val="en-US" w:eastAsia="zh-CN" w:bidi="ar-SA"/>
    </w:rPr>
  </w:style>
  <w:style w:type="paragraph" w:styleId="3">
    <w:name w:val="footer"/>
    <w:basedOn w:val="1"/>
    <w:qFormat/>
    <w:uiPriority w:val="99"/>
    <w:pPr>
      <w:tabs>
        <w:tab w:val="center" w:pos="4153"/>
        <w:tab w:val="right" w:pos="8306"/>
      </w:tabs>
      <w:snapToGrid w:val="0"/>
      <w:jc w:val="left"/>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sz w:val="24"/>
      <w:szCs w:val="24"/>
    </w:rPr>
  </w:style>
  <w:style w:type="character" w:styleId="6">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2022-01-05T02:23:00Z</dcterms:created>
  <dc:creator>Administrator</dc:creator>
  <cp:lastModifiedBy>ZFJ</cp:lastModifiedBy>
  <dcterms:modified xsi:type="dcterms:W3CDTF">2022-01-11T00:47:47Z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A97DFCC5DE0C408F9280E8CE08378A11</vt:lpwstr>
  </property>
</Properties>
</file>