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rFonts w:hint="eastAsia" w:ascii="微软雅黑" w:hAnsi="微软雅黑" w:eastAsia="微软雅黑" w:cs="微软雅黑"/>
          <w:i w:val="0"/>
          <w:caps w:val="0"/>
          <w:spacing w:val="8"/>
          <w:sz w:val="24"/>
          <w:szCs w:val="24"/>
        </w:rPr>
      </w:pPr>
      <w:bookmarkStart w:id="0" w:name="_GoBack"/>
      <w:r>
        <w:rPr>
          <w:i w:val="0"/>
          <w:caps w:val="0"/>
          <w:spacing w:val="8"/>
          <w:sz w:val="33"/>
          <w:szCs w:val="33"/>
          <w:bdr w:val="none" w:color="auto" w:sz="0" w:space="0"/>
        </w:rPr>
        <w:t>企业工程师队伍建设相关政策</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为助力全面开创新时代现代化强县建设新局面，精准培育企业工程师队伍，有效改善我县企业人才质量，根据上级有关政策要求，现提出如下工作措施：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一、畅通企业职称评审渠道。</w:t>
      </w:r>
      <w:r>
        <w:rPr>
          <w:rFonts w:hint="eastAsia" w:ascii="微软雅黑" w:hAnsi="微软雅黑" w:eastAsia="微软雅黑" w:cs="微软雅黑"/>
          <w:i w:val="0"/>
          <w:caps w:val="0"/>
          <w:spacing w:val="8"/>
          <w:sz w:val="24"/>
          <w:szCs w:val="24"/>
          <w:bdr w:val="none" w:color="auto" w:sz="0" w:space="0"/>
        </w:rPr>
        <w:t>凡在我县企业工作的专技人才，均可按照标准条件申报评审相应职称。开展职称政策进企业专项行动，打通政策“最后一公里”，设立服务专员和服务热线，为企业专技人才职称评审提供政策咨询。对规模以上企业，开展摸底调研，对企业专技人才实施“一才一档、一才一策”，精准提供申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二、建立企业职称评审直通车。</w:t>
      </w:r>
      <w:r>
        <w:rPr>
          <w:rFonts w:hint="eastAsia" w:ascii="微软雅黑" w:hAnsi="微软雅黑" w:eastAsia="微软雅黑" w:cs="微软雅黑"/>
          <w:i w:val="0"/>
          <w:caps w:val="0"/>
          <w:spacing w:val="8"/>
          <w:sz w:val="24"/>
          <w:szCs w:val="24"/>
          <w:bdr w:val="none" w:color="auto" w:sz="0" w:space="0"/>
        </w:rPr>
        <w:t>分层级促进企业现有专技人才成长。初级职称实行“考核认定”，由企业对专技人才进行考核，符合标准条件的，直接确认初级职称（相关操作流程见附件1、2）。在民营企业实行中级职称“绿色通道”，从事本系列专业技术工作达到一定年限，符合条件可跳过初级直接申报中级职称（相关文件见附件3）。在专精特新中小企业和制造业单项冠军企业（以下简称“专精特新”企业）实行高级职称“举荐制”，经企业董事长举荐，优秀工程技术人才可不受原职称资格、学历资历、工作年限、继续教育限制，直接申报相应职称，其中国家级“专精特新”企业每年度可举荐2人直接申报高级职称，省级“专精特新”企业每年度可举荐1人直接申报副高级职称（相关文件见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三、企业内正规全日制院校毕业生可确认中级专业技术资格。</w:t>
      </w:r>
      <w:r>
        <w:rPr>
          <w:rFonts w:hint="eastAsia" w:ascii="微软雅黑" w:hAnsi="微软雅黑" w:eastAsia="微软雅黑" w:cs="微软雅黑"/>
          <w:i w:val="0"/>
          <w:caps w:val="0"/>
          <w:spacing w:val="8"/>
          <w:sz w:val="24"/>
          <w:szCs w:val="24"/>
          <w:bdr w:val="none" w:color="auto" w:sz="0" w:space="0"/>
        </w:rPr>
        <w:t>对国家教育部门承认的正规全日制院校毕业生，所学专业与现从事专业技术工作一致或相近，经单位人事部门对其德能勤绩等进行全面考核，认为合格后，可申请确定相应专业技术资格，具体如下：硕士学位获得者，从事本专业技术工作三年可确定为中级资格；博士学位获得者，可确定为中级资格（具体操作流程见附件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四、实施企业引进人才“直评高级”。</w:t>
      </w:r>
      <w:r>
        <w:rPr>
          <w:rFonts w:hint="eastAsia" w:ascii="微软雅黑" w:hAnsi="微软雅黑" w:eastAsia="微软雅黑" w:cs="微软雅黑"/>
          <w:i w:val="0"/>
          <w:caps w:val="0"/>
          <w:spacing w:val="8"/>
          <w:sz w:val="24"/>
          <w:szCs w:val="24"/>
          <w:bdr w:val="none" w:color="auto" w:sz="0" w:space="0"/>
        </w:rPr>
        <w:t>企业引进的经省、市认定享受高层次人才绿色通道服务待遇的专技人才和博士后人员，可不受申报条件限制，直接申报高级职称（相关文件见附件7）。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五、促进企业技术技能人才融合发展。</w:t>
      </w:r>
      <w:r>
        <w:rPr>
          <w:rFonts w:hint="eastAsia" w:ascii="微软雅黑" w:hAnsi="微软雅黑" w:eastAsia="微软雅黑" w:cs="微软雅黑"/>
          <w:i w:val="0"/>
          <w:caps w:val="0"/>
          <w:spacing w:val="8"/>
          <w:sz w:val="24"/>
          <w:szCs w:val="24"/>
          <w:bdr w:val="none" w:color="auto" w:sz="0" w:space="0"/>
        </w:rPr>
        <w:t>鼓励在企业工程技术生产一线岗位从事技术技能工作，具有高级工及以上职业资格或职业技能等级的高技能人才，参加相对应的工程技术系列职称评审。具有高超技艺技能，取得突出业绩的高技能人才，可不受等级条件及学历资历限制，直接申报相应工程技术职称评审（相关文件见附件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六、开展企业职称自主评审。</w:t>
      </w:r>
      <w:r>
        <w:rPr>
          <w:rFonts w:hint="eastAsia" w:ascii="微软雅黑" w:hAnsi="微软雅黑" w:eastAsia="微软雅黑" w:cs="微软雅黑"/>
          <w:i w:val="0"/>
          <w:caps w:val="0"/>
          <w:spacing w:val="8"/>
          <w:sz w:val="24"/>
          <w:szCs w:val="24"/>
          <w:bdr w:val="none" w:color="auto" w:sz="0" w:space="0"/>
        </w:rPr>
        <w:t>探索在专技人才密集、技术实力较强、内部管理规范的规模以上企业，以及具有相应能力、管理规范的行业协会组建相应专业职称评审委员会，推行企业专技人才职称自主评审。重点向高端装备产业、高端化工产业、新能源产业、新一代信息技术产业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七、加大企业工程师培训力度。</w:t>
      </w:r>
      <w:r>
        <w:rPr>
          <w:rFonts w:hint="eastAsia" w:ascii="微软雅黑" w:hAnsi="微软雅黑" w:eastAsia="微软雅黑" w:cs="微软雅黑"/>
          <w:i w:val="0"/>
          <w:caps w:val="0"/>
          <w:spacing w:val="8"/>
          <w:sz w:val="24"/>
          <w:szCs w:val="24"/>
          <w:bdr w:val="none" w:color="auto" w:sz="0" w:space="0"/>
        </w:rPr>
        <w:t>依托新一轮专业技术人才知识更新工程，鼓励企业加强对专技人才的培养，企业举办的各类脱产、半脱产继续教育培训、进修、研修、专题讲座等培训活动，均可登记继续教育学时。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八、加大企业工程师激励力度。</w:t>
      </w:r>
      <w:r>
        <w:rPr>
          <w:rFonts w:hint="eastAsia" w:ascii="微软雅黑" w:hAnsi="微软雅黑" w:eastAsia="微软雅黑" w:cs="微软雅黑"/>
          <w:i w:val="0"/>
          <w:caps w:val="0"/>
          <w:spacing w:val="8"/>
          <w:sz w:val="24"/>
          <w:szCs w:val="24"/>
          <w:bdr w:val="none" w:color="auto" w:sz="0" w:space="0"/>
        </w:rPr>
        <w:t>积极推荐企业工程师参加市、省或国家级人才项目评选，通过重点关注、梯队培养，培养一批企业自有专家人才。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Style w:val="6"/>
          <w:rFonts w:hint="eastAsia" w:ascii="微软雅黑" w:hAnsi="微软雅黑" w:eastAsia="微软雅黑" w:cs="微软雅黑"/>
          <w:i w:val="0"/>
          <w:caps w:val="0"/>
          <w:spacing w:val="8"/>
          <w:sz w:val="24"/>
          <w:szCs w:val="24"/>
          <w:bdr w:val="none" w:color="auto" w:sz="0" w:space="0"/>
        </w:rPr>
        <w:t>九、通过职业资格考试取得职称。</w:t>
      </w:r>
      <w:r>
        <w:rPr>
          <w:rFonts w:hint="eastAsia" w:ascii="微软雅黑" w:hAnsi="微软雅黑" w:eastAsia="微软雅黑" w:cs="微软雅黑"/>
          <w:i w:val="0"/>
          <w:caps w:val="0"/>
          <w:spacing w:val="8"/>
          <w:sz w:val="24"/>
          <w:szCs w:val="24"/>
          <w:bdr w:val="none" w:color="auto" w:sz="0" w:space="0"/>
        </w:rPr>
        <w:t>按照山东省人力资源和社会保障厅《关于调整部分专业技术类职业资格和职称对应关系的通知》（鲁人社办发〔2023〕11号）规定，专业技术人员取得对应目录中相关专业技术人员职业资格，符合相应职称评价标准条件的，可视同其具备相应系列和层级的职称，并可作为依据申报高一级职称，参加公开招聘、岗位竞聘等。相关单位在办理资质申请、招投标等业务时，职业资格证书可作为已对应的职称证书使用。以上应用场景均无需另发或补发职称证书（相关文件见附件9）。其中2025年度19项工程技术类职业资格考试工作计划见附件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专业技术人员应按年度参加继续教育，每年参加公需科目培训不少于 30学时，专业科目培训不少于60学时。申报参加职称评审时一般应提供连续近五年参加继续教育情况证明。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我县专技人员可登录梁山县技工学校（梁山县）继续教育基地（网址：https://lsx.qzjystudy.com）注册并按年度补学2024年度及之前年度课程。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欢迎各类企业专技人才对职称政策、申报流程等进行咨询，梁山县人社局专技科将为全县专业技术人才提供更加及时、高效、便捷的服务。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咨询电话 ：0537—7360950、7367006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ascii="Calibri" w:hAnsi="Calibri" w:eastAsia="微软雅黑" w:cs="Calibri"/>
          <w:i w:val="0"/>
          <w:caps w:val="0"/>
          <w:color w:val="000000"/>
          <w:spacing w:val="0"/>
          <w:sz w:val="24"/>
          <w:szCs w:val="24"/>
          <w:bdr w:val="none" w:color="auto" w:sz="0" w:space="0"/>
        </w:rPr>
        <w:t>地址：梁山县新城政务中心</w:t>
      </w:r>
      <w:r>
        <w:rPr>
          <w:rFonts w:hint="default" w:ascii="Calibri" w:hAnsi="Calibri" w:eastAsia="微软雅黑" w:cs="Calibri"/>
          <w:i w:val="0"/>
          <w:caps w:val="0"/>
          <w:color w:val="000000"/>
          <w:spacing w:val="0"/>
          <w:sz w:val="24"/>
          <w:szCs w:val="24"/>
          <w:bdr w:val="none" w:color="auto" w:sz="0" w:space="0"/>
        </w:rPr>
        <w:t>3楼3068室（梁山县人力资源和社会保障局专业技术人员管理科）。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caps w:val="0"/>
          <w:spacing w:val="8"/>
          <w:sz w:val="24"/>
          <w:szCs w:val="24"/>
          <w:bdr w:val="none" w:color="auto" w:sz="0" w:space="0"/>
        </w:rPr>
        <w:t>济宁市职称评审申报指南（个人版）、山东省工业和信息化领域工程技术人才高级职称评价标准条件及附件1-10：（识别下图二维码即可查看）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spacing w:val="8"/>
          <w:sz w:val="24"/>
          <w:szCs w:val="24"/>
          <w:bdr w:val="none" w:color="auto" w:sz="0" w:space="0"/>
        </w:rPr>
        <w:drawing>
          <wp:inline distT="0" distB="0" distL="114300" distR="114300">
            <wp:extent cx="3105150" cy="4219575"/>
            <wp:effectExtent l="0" t="0" r="0" b="9525"/>
            <wp:docPr id="48" name="图片 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IMG_257"/>
                    <pic:cNvPicPr>
                      <a:picLocks noChangeAspect="1"/>
                    </pic:cNvPicPr>
                  </pic:nvPicPr>
                  <pic:blipFill>
                    <a:blip r:embed="rId4"/>
                    <a:stretch>
                      <a:fillRect/>
                    </a:stretch>
                  </pic:blipFill>
                  <pic:spPr>
                    <a:xfrm>
                      <a:off x="0" y="0"/>
                      <a:ext cx="3105150" cy="421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pacing w:val="0"/>
          <w:sz w:val="21"/>
          <w:szCs w:val="21"/>
        </w:rPr>
      </w:pPr>
    </w:p>
    <w:p>
      <w:pPr>
        <w:keepNext w:val="0"/>
        <w:keepLines w:val="0"/>
        <w:widowControl/>
        <w:suppressLineNumbers w:val="0"/>
        <w:spacing w:before="0" w:beforeAutospacing="0" w:after="24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rPr>
          <w:rFonts w:hint="eastAsia" w:ascii="微软雅黑" w:hAnsi="微软雅黑" w:eastAsia="微软雅黑" w:cs="微软雅黑"/>
          <w:i w:val="0"/>
          <w:caps w:val="0"/>
          <w:spacing w:val="8"/>
          <w:sz w:val="24"/>
          <w:szCs w:val="24"/>
          <w:u w:val="none"/>
        </w:rPr>
      </w:pPr>
      <w:r>
        <w:rPr>
          <w:rFonts w:hint="eastAsia" w:ascii="微软雅黑" w:hAnsi="微软雅黑" w:eastAsia="微软雅黑" w:cs="微软雅黑"/>
          <w:i w:val="0"/>
          <w:caps w:val="0"/>
          <w:spacing w:val="8"/>
          <w:kern w:val="0"/>
          <w:sz w:val="24"/>
          <w:szCs w:val="24"/>
          <w:u w:val="none"/>
          <w:lang w:val="en-US" w:eastAsia="zh-CN" w:bidi="ar"/>
        </w:rPr>
        <w:drawing>
          <wp:inline distT="0" distB="0" distL="114300" distR="114300">
            <wp:extent cx="952500" cy="952500"/>
            <wp:effectExtent l="0" t="0" r="0" b="0"/>
            <wp:docPr id="47" name="图片 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58"/>
                    <pic:cNvPicPr>
                      <a:picLocks noChangeAspect="1"/>
                    </pic:cNvPicPr>
                  </pic:nvPicPr>
                  <pic:blipFill>
                    <a:blip r:embed="rId5"/>
                    <a:stretch>
                      <a:fillRect/>
                    </a:stretch>
                  </pic:blipFill>
                  <pic:spPr>
                    <a:xfrm>
                      <a:off x="0" y="0"/>
                      <a:ext cx="952500" cy="952500"/>
                    </a:xfrm>
                    <a:prstGeom prst="rect">
                      <a:avLst/>
                    </a:prstGeom>
                    <a:noFill/>
                    <a:ln w="9525">
                      <a:noFill/>
                    </a:ln>
                  </pic:spPr>
                </pic:pic>
              </a:graphicData>
            </a:graphic>
          </wp:inline>
        </w:drawing>
      </w:r>
    </w:p>
    <w:p>
      <w:pPr>
        <w:keepNext w:val="0"/>
        <w:keepLines w:val="0"/>
        <w:widowControl/>
        <w:suppressLineNumbers w:val="0"/>
        <w:pBdr>
          <w:top w:val="none" w:color="auto" w:sz="0" w:space="0"/>
          <w:bottom w:val="none" w:color="auto" w:sz="0" w:space="0"/>
          <w:right w:val="none" w:color="auto" w:sz="0" w:space="0"/>
        </w:pBdr>
        <w:spacing w:before="0" w:beforeAutospacing="0" w:after="0" w:afterAutospacing="0" w:line="18" w:lineRule="atLeast"/>
        <w:ind w:left="0" w:right="0" w:firstLine="0"/>
        <w:jc w:val="left"/>
        <w:rPr>
          <w:rFonts w:hint="eastAsia" w:ascii="微软雅黑" w:hAnsi="微软雅黑" w:eastAsia="微软雅黑" w:cs="微软雅黑"/>
          <w:i w:val="0"/>
          <w:caps w:val="0"/>
          <w:spacing w:val="8"/>
          <w:sz w:val="25"/>
          <w:szCs w:val="25"/>
          <w:u w:val="none"/>
        </w:rPr>
      </w:pPr>
      <w:r>
        <w:rPr>
          <w:rStyle w:val="6"/>
          <w:rFonts w:hint="eastAsia" w:ascii="微软雅黑" w:hAnsi="微软雅黑" w:eastAsia="微软雅黑" w:cs="微软雅黑"/>
          <w:i w:val="0"/>
          <w:caps w:val="0"/>
          <w:spacing w:val="8"/>
          <w:kern w:val="0"/>
          <w:sz w:val="25"/>
          <w:szCs w:val="25"/>
          <w:u w:val="none"/>
          <w:lang w:val="en-US" w:eastAsia="zh-CN" w:bidi="ar"/>
        </w:rPr>
        <w:t>乐业水泊</w:t>
      </w:r>
    </w:p>
    <w:p>
      <w:pPr>
        <w:keepNext w:val="0"/>
        <w:keepLines w:val="0"/>
        <w:widowControl/>
        <w:suppressLineNumbers w:val="0"/>
        <w:pBdr>
          <w:top w:val="none" w:color="auto" w:sz="0" w:space="0"/>
          <w:bottom w:val="none" w:color="auto" w:sz="0" w:space="0"/>
          <w:right w:val="none" w:color="auto" w:sz="0" w:space="0"/>
        </w:pBdr>
        <w:spacing w:before="60" w:beforeAutospacing="0" w:after="0" w:afterAutospacing="0" w:line="21" w:lineRule="atLeast"/>
        <w:ind w:left="0" w:right="0" w:firstLine="0"/>
        <w:jc w:val="left"/>
        <w:rPr>
          <w:rFonts w:hint="eastAsia" w:ascii="微软雅黑" w:hAnsi="微软雅黑" w:eastAsia="微软雅黑" w:cs="微软雅黑"/>
          <w:i w:val="0"/>
          <w:caps w:val="0"/>
          <w:spacing w:val="8"/>
          <w:sz w:val="21"/>
          <w:szCs w:val="21"/>
          <w:u w:val="none"/>
        </w:rPr>
      </w:pPr>
      <w:r>
        <w:rPr>
          <w:rFonts w:hint="eastAsia" w:ascii="微软雅黑" w:hAnsi="微软雅黑" w:eastAsia="微软雅黑" w:cs="微软雅黑"/>
          <w:i w:val="0"/>
          <w:caps w:val="0"/>
          <w:spacing w:val="8"/>
          <w:kern w:val="0"/>
          <w:sz w:val="21"/>
          <w:szCs w:val="21"/>
          <w:u w:val="none"/>
          <w:lang w:val="en-US" w:eastAsia="zh-CN" w:bidi="ar"/>
        </w:rPr>
        <w:t>职业指导，为求职者就业、就业稳定、职业发展和用人单位合理用人提供咨询、指导及帮助。就业创业信息发布，企业招聘、个人求职发布，各类招聘会信息发布，人才招聘、交流等各类活动，就业创业政策宣传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rPr>
          <w:rFonts w:hint="eastAsia" w:ascii="微软雅黑" w:hAnsi="微软雅黑" w:eastAsia="微软雅黑" w:cs="微软雅黑"/>
          <w:i w:val="0"/>
          <w:caps w:val="0"/>
          <w:spacing w:val="8"/>
          <w:sz w:val="21"/>
          <w:szCs w:val="21"/>
          <w:u w:val="none"/>
        </w:rPr>
      </w:pPr>
      <w:r>
        <w:rPr>
          <w:rFonts w:hint="eastAsia" w:ascii="微软雅黑" w:hAnsi="微软雅黑" w:eastAsia="微软雅黑" w:cs="微软雅黑"/>
          <w:i w:val="0"/>
          <w:caps w:val="0"/>
          <w:spacing w:val="8"/>
          <w:kern w:val="0"/>
          <w:sz w:val="21"/>
          <w:szCs w:val="21"/>
          <w:u w:val="none"/>
          <w:bdr w:val="none" w:color="auto" w:sz="0" w:space="0"/>
          <w:lang w:val="en-US" w:eastAsia="zh-CN" w:bidi="ar"/>
        </w:rPr>
        <w:t>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rPr>
          <w:rFonts w:hint="eastAsia" w:ascii="微软雅黑" w:hAnsi="微软雅黑" w:eastAsia="微软雅黑" w:cs="微软雅黑"/>
          <w:i w:val="0"/>
          <w:caps w:val="0"/>
          <w:spacing w:val="0"/>
          <w:sz w:val="21"/>
          <w:szCs w:val="21"/>
        </w:rPr>
      </w:pPr>
      <w:r>
        <w:rPr>
          <w:rFonts w:hint="eastAsia" w:ascii="微软雅黑" w:hAnsi="微软雅黑" w:eastAsia="微软雅黑" w:cs="微软雅黑"/>
          <w:i w:val="0"/>
          <w:caps w:val="0"/>
          <w:spacing w:val="0"/>
          <w:kern w:val="0"/>
          <w:sz w:val="21"/>
          <w:szCs w:val="21"/>
          <w:bdr w:val="none" w:color="auto" w:sz="0" w:space="0"/>
          <w:lang w:val="en-US" w:eastAsia="zh-CN" w:bidi="ar"/>
        </w:rPr>
        <w:t>阅读 964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spacing w:val="8"/>
          <w:sz w:val="0"/>
          <w:szCs w:val="0"/>
        </w:rPr>
      </w:pPr>
      <w:r>
        <w:rPr>
          <w:rFonts w:hint="eastAsia" w:ascii="微软雅黑" w:hAnsi="微软雅黑" w:eastAsia="微软雅黑" w:cs="微软雅黑"/>
          <w:i w:val="0"/>
          <w:caps w:val="0"/>
          <w:spacing w:val="8"/>
          <w:kern w:val="0"/>
          <w:sz w:val="0"/>
          <w:szCs w:val="0"/>
          <w:bdr w:val="none" w:color="auto" w:sz="0" w:space="0"/>
          <w:shd w:val="clear" w:fill="FFFFFF"/>
          <w:lang w:val="en-US" w:eastAsia="zh-CN" w:bidi="ar"/>
        </w:rPr>
        <w:t>​</w:t>
      </w:r>
    </w:p>
    <w:p>
      <w:pPr>
        <w:keepNext w:val="0"/>
        <w:keepLines w:val="0"/>
        <w:widowControl/>
        <w:suppressLineNumbers w:val="0"/>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87A3B"/>
    <w:rsid w:val="2A7C34B9"/>
    <w:rsid w:val="34586723"/>
    <w:rsid w:val="41927338"/>
    <w:rsid w:val="70B65BA8"/>
    <w:rsid w:val="76856FBF"/>
    <w:rsid w:val="7A76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2025-05-13T06:32:18Z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