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7E642">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梁山县文化和旅游局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14:paraId="23F18482">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14:paraId="1F9DC5BD">
      <w:pPr>
        <w:spacing w:line="590" w:lineRule="exact"/>
        <w:ind w:right="-100" w:rightChars="-50" w:firstLine="643" w:firstLineChars="200"/>
        <w:rPr>
          <w:rFonts w:ascii="方正仿宋简体" w:eastAsia="方正仿宋简体"/>
          <w:b/>
          <w:color w:val="000000"/>
          <w:sz w:val="32"/>
          <w:szCs w:val="32"/>
        </w:rPr>
      </w:pPr>
    </w:p>
    <w:p w14:paraId="153AC254">
      <w:pPr>
        <w:spacing w:line="590" w:lineRule="exact"/>
        <w:ind w:right="-100" w:rightChars="-50" w:firstLine="643" w:firstLineChars="200"/>
        <w:rPr>
          <w:rFonts w:hint="eastAsia" w:ascii="方正仿宋简体" w:eastAsia="方正仿宋简体"/>
          <w:b/>
          <w:color w:val="000000"/>
          <w:kern w:val="2"/>
          <w:sz w:val="32"/>
          <w:szCs w:val="32"/>
        </w:rPr>
      </w:pPr>
      <w:r>
        <w:rPr>
          <w:rFonts w:hint="eastAsia" w:ascii="方正仿宋简体" w:eastAsia="方正仿宋简体"/>
          <w:b/>
          <w:color w:val="000000"/>
          <w:kern w:val="2"/>
          <w:sz w:val="32"/>
          <w:szCs w:val="32"/>
        </w:rPr>
        <w:t>本报告由</w:t>
      </w:r>
      <w:r>
        <w:rPr>
          <w:rFonts w:hint="eastAsia" w:ascii="方正仿宋简体" w:eastAsia="方正仿宋简体"/>
          <w:b/>
          <w:color w:val="000000"/>
          <w:kern w:val="2"/>
          <w:sz w:val="32"/>
          <w:szCs w:val="32"/>
          <w:lang w:eastAsia="zh-CN"/>
        </w:rPr>
        <w:t>梁山县文化和旅游局</w:t>
      </w:r>
      <w:r>
        <w:rPr>
          <w:rFonts w:hint="eastAsia" w:ascii="方正仿宋简体" w:eastAsia="方正仿宋简体"/>
          <w:b/>
          <w:color w:val="000000"/>
          <w:kern w:val="2"/>
          <w:sz w:val="32"/>
          <w:szCs w:val="32"/>
        </w:rPr>
        <w:t>按照《中华人民共和国政府信息公开条例》（以下简称《条例》）和《中华人民共和国政府信息公开工作年度报告格式》（国办公开办函〔2021〕30号）要求编制。</w:t>
      </w:r>
    </w:p>
    <w:p w14:paraId="2E42EC3B">
      <w:pPr>
        <w:spacing w:line="590" w:lineRule="exact"/>
        <w:ind w:right="-100" w:rightChars="-50" w:firstLine="643" w:firstLineChars="200"/>
        <w:rPr>
          <w:rFonts w:hint="eastAsia" w:ascii="方正仿宋简体" w:eastAsia="方正仿宋简体"/>
          <w:b/>
          <w:color w:val="000000"/>
          <w:kern w:val="2"/>
          <w:sz w:val="32"/>
          <w:szCs w:val="32"/>
        </w:rPr>
      </w:pPr>
      <w:r>
        <w:rPr>
          <w:rFonts w:hint="eastAsia" w:ascii="方正仿宋简体" w:eastAsia="方正仿宋简体"/>
          <w:b/>
          <w:color w:val="000000"/>
          <w:kern w:val="2"/>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6D41400">
      <w:pPr>
        <w:spacing w:line="590" w:lineRule="exact"/>
        <w:ind w:right="-100" w:rightChars="-50" w:firstLine="643" w:firstLineChars="200"/>
        <w:rPr>
          <w:rFonts w:hint="eastAsia" w:ascii="方正仿宋简体" w:eastAsia="方正仿宋简体"/>
          <w:b/>
          <w:color w:val="000000"/>
          <w:kern w:val="2"/>
          <w:sz w:val="32"/>
          <w:szCs w:val="32"/>
        </w:rPr>
      </w:pPr>
      <w:r>
        <w:rPr>
          <w:rFonts w:hint="eastAsia" w:ascii="方正仿宋简体" w:eastAsia="方正仿宋简体"/>
          <w:b/>
          <w:color w:val="000000"/>
          <w:kern w:val="2"/>
          <w:sz w:val="32"/>
          <w:szCs w:val="32"/>
        </w:rPr>
        <w:t>本报告所列数据的统计期限自202</w:t>
      </w:r>
      <w:r>
        <w:rPr>
          <w:rFonts w:hint="eastAsia" w:ascii="方正仿宋简体" w:eastAsia="方正仿宋简体"/>
          <w:b/>
          <w:color w:val="000000"/>
          <w:kern w:val="2"/>
          <w:sz w:val="32"/>
          <w:szCs w:val="32"/>
          <w:lang w:val="en-US" w:eastAsia="zh-CN"/>
        </w:rPr>
        <w:t>4</w:t>
      </w:r>
      <w:r>
        <w:rPr>
          <w:rFonts w:hint="eastAsia" w:ascii="方正仿宋简体" w:eastAsia="方正仿宋简体"/>
          <w:b/>
          <w:color w:val="000000"/>
          <w:kern w:val="2"/>
          <w:sz w:val="32"/>
          <w:szCs w:val="32"/>
        </w:rPr>
        <w:t>年1月1日起至202</w:t>
      </w:r>
      <w:r>
        <w:rPr>
          <w:rFonts w:hint="eastAsia" w:ascii="方正仿宋简体" w:eastAsia="方正仿宋简体"/>
          <w:b/>
          <w:color w:val="000000"/>
          <w:kern w:val="2"/>
          <w:sz w:val="32"/>
          <w:szCs w:val="32"/>
          <w:lang w:val="en-US" w:eastAsia="zh-CN"/>
        </w:rPr>
        <w:t>4</w:t>
      </w:r>
      <w:r>
        <w:rPr>
          <w:rFonts w:hint="eastAsia" w:ascii="方正仿宋简体" w:eastAsia="方正仿宋简体"/>
          <w:b/>
          <w:color w:val="000000"/>
          <w:kern w:val="2"/>
          <w:sz w:val="32"/>
          <w:szCs w:val="32"/>
        </w:rPr>
        <w:t>年12月31日止。本报告电子版可在</w:t>
      </w:r>
      <w:r>
        <w:rPr>
          <w:rFonts w:hint="eastAsia" w:ascii="方正仿宋简体" w:eastAsia="方正仿宋简体"/>
          <w:b/>
          <w:color w:val="000000"/>
          <w:kern w:val="2"/>
          <w:sz w:val="32"/>
          <w:szCs w:val="32"/>
          <w:lang w:eastAsia="zh-CN"/>
        </w:rPr>
        <w:t>梁山县</w:t>
      </w:r>
      <w:r>
        <w:rPr>
          <w:rFonts w:hint="eastAsia" w:ascii="方正仿宋简体" w:eastAsia="方正仿宋简体"/>
          <w:b/>
          <w:color w:val="000000"/>
          <w:kern w:val="2"/>
          <w:sz w:val="32"/>
          <w:szCs w:val="32"/>
        </w:rPr>
        <w:t>政府门户网站（具体网址）查阅或下载。如对本报告有疑问，请与</w:t>
      </w:r>
      <w:r>
        <w:rPr>
          <w:rFonts w:hint="eastAsia" w:ascii="方正仿宋简体" w:eastAsia="方正仿宋简体"/>
          <w:b/>
          <w:color w:val="000000"/>
          <w:kern w:val="2"/>
          <w:sz w:val="32"/>
          <w:szCs w:val="32"/>
          <w:lang w:eastAsia="zh-CN"/>
        </w:rPr>
        <w:t>梁山县文化和旅游局</w:t>
      </w:r>
      <w:r>
        <w:rPr>
          <w:rFonts w:hint="eastAsia" w:ascii="方正仿宋简体" w:eastAsia="方正仿宋简体"/>
          <w:b/>
          <w:color w:val="000000"/>
          <w:kern w:val="2"/>
          <w:sz w:val="32"/>
          <w:szCs w:val="32"/>
        </w:rPr>
        <w:t>联系（地址：</w:t>
      </w:r>
      <w:r>
        <w:rPr>
          <w:rFonts w:hint="eastAsia" w:ascii="方正仿宋简体" w:eastAsia="方正仿宋简体"/>
          <w:b/>
          <w:color w:val="000000"/>
          <w:kern w:val="2"/>
          <w:sz w:val="32"/>
          <w:szCs w:val="32"/>
          <w:lang w:val="en-US" w:eastAsia="zh-CN"/>
        </w:rPr>
        <w:t>梁山县新城办公区四号楼3010室</w:t>
      </w:r>
      <w:r>
        <w:rPr>
          <w:rFonts w:hint="eastAsia" w:ascii="方正仿宋简体" w:eastAsia="方正仿宋简体"/>
          <w:b/>
          <w:color w:val="000000"/>
          <w:kern w:val="2"/>
          <w:sz w:val="32"/>
          <w:szCs w:val="32"/>
        </w:rPr>
        <w:t>，联系电话：0537-</w:t>
      </w:r>
      <w:r>
        <w:rPr>
          <w:rFonts w:hint="eastAsia" w:ascii="方正仿宋简体" w:eastAsia="方正仿宋简体"/>
          <w:b/>
          <w:color w:val="000000"/>
          <w:kern w:val="2"/>
          <w:sz w:val="32"/>
          <w:szCs w:val="32"/>
          <w:lang w:val="en-US" w:eastAsia="zh-CN"/>
        </w:rPr>
        <w:t>7322482</w:t>
      </w:r>
      <w:r>
        <w:rPr>
          <w:rFonts w:hint="eastAsia" w:ascii="方正仿宋简体" w:eastAsia="方正仿宋简体"/>
          <w:b/>
          <w:color w:val="000000"/>
          <w:kern w:val="2"/>
          <w:sz w:val="32"/>
          <w:szCs w:val="32"/>
        </w:rPr>
        <w:t>）。</w:t>
      </w:r>
    </w:p>
    <w:p w14:paraId="1E330ACD">
      <w:pPr>
        <w:numPr>
          <w:ilvl w:val="0"/>
          <w:numId w:val="1"/>
        </w:num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14:paraId="39CAF09C">
      <w:pPr>
        <w:pStyle w:val="7"/>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w:t>
      </w:r>
      <w:r>
        <w:rPr>
          <w:rFonts w:hint="eastAsia" w:ascii="方正仿宋简体" w:hAnsi="Times New Roman" w:eastAsia="方正仿宋简体" w:cs="Times New Roman"/>
          <w:b/>
          <w:color w:val="000000"/>
          <w:kern w:val="2"/>
          <w:sz w:val="32"/>
          <w:szCs w:val="32"/>
          <w:lang w:val="en-US" w:eastAsia="zh-CN" w:bidi="ar-SA"/>
        </w:rPr>
        <w:t>024年，梁山县文化和旅游局坚持以习近平新时代中国特色社会主义思想为指导，按照省、市、县关于政府信息公开工作的统一部署，认真贯彻落实《中华人民共和国政府信息公开条例》和《梁山县人民政府办公室关于做好2024年政府信息公开年度报告编制和发布工作的通知》的各项工作要求，将政务公开与业务工作紧密结合，积极为公众提供优质文旅政务及信息服务，促进梁山文旅事业健康、有序发展。</w:t>
      </w:r>
    </w:p>
    <w:p w14:paraId="7F829862">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14:paraId="760611A9">
      <w:pPr>
        <w:spacing w:line="590" w:lineRule="exact"/>
        <w:ind w:right="-100" w:rightChars="-50" w:firstLine="643" w:firstLineChars="200"/>
        <w:rPr>
          <w:rFonts w:hint="eastAsia" w:ascii="方正仿宋简体" w:eastAsia="方正仿宋简体"/>
          <w:b/>
          <w:color w:val="000000"/>
          <w:kern w:val="2"/>
          <w:sz w:val="32"/>
          <w:szCs w:val="32"/>
        </w:rPr>
      </w:pPr>
      <w:r>
        <w:rPr>
          <w:rFonts w:hint="eastAsia" w:ascii="方正仿宋简体" w:eastAsia="方正仿宋简体"/>
          <w:b/>
          <w:color w:val="000000"/>
          <w:kern w:val="2"/>
          <w:sz w:val="32"/>
          <w:szCs w:val="32"/>
          <w:lang w:val="en-US" w:eastAsia="zh-CN"/>
        </w:rPr>
        <w:t>2024年1月1日至2024年12月31日，我单位共公开各类政务信息63条，其中政府采购信息1条，财政预算信息1条，重点领域信息43条，建议提案公开信息9条，法治政府建设工作专栏信息1条，行政执法公示专栏信息8条。</w:t>
      </w:r>
    </w:p>
    <w:p w14:paraId="467B664A">
      <w:pPr>
        <w:pStyle w:val="7"/>
        <w:ind w:left="0" w:leftChars="0" w:firstLine="0" w:firstLineChars="0"/>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5FB7E2A">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14:paraId="7B0BB952">
      <w:pPr>
        <w:spacing w:line="590" w:lineRule="exact"/>
        <w:ind w:right="-100" w:rightChars="-50" w:firstLine="643" w:firstLineChars="200"/>
        <w:rPr>
          <w:rFonts w:hint="eastAsia" w:ascii="方正仿宋简体" w:eastAsia="方正仿宋简体"/>
          <w:b/>
          <w:color w:val="000000"/>
          <w:kern w:val="2"/>
          <w:sz w:val="32"/>
          <w:szCs w:val="32"/>
          <w:lang w:val="en-US" w:eastAsia="zh-CN"/>
        </w:rPr>
      </w:pPr>
      <w:r>
        <w:rPr>
          <w:rFonts w:hint="eastAsia" w:ascii="方正仿宋简体" w:eastAsia="方正仿宋简体"/>
          <w:b/>
          <w:color w:val="000000"/>
          <w:kern w:val="2"/>
          <w:sz w:val="32"/>
          <w:szCs w:val="32"/>
          <w:lang w:val="en-US" w:eastAsia="zh-CN"/>
        </w:rPr>
        <w:t>2024年梁山县文化和旅游局未收到政府信息公开申请。</w:t>
      </w:r>
    </w:p>
    <w:p w14:paraId="5EBD061D">
      <w:pPr>
        <w:spacing w:line="590" w:lineRule="exact"/>
        <w:ind w:right="-100" w:rightChars="-50" w:firstLine="643" w:firstLineChars="200"/>
        <w:rPr>
          <w:rFonts w:hint="eastAsia" w:ascii="方正仿宋简体" w:eastAsia="方正仿宋简体"/>
          <w:b/>
          <w:color w:val="000000"/>
          <w:kern w:val="2"/>
          <w:sz w:val="32"/>
          <w:szCs w:val="32"/>
          <w:lang w:val="en-US" w:eastAsia="zh-CN"/>
        </w:rPr>
      </w:pPr>
      <w:r>
        <w:rPr>
          <w:rFonts w:hint="eastAsia" w:ascii="方正楷体简体" w:eastAsia="方正楷体简体"/>
          <w:b/>
          <w:color w:val="000000" w:themeColor="text1"/>
          <w:sz w:val="32"/>
          <w:szCs w:val="32"/>
          <w14:textFill>
            <w14:solidFill>
              <w14:schemeClr w14:val="tx1"/>
            </w14:solidFill>
          </w14:textFill>
        </w:rPr>
        <w:t>（三）政府信息管理情况</w:t>
      </w:r>
    </w:p>
    <w:p w14:paraId="6C7A2E3B">
      <w:pPr>
        <w:spacing w:line="590" w:lineRule="exact"/>
        <w:ind w:right="-100" w:rightChars="-50" w:firstLine="643" w:firstLineChars="200"/>
        <w:rPr>
          <w:rFonts w:hint="eastAsia" w:ascii="方正仿宋简体" w:eastAsia="方正仿宋简体"/>
          <w:b/>
          <w:color w:val="000000"/>
          <w:kern w:val="2"/>
          <w:sz w:val="32"/>
          <w:szCs w:val="32"/>
          <w:lang w:val="en-US" w:eastAsia="zh-CN"/>
        </w:rPr>
      </w:pPr>
      <w:r>
        <w:rPr>
          <w:rFonts w:hint="eastAsia" w:ascii="方正仿宋简体" w:eastAsia="方正仿宋简体"/>
          <w:b/>
          <w:color w:val="000000"/>
          <w:kern w:val="2"/>
          <w:sz w:val="32"/>
          <w:szCs w:val="32"/>
          <w:lang w:val="en-US" w:eastAsia="zh-CN"/>
        </w:rPr>
        <w:t>一是严格把控信息发布质量：全面深化政府信息发布审核机制的落实，严格执行三级审核制度。所有信息遵循“先审后发、授权发布”的原则，从信息的准确性、完整性到表述的规范性，均进行严格把关，力求为公众呈现高质量、无差错的信息内容。二是优化政务公开责任体系：秉持 “谁主管谁负责、谁公开谁审查”以及“涉密信息不上网、上网信息不涉密”的基本原则，构建起一套层次清晰、责任明确的分级负责体系。</w:t>
      </w:r>
    </w:p>
    <w:p w14:paraId="51B05347">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14:paraId="5D01E846">
      <w:pPr>
        <w:spacing w:line="590" w:lineRule="exact"/>
        <w:ind w:right="-100" w:rightChars="-50" w:firstLine="643" w:firstLineChars="200"/>
        <w:rPr>
          <w:rFonts w:hint="eastAsia" w:ascii="方正仿宋简体" w:eastAsia="方正仿宋简体"/>
          <w:b/>
          <w:color w:val="000000"/>
          <w:kern w:val="2"/>
          <w:sz w:val="32"/>
          <w:szCs w:val="32"/>
          <w:lang w:val="en-US" w:eastAsia="zh-CN"/>
        </w:rPr>
      </w:pPr>
      <w:r>
        <w:rPr>
          <w:rFonts w:hint="eastAsia" w:ascii="方正仿宋简体" w:eastAsia="方正仿宋简体"/>
          <w:b/>
          <w:color w:val="000000"/>
          <w:kern w:val="2"/>
          <w:sz w:val="32"/>
          <w:szCs w:val="32"/>
          <w:lang w:val="en-US" w:eastAsia="zh-CN"/>
        </w:rPr>
        <w:t>根据</w:t>
      </w:r>
      <w:r>
        <w:rPr>
          <w:rFonts w:hint="default" w:ascii="方正仿宋简体" w:eastAsia="方正仿宋简体"/>
          <w:b/>
          <w:color w:val="000000"/>
          <w:kern w:val="2"/>
          <w:sz w:val="32"/>
          <w:szCs w:val="32"/>
          <w:lang w:val="en-US" w:eastAsia="zh-CN"/>
        </w:rPr>
        <w:t>2024</w:t>
      </w:r>
      <w:r>
        <w:rPr>
          <w:rFonts w:hint="eastAsia" w:ascii="方正仿宋简体" w:eastAsia="方正仿宋简体"/>
          <w:b/>
          <w:color w:val="000000"/>
          <w:kern w:val="2"/>
          <w:sz w:val="32"/>
          <w:szCs w:val="32"/>
          <w:lang w:val="en-US" w:eastAsia="zh-CN"/>
        </w:rPr>
        <w:t>年政务公开工作最新要求，对政务公开网站公开目录及栏目进行调整，进一步完善公共文化服务等重点领域公开栏目，并对专栏内容进行及时更新维护 。</w:t>
      </w:r>
    </w:p>
    <w:p w14:paraId="5AD0D3D1">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14:paraId="1046C85C">
      <w:pPr>
        <w:spacing w:line="590" w:lineRule="exact"/>
        <w:ind w:right="-100" w:rightChars="-50" w:firstLine="643" w:firstLineChars="200"/>
        <w:rPr>
          <w:rFonts w:hint="eastAsia" w:ascii="方正仿宋简体" w:eastAsia="方正仿宋简体"/>
          <w:b/>
          <w:color w:val="000000"/>
          <w:kern w:val="2"/>
          <w:sz w:val="32"/>
          <w:szCs w:val="32"/>
          <w:lang w:val="en-US" w:eastAsia="zh-CN"/>
        </w:rPr>
      </w:pPr>
      <w:r>
        <w:rPr>
          <w:rFonts w:hint="eastAsia" w:ascii="方正仿宋简体" w:eastAsia="方正仿宋简体"/>
          <w:b/>
          <w:color w:val="000000"/>
          <w:kern w:val="2"/>
          <w:sz w:val="32"/>
          <w:szCs w:val="32"/>
        </w:rPr>
        <w:t>在组织领导方面，成立了以局长为组长的政务公开领导小组，定期召开专题会议，部署推进各项任务，确保责任落实到人。制度建设上，进一步完善了信息发布审核、依申请公开办理、保密审查等多项制度，明确了信息公开的规范和流程，确保公开内容严谨准确、合法合规。监督考核机制不断强化，将政务公开纳入内部年度绩效考核指标，定期对各科室信息发布的数量、质量、时效等进行检查评估，对发现的问题及时督促整改。</w:t>
      </w:r>
    </w:p>
    <w:p w14:paraId="1BC72111">
      <w:pPr>
        <w:spacing w:line="590" w:lineRule="exact"/>
        <w:ind w:right="-100" w:rightChars="-50" w:firstLine="643" w:firstLineChars="200"/>
        <w:rPr>
          <w:rFonts w:hint="eastAsia" w:ascii="方正黑体简体" w:eastAsia="方正黑体简体"/>
          <w:b/>
          <w:color w:val="000000"/>
          <w:kern w:val="2"/>
          <w:sz w:val="32"/>
          <w:szCs w:val="32"/>
          <w:lang w:val="en-US" w:eastAsia="zh-CN"/>
        </w:rPr>
      </w:pPr>
      <w:r>
        <w:rPr>
          <w:rFonts w:hint="eastAsia" w:ascii="方正黑体简体" w:eastAsia="方正黑体简体"/>
          <w:b/>
          <w:color w:val="000000"/>
          <w:kern w:val="2"/>
          <w:sz w:val="32"/>
          <w:szCs w:val="32"/>
          <w:lang w:val="en-US" w:eastAsia="zh-CN"/>
        </w:rPr>
        <w:t>二、主动公开政府信息情况</w:t>
      </w:r>
    </w:p>
    <w:tbl>
      <w:tblPr>
        <w:tblStyle w:val="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14:paraId="46D4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14:paraId="2257C88F">
            <w:pPr>
              <w:widowControl/>
              <w:spacing w:line="340" w:lineRule="exact"/>
              <w:jc w:val="center"/>
              <w:rPr>
                <w:rFonts w:ascii="方正黑体简体" w:eastAsia="方正黑体简体"/>
                <w:b/>
                <w:color w:val="auto"/>
                <w:sz w:val="24"/>
                <w:szCs w:val="24"/>
              </w:rPr>
            </w:pPr>
            <w:r>
              <w:rPr>
                <w:rFonts w:hint="eastAsia" w:ascii="方正黑体简体" w:hAnsi="宋体" w:eastAsia="方正黑体简体" w:cs="宋体"/>
                <w:b/>
                <w:color w:val="auto"/>
                <w:sz w:val="24"/>
                <w:szCs w:val="24"/>
                <w:lang w:bidi="ar"/>
              </w:rPr>
              <w:t>第二十条第（一）项</w:t>
            </w:r>
          </w:p>
        </w:tc>
      </w:tr>
      <w:tr w14:paraId="2AB9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79C34DE4">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2133" w:type="dxa"/>
            <w:shd w:val="clear" w:color="auto" w:fill="auto"/>
            <w:tcMar>
              <w:left w:w="57" w:type="dxa"/>
              <w:right w:w="57" w:type="dxa"/>
            </w:tcMar>
            <w:vAlign w:val="center"/>
          </w:tcPr>
          <w:p w14:paraId="05E261D0">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本年制发件数</w:t>
            </w:r>
          </w:p>
        </w:tc>
        <w:tc>
          <w:tcPr>
            <w:tcW w:w="2216" w:type="dxa"/>
            <w:shd w:val="clear" w:color="auto" w:fill="auto"/>
            <w:tcMar>
              <w:left w:w="57" w:type="dxa"/>
              <w:right w:w="57" w:type="dxa"/>
            </w:tcMar>
            <w:vAlign w:val="center"/>
          </w:tcPr>
          <w:p w14:paraId="03372D18">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本年废止件数</w:t>
            </w:r>
          </w:p>
        </w:tc>
        <w:tc>
          <w:tcPr>
            <w:tcW w:w="1989" w:type="dxa"/>
            <w:shd w:val="clear" w:color="auto" w:fill="auto"/>
            <w:tcMar>
              <w:left w:w="57" w:type="dxa"/>
              <w:right w:w="57" w:type="dxa"/>
            </w:tcMar>
            <w:vAlign w:val="center"/>
          </w:tcPr>
          <w:p w14:paraId="4F4BEF17">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现行有效件数</w:t>
            </w:r>
          </w:p>
        </w:tc>
      </w:tr>
      <w:tr w14:paraId="4863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092893BA">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规章</w:t>
            </w:r>
          </w:p>
        </w:tc>
        <w:tc>
          <w:tcPr>
            <w:tcW w:w="2133" w:type="dxa"/>
            <w:shd w:val="clear" w:color="auto" w:fill="auto"/>
            <w:tcMar>
              <w:left w:w="57" w:type="dxa"/>
              <w:right w:w="57" w:type="dxa"/>
            </w:tcMar>
            <w:vAlign w:val="center"/>
          </w:tcPr>
          <w:p w14:paraId="2358E4F7">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宋体" w:eastAsia="方正仿宋简体" w:cs="宋体"/>
                <w:b/>
                <w:color w:val="auto"/>
                <w:sz w:val="24"/>
                <w:szCs w:val="24"/>
                <w:lang w:val="en-US" w:eastAsia="zh-CN" w:bidi="ar"/>
              </w:rPr>
              <w:t>0</w:t>
            </w:r>
          </w:p>
        </w:tc>
        <w:tc>
          <w:tcPr>
            <w:tcW w:w="2216" w:type="dxa"/>
            <w:shd w:val="clear" w:color="auto" w:fill="auto"/>
            <w:tcMar>
              <w:left w:w="57" w:type="dxa"/>
              <w:right w:w="57" w:type="dxa"/>
            </w:tcMar>
            <w:vAlign w:val="center"/>
          </w:tcPr>
          <w:p w14:paraId="1F3E0C41">
            <w:pPr>
              <w:widowControl/>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c>
          <w:tcPr>
            <w:tcW w:w="1989" w:type="dxa"/>
            <w:shd w:val="clear" w:color="auto" w:fill="auto"/>
            <w:tcMar>
              <w:left w:w="57" w:type="dxa"/>
              <w:right w:w="57" w:type="dxa"/>
            </w:tcMar>
            <w:vAlign w:val="center"/>
          </w:tcPr>
          <w:p w14:paraId="7C09E7B2">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r w14:paraId="3754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4C7117A7">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行政规范性文件</w:t>
            </w:r>
          </w:p>
        </w:tc>
        <w:tc>
          <w:tcPr>
            <w:tcW w:w="2133" w:type="dxa"/>
            <w:shd w:val="clear" w:color="auto" w:fill="auto"/>
            <w:tcMar>
              <w:left w:w="57" w:type="dxa"/>
              <w:right w:w="57" w:type="dxa"/>
            </w:tcMar>
            <w:vAlign w:val="center"/>
          </w:tcPr>
          <w:p w14:paraId="36CF1378">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宋体" w:eastAsia="方正仿宋简体" w:cs="宋体"/>
                <w:b/>
                <w:color w:val="auto"/>
                <w:sz w:val="24"/>
                <w:szCs w:val="24"/>
                <w:lang w:val="en-US" w:eastAsia="zh-CN" w:bidi="ar"/>
              </w:rPr>
              <w:t>0</w:t>
            </w:r>
          </w:p>
        </w:tc>
        <w:tc>
          <w:tcPr>
            <w:tcW w:w="2216" w:type="dxa"/>
            <w:shd w:val="clear" w:color="auto" w:fill="auto"/>
            <w:tcMar>
              <w:left w:w="57" w:type="dxa"/>
              <w:right w:w="57" w:type="dxa"/>
            </w:tcMar>
            <w:vAlign w:val="center"/>
          </w:tcPr>
          <w:p w14:paraId="4A06C120">
            <w:pPr>
              <w:widowControl/>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c>
          <w:tcPr>
            <w:tcW w:w="1989" w:type="dxa"/>
            <w:shd w:val="clear" w:color="auto" w:fill="auto"/>
            <w:tcMar>
              <w:left w:w="57" w:type="dxa"/>
              <w:right w:w="57" w:type="dxa"/>
            </w:tcMar>
            <w:vAlign w:val="center"/>
          </w:tcPr>
          <w:p w14:paraId="5F8CEC28">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r w14:paraId="36C1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14:paraId="6793F11C">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第二十条第（五）项</w:t>
            </w:r>
          </w:p>
        </w:tc>
      </w:tr>
      <w:tr w14:paraId="7261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26725012">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6338" w:type="dxa"/>
            <w:gridSpan w:val="3"/>
            <w:shd w:val="clear" w:color="auto" w:fill="auto"/>
            <w:tcMar>
              <w:left w:w="57" w:type="dxa"/>
              <w:right w:w="57" w:type="dxa"/>
            </w:tcMar>
            <w:vAlign w:val="center"/>
          </w:tcPr>
          <w:p w14:paraId="3FAC77F6">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本年处理决定数量</w:t>
            </w:r>
          </w:p>
        </w:tc>
      </w:tr>
      <w:tr w14:paraId="4115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1CE67A38">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行政许可</w:t>
            </w:r>
          </w:p>
        </w:tc>
        <w:tc>
          <w:tcPr>
            <w:tcW w:w="6338" w:type="dxa"/>
            <w:gridSpan w:val="3"/>
            <w:shd w:val="clear" w:color="auto" w:fill="auto"/>
            <w:tcMar>
              <w:left w:w="57" w:type="dxa"/>
              <w:right w:w="57" w:type="dxa"/>
            </w:tcMar>
            <w:vAlign w:val="center"/>
          </w:tcPr>
          <w:p w14:paraId="46AC120C">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Calibri" w:eastAsia="方正仿宋简体" w:cs="Calibri"/>
                <w:b/>
                <w:color w:val="auto"/>
                <w:sz w:val="24"/>
                <w:szCs w:val="24"/>
                <w:lang w:val="en-US" w:eastAsia="zh-CN" w:bidi="ar"/>
              </w:rPr>
              <w:t>0</w:t>
            </w:r>
          </w:p>
        </w:tc>
      </w:tr>
      <w:tr w14:paraId="3628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14:paraId="6FA09902">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第二十条第（六）项</w:t>
            </w:r>
          </w:p>
        </w:tc>
      </w:tr>
      <w:tr w14:paraId="1CD1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3BC806BB">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6338" w:type="dxa"/>
            <w:gridSpan w:val="3"/>
            <w:shd w:val="clear" w:color="auto" w:fill="auto"/>
            <w:tcMar>
              <w:left w:w="57" w:type="dxa"/>
              <w:right w:w="57" w:type="dxa"/>
            </w:tcMar>
            <w:vAlign w:val="center"/>
          </w:tcPr>
          <w:p w14:paraId="75C93589">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本年处理决定数量</w:t>
            </w:r>
          </w:p>
        </w:tc>
      </w:tr>
      <w:tr w14:paraId="0E5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77BD1A4D">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行政处罚</w:t>
            </w:r>
          </w:p>
        </w:tc>
        <w:tc>
          <w:tcPr>
            <w:tcW w:w="6338" w:type="dxa"/>
            <w:gridSpan w:val="3"/>
            <w:shd w:val="clear" w:color="auto" w:fill="auto"/>
            <w:tcMar>
              <w:left w:w="57" w:type="dxa"/>
              <w:right w:w="57" w:type="dxa"/>
            </w:tcMar>
            <w:vAlign w:val="center"/>
          </w:tcPr>
          <w:p w14:paraId="3CCF5745">
            <w:pPr>
              <w:widowControl/>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25</w:t>
            </w:r>
          </w:p>
        </w:tc>
      </w:tr>
      <w:tr w14:paraId="10BF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667A037E">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行政强制</w:t>
            </w:r>
          </w:p>
        </w:tc>
        <w:tc>
          <w:tcPr>
            <w:tcW w:w="6338" w:type="dxa"/>
            <w:gridSpan w:val="3"/>
            <w:shd w:val="clear" w:color="auto" w:fill="auto"/>
            <w:tcMar>
              <w:left w:w="57" w:type="dxa"/>
              <w:right w:w="57" w:type="dxa"/>
            </w:tcMar>
            <w:vAlign w:val="center"/>
          </w:tcPr>
          <w:p w14:paraId="7B33BA18">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宋体" w:eastAsia="方正仿宋简体" w:cs="宋体"/>
                <w:b/>
                <w:color w:val="auto"/>
                <w:sz w:val="24"/>
                <w:szCs w:val="24"/>
                <w:lang w:val="en-US" w:eastAsia="zh-CN" w:bidi="ar"/>
              </w:rPr>
              <w:t>0</w:t>
            </w:r>
          </w:p>
        </w:tc>
      </w:tr>
      <w:tr w14:paraId="34FB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14:paraId="71F3A36E">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第二十条第（八）项</w:t>
            </w:r>
          </w:p>
        </w:tc>
      </w:tr>
      <w:tr w14:paraId="2DCC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7E954744">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6338" w:type="dxa"/>
            <w:gridSpan w:val="3"/>
            <w:shd w:val="clear" w:color="auto" w:fill="auto"/>
            <w:tcMar>
              <w:left w:w="57" w:type="dxa"/>
              <w:right w:w="57" w:type="dxa"/>
            </w:tcMar>
            <w:vAlign w:val="center"/>
          </w:tcPr>
          <w:p w14:paraId="3413E156">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本年收费金额（单位：万元）</w:t>
            </w:r>
          </w:p>
        </w:tc>
      </w:tr>
      <w:tr w14:paraId="3811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14:paraId="431CA063">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行政事业性收费</w:t>
            </w:r>
          </w:p>
        </w:tc>
        <w:tc>
          <w:tcPr>
            <w:tcW w:w="6338" w:type="dxa"/>
            <w:gridSpan w:val="3"/>
            <w:shd w:val="clear" w:color="auto" w:fill="auto"/>
            <w:tcMar>
              <w:left w:w="57" w:type="dxa"/>
              <w:right w:w="57" w:type="dxa"/>
            </w:tcMar>
            <w:vAlign w:val="center"/>
          </w:tcPr>
          <w:p w14:paraId="47AEEBA2">
            <w:pPr>
              <w:spacing w:line="340" w:lineRule="exact"/>
              <w:jc w:val="center"/>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bl>
    <w:p w14:paraId="7D261349">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7A0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061E5A5C">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7295571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383C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C2FAB84">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14:paraId="6B64CA2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14:paraId="5121206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14:paraId="55FA7259">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01A9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65A3501">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14:paraId="4C637BE9">
            <w:pPr>
              <w:spacing w:line="300" w:lineRule="exact"/>
              <w:rPr>
                <w:rFonts w:ascii="方正仿宋简体" w:eastAsia="方正仿宋简体"/>
                <w:b/>
                <w:sz w:val="21"/>
                <w:szCs w:val="21"/>
              </w:rPr>
            </w:pPr>
          </w:p>
        </w:tc>
        <w:tc>
          <w:tcPr>
            <w:tcW w:w="599" w:type="dxa"/>
            <w:tcMar>
              <w:left w:w="57" w:type="dxa"/>
              <w:right w:w="57" w:type="dxa"/>
            </w:tcMar>
            <w:vAlign w:val="center"/>
          </w:tcPr>
          <w:p w14:paraId="00F2B3E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4DBAE9B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14:paraId="4A5C94F7">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2FCD66D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14:paraId="48A0EEE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14:paraId="749FC093">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14:paraId="1AB5CDB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14:paraId="20AF43E1">
            <w:pPr>
              <w:spacing w:line="300" w:lineRule="exact"/>
              <w:rPr>
                <w:rFonts w:ascii="方正仿宋简体" w:eastAsia="方正仿宋简体"/>
                <w:b/>
                <w:sz w:val="21"/>
                <w:szCs w:val="21"/>
              </w:rPr>
            </w:pPr>
          </w:p>
        </w:tc>
      </w:tr>
      <w:tr w14:paraId="5A96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1BD082D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14:paraId="193852B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52F4644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5B23F31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3627D7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4D312C7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67354AB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70FD793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0B9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30DA2D2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14:paraId="47AB309E">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424C325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3049774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033C0A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42EE03E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B98F144">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2FDC6DD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5BC1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4ACBF8D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14:paraId="03F54F9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14:paraId="14AE998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15822A3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88AAEA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4890996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381A54DA">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3267320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6D5B842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541B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30DE6292">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14:paraId="0C3E73E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14:paraId="27D1847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52F4C80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3A3141EC">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18C598E0">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5119E3CD">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969E1C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14:paraId="1CEE194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221A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EDFF8FE">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26B0419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14:paraId="35B9D30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14:paraId="6788CEB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D036090">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7545C79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52E2FF81">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2269228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26CD974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412D195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4BD7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D2DC487">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262CB33C">
            <w:pPr>
              <w:spacing w:line="300" w:lineRule="exact"/>
              <w:rPr>
                <w:rFonts w:ascii="方正仿宋简体" w:eastAsia="方正仿宋简体"/>
                <w:b/>
                <w:sz w:val="21"/>
                <w:szCs w:val="21"/>
              </w:rPr>
            </w:pPr>
          </w:p>
        </w:tc>
        <w:tc>
          <w:tcPr>
            <w:tcW w:w="2878" w:type="dxa"/>
            <w:tcMar>
              <w:left w:w="57" w:type="dxa"/>
              <w:right w:w="57" w:type="dxa"/>
            </w:tcMar>
          </w:tcPr>
          <w:p w14:paraId="4B5665F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14:paraId="3DB290D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D61736C">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2BEB58E">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AE6D82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2C59F1FD">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2508CBA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003599E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3415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4F9B75A">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5892DB34">
            <w:pPr>
              <w:spacing w:line="300" w:lineRule="exact"/>
              <w:rPr>
                <w:rFonts w:ascii="方正仿宋简体" w:eastAsia="方正仿宋简体"/>
                <w:b/>
                <w:sz w:val="21"/>
                <w:szCs w:val="21"/>
              </w:rPr>
            </w:pPr>
          </w:p>
        </w:tc>
        <w:tc>
          <w:tcPr>
            <w:tcW w:w="2878" w:type="dxa"/>
            <w:tcMar>
              <w:left w:w="57" w:type="dxa"/>
              <w:right w:w="57" w:type="dxa"/>
            </w:tcMar>
          </w:tcPr>
          <w:p w14:paraId="5B797BF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14:paraId="2F9F9B4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197FA6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6691072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7916193E">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79CB9577">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278C1ED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347A658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7FF1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721781B">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0F8C03E">
            <w:pPr>
              <w:spacing w:line="300" w:lineRule="exact"/>
              <w:rPr>
                <w:rFonts w:ascii="方正仿宋简体" w:eastAsia="方正仿宋简体"/>
                <w:b/>
                <w:sz w:val="21"/>
                <w:szCs w:val="21"/>
              </w:rPr>
            </w:pPr>
          </w:p>
        </w:tc>
        <w:tc>
          <w:tcPr>
            <w:tcW w:w="2878" w:type="dxa"/>
            <w:tcMar>
              <w:left w:w="57" w:type="dxa"/>
              <w:right w:w="57" w:type="dxa"/>
            </w:tcMar>
          </w:tcPr>
          <w:p w14:paraId="018DF96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14:paraId="534C3DF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4B8E688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04699E3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5ADC8A0">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54ED647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2515D14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715E400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2EC3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384E5E3">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6480BBE">
            <w:pPr>
              <w:spacing w:line="300" w:lineRule="exact"/>
              <w:rPr>
                <w:rFonts w:ascii="方正仿宋简体" w:eastAsia="方正仿宋简体"/>
                <w:b/>
                <w:sz w:val="21"/>
                <w:szCs w:val="21"/>
              </w:rPr>
            </w:pPr>
          </w:p>
        </w:tc>
        <w:tc>
          <w:tcPr>
            <w:tcW w:w="2878" w:type="dxa"/>
            <w:tcMar>
              <w:left w:w="57" w:type="dxa"/>
              <w:right w:w="57" w:type="dxa"/>
            </w:tcMar>
          </w:tcPr>
          <w:p w14:paraId="5B85C03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14:paraId="7574D24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55DCF78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6DA9D229">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68C0A7ED">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05CBE9E7">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8F5BB7E">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7780218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643C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FC92A71">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04CF69F6">
            <w:pPr>
              <w:spacing w:line="300" w:lineRule="exact"/>
              <w:rPr>
                <w:rFonts w:ascii="方正仿宋简体" w:eastAsia="方正仿宋简体"/>
                <w:b/>
                <w:sz w:val="21"/>
                <w:szCs w:val="21"/>
              </w:rPr>
            </w:pPr>
          </w:p>
        </w:tc>
        <w:tc>
          <w:tcPr>
            <w:tcW w:w="2878" w:type="dxa"/>
            <w:tcMar>
              <w:left w:w="57" w:type="dxa"/>
              <w:right w:w="57" w:type="dxa"/>
            </w:tcMar>
          </w:tcPr>
          <w:p w14:paraId="76913DE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14:paraId="7CC3D44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DCFD78D">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0FD51FA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6A6B4CE">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4D7F029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25ACD4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5211278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6AA2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66BCE68">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F21AF45">
            <w:pPr>
              <w:spacing w:line="300" w:lineRule="exact"/>
              <w:rPr>
                <w:rFonts w:ascii="方正仿宋简体" w:eastAsia="方正仿宋简体"/>
                <w:b/>
                <w:sz w:val="21"/>
                <w:szCs w:val="21"/>
              </w:rPr>
            </w:pPr>
          </w:p>
        </w:tc>
        <w:tc>
          <w:tcPr>
            <w:tcW w:w="2878" w:type="dxa"/>
            <w:tcMar>
              <w:left w:w="57" w:type="dxa"/>
              <w:right w:w="57" w:type="dxa"/>
            </w:tcMar>
          </w:tcPr>
          <w:p w14:paraId="7C053BD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14:paraId="4B1FA73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5B6D11B1">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0E0C884D">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79D32F0">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1F7A3BBD">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5B1056AC">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18809221">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7EFE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9DCC337">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208B3FAB">
            <w:pPr>
              <w:spacing w:line="300" w:lineRule="exact"/>
              <w:rPr>
                <w:rFonts w:ascii="方正仿宋简体" w:eastAsia="方正仿宋简体"/>
                <w:b/>
                <w:sz w:val="21"/>
                <w:szCs w:val="21"/>
              </w:rPr>
            </w:pPr>
          </w:p>
        </w:tc>
        <w:tc>
          <w:tcPr>
            <w:tcW w:w="2878" w:type="dxa"/>
            <w:tcMar>
              <w:left w:w="57" w:type="dxa"/>
              <w:right w:w="57" w:type="dxa"/>
            </w:tcMar>
          </w:tcPr>
          <w:p w14:paraId="4C166A4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14:paraId="37C5439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6877A1A">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53BFD03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2AAA479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27F1B7C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10E417B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194F967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3709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4C26208">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3B21AC6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14:paraId="68C00EC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14:paraId="46B2CC6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E18F369">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D53692A">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6AF8CFC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2620319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7AEF90E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422BE099">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2DDF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EF52C2A">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6A614C9">
            <w:pPr>
              <w:spacing w:line="300" w:lineRule="exact"/>
              <w:rPr>
                <w:rFonts w:ascii="方正仿宋简体" w:eastAsia="方正仿宋简体"/>
                <w:b/>
                <w:sz w:val="21"/>
                <w:szCs w:val="21"/>
              </w:rPr>
            </w:pPr>
          </w:p>
        </w:tc>
        <w:tc>
          <w:tcPr>
            <w:tcW w:w="2878" w:type="dxa"/>
            <w:tcMar>
              <w:left w:w="57" w:type="dxa"/>
              <w:right w:w="57" w:type="dxa"/>
            </w:tcMar>
          </w:tcPr>
          <w:p w14:paraId="6AB40E7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14:paraId="1EA8214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5B24FC0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29480F0">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87AA937">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455EF3B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48D2977">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21DA73B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39B6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C84C669">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3BC5485">
            <w:pPr>
              <w:spacing w:line="300" w:lineRule="exact"/>
              <w:rPr>
                <w:rFonts w:ascii="方正仿宋简体" w:eastAsia="方正仿宋简体"/>
                <w:b/>
                <w:sz w:val="21"/>
                <w:szCs w:val="21"/>
              </w:rPr>
            </w:pPr>
          </w:p>
        </w:tc>
        <w:tc>
          <w:tcPr>
            <w:tcW w:w="2878" w:type="dxa"/>
            <w:tcMar>
              <w:left w:w="57" w:type="dxa"/>
              <w:right w:w="57" w:type="dxa"/>
            </w:tcMar>
          </w:tcPr>
          <w:p w14:paraId="465FA09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14:paraId="40653F8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AEF31F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03FAEA0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4E30D94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6B714F6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3D1F635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1558CFE3">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56C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6BC0C281">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6E98E73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14:paraId="7223D94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14:paraId="493B2E7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D50D47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A7B0C6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5D2AC93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400B55A1">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24122DE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6D9CE09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1F9D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5532601">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7BBAFE22">
            <w:pPr>
              <w:spacing w:line="300" w:lineRule="exact"/>
              <w:rPr>
                <w:rFonts w:ascii="方正仿宋简体" w:eastAsia="方正仿宋简体"/>
                <w:b/>
                <w:sz w:val="21"/>
                <w:szCs w:val="21"/>
              </w:rPr>
            </w:pPr>
          </w:p>
        </w:tc>
        <w:tc>
          <w:tcPr>
            <w:tcW w:w="2878" w:type="dxa"/>
            <w:tcMar>
              <w:left w:w="57" w:type="dxa"/>
              <w:right w:w="57" w:type="dxa"/>
            </w:tcMar>
          </w:tcPr>
          <w:p w14:paraId="0CBAE04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14:paraId="1E7384D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0F538349">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24B1DCB1">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1058F2E">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5665DCE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2C755B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1663396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1238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A3FAE1F">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74DC5328">
            <w:pPr>
              <w:spacing w:line="300" w:lineRule="exact"/>
              <w:rPr>
                <w:rFonts w:ascii="方正仿宋简体" w:eastAsia="方正仿宋简体"/>
                <w:b/>
                <w:sz w:val="21"/>
                <w:szCs w:val="21"/>
              </w:rPr>
            </w:pPr>
          </w:p>
        </w:tc>
        <w:tc>
          <w:tcPr>
            <w:tcW w:w="2878" w:type="dxa"/>
            <w:tcMar>
              <w:left w:w="57" w:type="dxa"/>
              <w:right w:w="57" w:type="dxa"/>
            </w:tcMar>
          </w:tcPr>
          <w:p w14:paraId="0B95DA0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14:paraId="31863C4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26BD38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91DB535">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13236199">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377B0DB9">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38E223F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7FD5434F">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318B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2A5308B">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1AE61589">
            <w:pPr>
              <w:spacing w:line="300" w:lineRule="exact"/>
              <w:rPr>
                <w:rFonts w:ascii="方正仿宋简体" w:eastAsia="方正仿宋简体"/>
                <w:b/>
                <w:sz w:val="21"/>
                <w:szCs w:val="21"/>
              </w:rPr>
            </w:pPr>
          </w:p>
        </w:tc>
        <w:tc>
          <w:tcPr>
            <w:tcW w:w="2878" w:type="dxa"/>
            <w:tcMar>
              <w:left w:w="57" w:type="dxa"/>
              <w:right w:w="57" w:type="dxa"/>
            </w:tcMar>
          </w:tcPr>
          <w:p w14:paraId="27AEF43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14:paraId="2589261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3BED43EE">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DF0A63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5A5C537">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55999D8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204D39C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788E882B">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256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687E97D1">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1C21013A">
            <w:pPr>
              <w:spacing w:line="300" w:lineRule="exact"/>
              <w:rPr>
                <w:rFonts w:ascii="方正仿宋简体" w:eastAsia="方正仿宋简体"/>
                <w:b/>
                <w:sz w:val="21"/>
                <w:szCs w:val="21"/>
              </w:rPr>
            </w:pPr>
          </w:p>
        </w:tc>
        <w:tc>
          <w:tcPr>
            <w:tcW w:w="2878" w:type="dxa"/>
            <w:tcMar>
              <w:left w:w="57" w:type="dxa"/>
              <w:right w:w="57" w:type="dxa"/>
            </w:tcMar>
            <w:vAlign w:val="center"/>
          </w:tcPr>
          <w:p w14:paraId="019AC6B0">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14:paraId="1567913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0952EF9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124BBA2">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401DBF8">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79170FF4">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8744656">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14:paraId="4AF08F7C">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14:paraId="03FB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724E36D">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3A76541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14:paraId="01E20F2C">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14:paraId="04E7B01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66559F5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31518A8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239B6D4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1B43033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B6C2ED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31245447">
            <w:pPr>
              <w:widowControl/>
              <w:spacing w:line="300" w:lineRule="exact"/>
              <w:jc w:val="center"/>
              <w:rPr>
                <w:rFonts w:hint="eastAsia" w:ascii="方正仿宋简体" w:eastAsia="方正仿宋简体"/>
                <w:b/>
                <w:sz w:val="21"/>
                <w:szCs w:val="21"/>
                <w:lang w:val="en-US" w:eastAsia="zh-CN"/>
              </w:rPr>
            </w:pPr>
          </w:p>
          <w:p w14:paraId="143CA7AD">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0058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C0C076A">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67CDD17">
            <w:pPr>
              <w:spacing w:line="300" w:lineRule="exact"/>
              <w:rPr>
                <w:rFonts w:ascii="方正仿宋简体" w:eastAsia="方正仿宋简体"/>
                <w:b/>
                <w:sz w:val="21"/>
                <w:szCs w:val="21"/>
              </w:rPr>
            </w:pPr>
          </w:p>
        </w:tc>
        <w:tc>
          <w:tcPr>
            <w:tcW w:w="2878" w:type="dxa"/>
            <w:tcMar>
              <w:left w:w="57" w:type="dxa"/>
              <w:right w:w="57" w:type="dxa"/>
            </w:tcMar>
            <w:vAlign w:val="center"/>
          </w:tcPr>
          <w:p w14:paraId="7781F842">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1C5FCDC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6A3F857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52ECD8E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50CB61D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75D24B1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7BEBA4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21705269">
            <w:pPr>
              <w:widowControl/>
              <w:spacing w:line="300" w:lineRule="exact"/>
              <w:jc w:val="center"/>
              <w:rPr>
                <w:rFonts w:hint="eastAsia" w:ascii="方正仿宋简体" w:eastAsia="方正仿宋简体"/>
                <w:b/>
                <w:sz w:val="21"/>
                <w:szCs w:val="21"/>
                <w:lang w:val="en-US" w:eastAsia="zh-CN"/>
              </w:rPr>
            </w:pPr>
          </w:p>
          <w:p w14:paraId="4ADBF10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1B9D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2300FD3">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1C27B8A4">
            <w:pPr>
              <w:spacing w:line="300" w:lineRule="exact"/>
              <w:rPr>
                <w:rFonts w:ascii="方正仿宋简体" w:eastAsia="方正仿宋简体"/>
                <w:b/>
                <w:sz w:val="21"/>
                <w:szCs w:val="21"/>
              </w:rPr>
            </w:pPr>
          </w:p>
        </w:tc>
        <w:tc>
          <w:tcPr>
            <w:tcW w:w="2878" w:type="dxa"/>
            <w:tcMar>
              <w:left w:w="57" w:type="dxa"/>
              <w:right w:w="57" w:type="dxa"/>
            </w:tcMar>
            <w:vAlign w:val="center"/>
          </w:tcPr>
          <w:p w14:paraId="12527AB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14:paraId="7A41ED8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549DFD8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293BC10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26894D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1C79754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35BD409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11C2C14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1BFC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81CAD82">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14:paraId="7E5B9F9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14:paraId="28D48C9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6AA3157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5C21A35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1C8E75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6FD0FB3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6807F92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1C8BD76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7C15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3716619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14:paraId="6D83C56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07A3172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981DA4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298E4C3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6A0CC5A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2A30C2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14:paraId="07831858">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14:paraId="7DDF0299">
      <w:pPr>
        <w:spacing w:line="590" w:lineRule="exact"/>
        <w:ind w:right="-100" w:rightChars="-50" w:firstLine="643" w:firstLineChars="200"/>
        <w:rPr>
          <w:rFonts w:hint="eastAsia" w:ascii="方正黑体简体" w:eastAsia="方正黑体简体"/>
          <w:b/>
          <w:sz w:val="32"/>
          <w:szCs w:val="32"/>
        </w:rPr>
      </w:pPr>
    </w:p>
    <w:p w14:paraId="323EF72A">
      <w:pPr>
        <w:spacing w:line="590" w:lineRule="exact"/>
        <w:ind w:right="-100" w:rightChars="-50" w:firstLine="643" w:firstLineChars="200"/>
        <w:rPr>
          <w:rFonts w:hint="eastAsia" w:ascii="方正黑体简体" w:eastAsia="方正黑体简体"/>
          <w:b/>
          <w:sz w:val="32"/>
          <w:szCs w:val="32"/>
        </w:rPr>
      </w:pPr>
    </w:p>
    <w:p w14:paraId="0358F92D">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9"/>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9B53A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42220FC">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756841">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1891FE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4AE61A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2DAC74F">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114B3C7A">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2A489D1">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5E128A57">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7294DE8">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2DB550F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9FF0C8">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B34903">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1218B9">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08C17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5"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E6CA1AC">
            <w:pPr>
              <w:spacing w:line="340" w:lineRule="exact"/>
              <w:ind w:left="-40" w:leftChars="-20" w:right="-40" w:rightChars="-20"/>
              <w:rPr>
                <w:rFonts w:ascii="方正黑体简体" w:eastAsia="方正黑体简体"/>
                <w:b/>
                <w:sz w:val="21"/>
                <w:szCs w:val="21"/>
              </w:rPr>
            </w:pPr>
          </w:p>
        </w:tc>
        <w:tc>
          <w:tcPr>
            <w:tcW w:w="621"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2972F0D0">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F07F6A0">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589E9A5C">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7131BA1">
            <w:pPr>
              <w:spacing w:line="340" w:lineRule="exact"/>
              <w:ind w:left="-40" w:leftChars="-20" w:right="-40" w:rightChars="-20"/>
              <w:rPr>
                <w:rFonts w:ascii="方正黑体简体" w:eastAsia="方正黑体简体"/>
                <w:b/>
                <w:sz w:val="21"/>
                <w:szCs w:val="21"/>
              </w:rPr>
            </w:pP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50FD1A08">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7E097BF0">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4D106FEC">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3B1155E5">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F8C5554">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5020AA7D">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1AE98DD">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547B6845">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6539243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CBF86D6">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755D0B0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3ADCA14">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7AFC7802">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2A091A51">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464F8AA3">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F960270">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441ED981">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C57449">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285672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78EDBB41">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7B0C813F">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6B60DB2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62AA9430">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1D5DF4BE">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BA33850">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546934F">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19DE388">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7ED7D7B3">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480CB168">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0DA8DAC">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9C1110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76210F5">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54DFDB99">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55C8BF3A">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14:paraId="7FFAAF46">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14:paraId="690100F5">
      <w:pPr>
        <w:pStyle w:val="8"/>
        <w:spacing w:before="0" w:beforeAutospacing="0" w:after="0" w:afterAutospacing="0" w:line="408" w:lineRule="atLeast"/>
        <w:ind w:firstLine="584"/>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（一）存在问题</w:t>
      </w:r>
    </w:p>
    <w:p w14:paraId="0DE2493A">
      <w:pPr>
        <w:pStyle w:val="8"/>
        <w:spacing w:before="0" w:beforeAutospacing="0" w:after="0" w:afterAutospacing="0" w:line="408" w:lineRule="atLeast"/>
        <w:ind w:firstLine="584"/>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一是在信息更新与发布方面，个别栏目更新不及时；二是在人员专业素养方面，政务公开工作专职人员专业性有待加强；三是在宣传推广方面，信息公开宣传力度不够，致使政策知晓度不高。</w:t>
      </w:r>
    </w:p>
    <w:p w14:paraId="4B4CB1B6">
      <w:pPr>
        <w:pStyle w:val="8"/>
        <w:spacing w:before="0" w:beforeAutospacing="0" w:after="0" w:afterAutospacing="0" w:line="408" w:lineRule="atLeast"/>
        <w:ind w:firstLine="584"/>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（二）改进情况</w:t>
      </w:r>
    </w:p>
    <w:p w14:paraId="6E4E56F0">
      <w:pPr>
        <w:spacing w:line="590" w:lineRule="exact"/>
        <w:ind w:right="-100" w:rightChars="-50" w:firstLine="643" w:firstLineChars="200"/>
        <w:rPr>
          <w:rFonts w:hint="eastAsia" w:ascii="方正仿宋简体" w:eastAsia="方正仿宋简体"/>
          <w:b/>
          <w:kern w:val="2"/>
          <w:sz w:val="32"/>
          <w:szCs w:val="32"/>
          <w:lang w:val="en-US" w:eastAsia="zh-CN"/>
        </w:rPr>
      </w:pPr>
      <w:r>
        <w:rPr>
          <w:rFonts w:hint="eastAsia" w:ascii="方正仿宋简体" w:eastAsia="方正仿宋简体"/>
          <w:b/>
          <w:kern w:val="2"/>
          <w:sz w:val="32"/>
          <w:szCs w:val="32"/>
          <w:lang w:val="en-US" w:eastAsia="zh-CN"/>
        </w:rPr>
        <w:t>一是深入推进重点领域信息公开。根据公开目录内容建设要求，建立信息快速发布机制，针对紧急事件和重要政策，建立专门的信息发布小组，明确信息发布的时间节点和流程。二是加大政务公开培训力度，通过系统培训、案例分析、经验交谈等多种方式，切实提高本单位政务公开工作人员的专业技能。三是提高政策知晓度。坚持把群众最关心、最需要了解的工作运行情况、工作信息、政策等事项公开作为政务公开的重点。加强多渠道宣传媒介联动，扩大宣传效应。</w:t>
      </w:r>
    </w:p>
    <w:p w14:paraId="18E57506">
      <w:pPr>
        <w:spacing w:line="590" w:lineRule="exact"/>
        <w:ind w:right="-100" w:rightChars="-50" w:firstLine="643" w:firstLineChars="200"/>
        <w:rPr>
          <w:rFonts w:hint="eastAsia" w:ascii="楷体" w:hAnsi="楷体" w:eastAsia="楷体" w:cs="楷体"/>
          <w:b/>
          <w:sz w:val="32"/>
          <w:szCs w:val="32"/>
        </w:rPr>
      </w:pPr>
      <w:r>
        <w:rPr>
          <w:rFonts w:hint="eastAsia" w:ascii="方正黑体简体" w:eastAsia="方正黑体简体"/>
          <w:b/>
          <w:sz w:val="32"/>
          <w:szCs w:val="32"/>
          <w:lang w:val="en-US" w:eastAsia="zh-CN"/>
        </w:rPr>
        <w:t>六、其他需要报告的事项</w:t>
      </w:r>
    </w:p>
    <w:p w14:paraId="576DC81D">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w:t>
      </w:r>
      <w:r>
        <w:rPr>
          <w:rFonts w:hint="eastAsia" w:ascii="方正仿宋简体" w:eastAsia="方正仿宋简体"/>
          <w:b/>
          <w:sz w:val="32"/>
          <w:szCs w:val="32"/>
          <w:lang w:eastAsia="zh-CN"/>
        </w:rPr>
        <w:t>，我单位</w:t>
      </w:r>
      <w:r>
        <w:rPr>
          <w:rFonts w:hint="eastAsia" w:ascii="方正仿宋简体" w:eastAsia="方正仿宋简体"/>
          <w:b/>
          <w:sz w:val="32"/>
          <w:szCs w:val="32"/>
          <w:lang w:val="en-US" w:eastAsia="zh-CN"/>
        </w:rPr>
        <w:t>2024年未收取相关费用</w:t>
      </w:r>
    </w:p>
    <w:p w14:paraId="345CF0BC">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rPr>
      </w:pPr>
      <w:r>
        <w:rPr>
          <w:rFonts w:hint="eastAsia" w:ascii="方正仿宋简体" w:eastAsia="方正仿宋简体"/>
          <w:b/>
          <w:sz w:val="32"/>
          <w:szCs w:val="32"/>
        </w:rPr>
        <w:t>（二）</w:t>
      </w:r>
      <w:r>
        <w:rPr>
          <w:rFonts w:hint="eastAsia" w:ascii="方正仿宋简体" w:eastAsia="方正仿宋简体"/>
          <w:b/>
          <w:sz w:val="32"/>
          <w:szCs w:val="32"/>
          <w:lang w:val="en-US" w:eastAsia="zh-CN"/>
        </w:rPr>
        <w:t>2024年梁山县文化和旅游局</w:t>
      </w:r>
      <w:r>
        <w:rPr>
          <w:rFonts w:hint="eastAsia" w:ascii="方正仿宋简体" w:eastAsia="方正仿宋简体"/>
          <w:b/>
          <w:sz w:val="32"/>
          <w:szCs w:val="32"/>
        </w:rPr>
        <w:t>政务公开工作要点情况</w:t>
      </w:r>
    </w:p>
    <w:p w14:paraId="2229697F">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lang w:val="en-US" w:eastAsia="zh-CN"/>
        </w:rPr>
      </w:pPr>
      <w:r>
        <w:rPr>
          <w:rFonts w:hint="eastAsia" w:ascii="方正仿宋简体" w:eastAsia="方正仿宋简体"/>
          <w:b/>
          <w:kern w:val="2"/>
          <w:sz w:val="32"/>
          <w:szCs w:val="32"/>
          <w:lang w:val="en-US" w:eastAsia="zh-CN"/>
        </w:rPr>
        <w:t>贯彻落实《条例》，积极推进政务公开。一是持续强化主动公开力度，梳理和规范公开事项，明确工作任务，据实更新机构职能、权责清单等基础信息。二是规范做好依申请公开工作。三是加强政策文件规范公开，完善动态公开机制，持续推进政策文件公开规范、及时，确保发布的政策文件要素齐全、格式规范。</w:t>
      </w:r>
    </w:p>
    <w:p w14:paraId="7BDFB1D2">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lang w:val="en-US" w:eastAsia="zh-CN"/>
        </w:rPr>
      </w:pPr>
      <w:r>
        <w:rPr>
          <w:rFonts w:hint="eastAsia" w:ascii="方正仿宋简体" w:eastAsia="方正仿宋简体"/>
          <w:b/>
          <w:kern w:val="2"/>
          <w:sz w:val="32"/>
          <w:szCs w:val="32"/>
          <w:lang w:val="en-US" w:eastAsia="zh-CN"/>
        </w:rPr>
        <w:t>（三）梁山县文化和旅游局人大代表建议和政协提案办理结果公开情况</w:t>
      </w:r>
    </w:p>
    <w:p w14:paraId="66EDBDF5">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lang w:val="en-US" w:eastAsia="zh-CN"/>
        </w:rPr>
      </w:pPr>
      <w:r>
        <w:rPr>
          <w:rFonts w:hint="eastAsia" w:ascii="方正仿宋简体" w:eastAsia="方正仿宋简体"/>
          <w:b/>
          <w:kern w:val="2"/>
          <w:sz w:val="32"/>
          <w:szCs w:val="32"/>
          <w:lang w:val="en-US" w:eastAsia="zh-CN"/>
        </w:rPr>
        <w:t>2024年，县文旅局共收到县政协十一届三次会议提案17件,县文旅局认真贯彻落实政协提案办理工作的有关要求和部署，结合文旅工作实际，以办实事、求实效为出发点和落脚点，认真办理、落实委员提案，不断深化办理结果，提高办理质量。</w:t>
      </w:r>
    </w:p>
    <w:p w14:paraId="174A5524">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lang w:eastAsia="zh-CN"/>
        </w:rPr>
      </w:pPr>
      <w:r>
        <w:rPr>
          <w:rFonts w:hint="eastAsia" w:ascii="方正仿宋简体" w:eastAsia="方正仿宋简体"/>
          <w:b/>
          <w:kern w:val="2"/>
          <w:sz w:val="32"/>
          <w:szCs w:val="32"/>
        </w:rPr>
        <w:t>（四）本行政机关年度政务公开工作创新情况</w:t>
      </w:r>
      <w:r>
        <w:rPr>
          <w:rFonts w:hint="eastAsia" w:ascii="方正仿宋简体" w:eastAsia="方正仿宋简体"/>
          <w:b/>
          <w:kern w:val="2"/>
          <w:sz w:val="32"/>
          <w:szCs w:val="32"/>
          <w:lang w:eastAsia="zh-CN"/>
        </w:rPr>
        <w:t>：无</w:t>
      </w:r>
    </w:p>
    <w:p w14:paraId="22790520">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lang w:eastAsia="zh-CN"/>
        </w:rPr>
      </w:pPr>
      <w:r>
        <w:rPr>
          <w:rFonts w:hint="eastAsia" w:ascii="方正仿宋简体" w:eastAsia="方正仿宋简体"/>
          <w:b/>
          <w:kern w:val="2"/>
          <w:sz w:val="32"/>
          <w:szCs w:val="32"/>
        </w:rPr>
        <w:t>（五）本行政机关政府信息公开工作年度报告数据统计需要说明的事项</w:t>
      </w:r>
      <w:r>
        <w:rPr>
          <w:rFonts w:hint="eastAsia" w:ascii="方正仿宋简体" w:eastAsia="方正仿宋简体"/>
          <w:b/>
          <w:kern w:val="2"/>
          <w:sz w:val="32"/>
          <w:szCs w:val="32"/>
          <w:lang w:eastAsia="zh-CN"/>
        </w:rPr>
        <w:t>：无</w:t>
      </w:r>
    </w:p>
    <w:p w14:paraId="52631B8A">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lang w:eastAsia="zh-CN"/>
        </w:rPr>
      </w:pPr>
      <w:r>
        <w:rPr>
          <w:rFonts w:hint="eastAsia" w:ascii="方正仿宋简体" w:eastAsia="方正仿宋简体"/>
          <w:b/>
          <w:kern w:val="2"/>
          <w:sz w:val="32"/>
          <w:szCs w:val="32"/>
        </w:rPr>
        <w:t>（六）本行政机关认为需要报告的其他事项</w:t>
      </w:r>
      <w:r>
        <w:rPr>
          <w:rFonts w:hint="eastAsia" w:ascii="方正仿宋简体" w:eastAsia="方正仿宋简体"/>
          <w:b/>
          <w:kern w:val="2"/>
          <w:sz w:val="32"/>
          <w:szCs w:val="32"/>
          <w:lang w:eastAsia="zh-CN"/>
        </w:rPr>
        <w:t>：无</w:t>
      </w:r>
    </w:p>
    <w:p w14:paraId="2B9A9625">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kern w:val="2"/>
          <w:sz w:val="32"/>
          <w:szCs w:val="32"/>
        </w:rPr>
      </w:pPr>
      <w:r>
        <w:rPr>
          <w:rFonts w:hint="eastAsia" w:ascii="方正仿宋简体" w:eastAsia="方正仿宋简体"/>
          <w:b/>
          <w:kern w:val="2"/>
          <w:sz w:val="32"/>
          <w:szCs w:val="32"/>
        </w:rPr>
        <w:t>（七）其他有关文件专门要求通过政府信息公开工作年度报告予以报告的事项</w:t>
      </w:r>
      <w:r>
        <w:rPr>
          <w:rFonts w:hint="eastAsia" w:ascii="方正仿宋简体" w:eastAsia="方正仿宋简体"/>
          <w:b/>
          <w:kern w:val="2"/>
          <w:sz w:val="32"/>
          <w:szCs w:val="32"/>
          <w:lang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ACDFD-2ACE-41C6-8DEE-CB0383CF63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97A1927-A4A5-4012-BB52-37B304321656}"/>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3" w:fontKey="{7D4E9EF9-03AF-4346-89AE-674E8418965B}"/>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B23E5ACD-FB32-40E8-BEF4-4646E1180F3D}"/>
  </w:font>
  <w:font w:name="方正楷体简体">
    <w:panose1 w:val="02000000000000000000"/>
    <w:charset w:val="86"/>
    <w:family w:val="auto"/>
    <w:pitch w:val="default"/>
    <w:sig w:usb0="A00002BF" w:usb1="184F6CFA" w:usb2="00000012" w:usb3="00000000" w:csb0="00040001" w:csb1="00000000"/>
    <w:embedRegular r:id="rId5" w:fontKey="{3D678F63-FC17-4B71-83F3-94D53DAE5E99}"/>
  </w:font>
  <w:font w:name="楷体">
    <w:panose1 w:val="02010609060101010101"/>
    <w:charset w:val="86"/>
    <w:family w:val="modern"/>
    <w:pitch w:val="default"/>
    <w:sig w:usb0="800002BF" w:usb1="38CF7CFA" w:usb2="00000016" w:usb3="00000000" w:csb0="00040001" w:csb1="00000000"/>
    <w:embedRegular r:id="rId6" w:fontKey="{37399FF0-8B28-428F-A2A0-7EAC33DD7D70}"/>
  </w:font>
  <w:font w:name="仿宋_GB2312">
    <w:panose1 w:val="02010609030101010101"/>
    <w:charset w:val="86"/>
    <w:family w:val="modern"/>
    <w:pitch w:val="default"/>
    <w:sig w:usb0="00000001" w:usb1="080E0000" w:usb2="00000000" w:usb3="00000000" w:csb0="00040000" w:csb1="00000000"/>
    <w:embedRegular r:id="rId7" w:fontKey="{60433906-6A77-4024-BC01-067A599D4A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E8DA3"/>
    <w:multiLevelType w:val="singleLevel"/>
    <w:tmpl w:val="7BAE8D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4E86"/>
    <w:rsid w:val="00263231"/>
    <w:rsid w:val="0B8D0492"/>
    <w:rsid w:val="145C697C"/>
    <w:rsid w:val="1A944D60"/>
    <w:rsid w:val="1E4B6183"/>
    <w:rsid w:val="1F026E67"/>
    <w:rsid w:val="23216248"/>
    <w:rsid w:val="2551240A"/>
    <w:rsid w:val="284C0161"/>
    <w:rsid w:val="28BC5ABB"/>
    <w:rsid w:val="2D727090"/>
    <w:rsid w:val="40CD48B1"/>
    <w:rsid w:val="4E5959D6"/>
    <w:rsid w:val="50A8393E"/>
    <w:rsid w:val="57FA3D86"/>
    <w:rsid w:val="592D1F39"/>
    <w:rsid w:val="5D3C274B"/>
    <w:rsid w:val="701D465E"/>
    <w:rsid w:val="71B903B6"/>
    <w:rsid w:val="79134850"/>
    <w:rsid w:val="7B7D4202"/>
    <w:rsid w:val="7CD74E86"/>
    <w:rsid w:val="7F6E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eastAsia="宋体" w:cs="Times New Roman"/>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next w:val="5"/>
    <w:qFormat/>
    <w:uiPriority w:val="0"/>
    <w:pPr>
      <w:autoSpaceDE w:val="0"/>
      <w:autoSpaceDN w:val="0"/>
      <w:jc w:val="left"/>
    </w:pPr>
    <w:rPr>
      <w:rFonts w:ascii="Arial Unicode MS" w:hAnsi="Arial Unicode MS" w:eastAsia="宋体" w:cs="Arial Unicode MS"/>
      <w:kern w:val="0"/>
      <w:sz w:val="29"/>
      <w:szCs w:val="29"/>
    </w:rPr>
  </w:style>
  <w:style w:type="paragraph" w:styleId="5">
    <w:name w:val="Body Text First Indent 2"/>
    <w:basedOn w:val="6"/>
    <w:next w:val="7"/>
    <w:qFormat/>
    <w:uiPriority w:val="0"/>
    <w:pPr>
      <w:ind w:firstLine="420" w:firstLineChars="200"/>
    </w:pPr>
  </w:style>
  <w:style w:type="paragraph" w:styleId="6">
    <w:name w:val="Body Text Indent"/>
    <w:basedOn w:val="1"/>
    <w:next w:val="3"/>
    <w:qFormat/>
    <w:uiPriority w:val="0"/>
    <w:pPr>
      <w:spacing w:after="120"/>
      <w:ind w:left="420" w:leftChars="200"/>
    </w:pPr>
  </w:style>
  <w:style w:type="paragraph" w:styleId="7">
    <w:name w:val="Body Text First Indent"/>
    <w:basedOn w:val="4"/>
    <w:qFormat/>
    <w:uiPriority w:val="0"/>
    <w:pPr>
      <w:ind w:firstLine="420" w:firstLineChars="100"/>
    </w:pPr>
    <w:rPr>
      <w:rFonts w:ascii="Times New Roman" w:hAnsi="Times New Roman" w:eastAsia="宋体" w:cs="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1">
                  <a:lumMod val="60000"/>
                  <a:lumOff val="40000"/>
                </a:schemeClr>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elete val="1"/>
          </c:dLbls>
          <c:cat>
            <c:strRef>
              <c:f>Sheet1!$A$2:$A$7</c:f>
              <c:strCache>
                <c:ptCount val="6"/>
                <c:pt idx="0">
                  <c:v>政府采购信息</c:v>
                </c:pt>
                <c:pt idx="1">
                  <c:v>财政预算信息</c:v>
                </c:pt>
                <c:pt idx="2">
                  <c:v>重点领域信息</c:v>
                </c:pt>
                <c:pt idx="3">
                  <c:v>法治政府建设工作专栏信息</c:v>
                </c:pt>
                <c:pt idx="4">
                  <c:v>行政执法公示专栏信息</c:v>
                </c:pt>
                <c:pt idx="5">
                  <c:v>建议提案公开信息</c:v>
                </c:pt>
              </c:strCache>
            </c:strRef>
          </c:cat>
          <c:val>
            <c:numRef>
              <c:f>Sheet1!$B$2:$B$7</c:f>
              <c:numCache>
                <c:formatCode>General</c:formatCode>
                <c:ptCount val="6"/>
                <c:pt idx="0">
                  <c:v>1</c:v>
                </c:pt>
                <c:pt idx="1">
                  <c:v>1</c:v>
                </c:pt>
                <c:pt idx="2">
                  <c:v>43</c:v>
                </c:pt>
                <c:pt idx="3">
                  <c:v>1</c:v>
                </c:pt>
                <c:pt idx="4">
                  <c:v>8</c:v>
                </c:pt>
                <c:pt idx="5">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8ec9cf-269e-42b8-a9bc-b72cc66117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6</Pages>
  <Words>2766</Words>
  <Characters>2847</Characters>
  <Lines>0</Lines>
  <Paragraphs>0</Paragraphs>
  <TotalTime>52</TotalTime>
  <ScaleCrop>false</ScaleCrop>
  <LinksUpToDate>false</LinksUpToDate>
  <CharactersWithSpaces>2849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2024-11-18T01:53:00Z</dcterms:created>
  <dc:creator>Administrator</dc:creator>
  <cp:lastModifiedBy>对方正在输入</cp:lastModifiedBy>
  <dcterms:modified xsi:type="dcterms:W3CDTF">2025-01-22T07:06:15Z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A880538AE2BD47BCB282DC74A354FF1B_11</vt:lpwstr>
  </property>
  <property fmtid="{D5CDD505-2E9C-101B-9397-08002B2CF9AE}" pid="4" name="KSOTemplateDocerSaveRecord">
    <vt:lpwstr>eyJoZGlkIjoiMjQ5NTMwYTE5MzVjOTRkOTQxZWNlODYwNTNkZDU2OGUiLCJ1c2VySWQiOiIxMTY3ODU3ODk1In0=</vt:lpwstr>
  </property>
</Properties>
</file>