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EBC2FA">
      <w:pPr>
        <w:pStyle w:val="21"/>
        <w:jc w:val="center"/>
        <w:outlineLvl w:val="0"/>
        <w:rPr>
          <w:rFonts w:ascii="Times New Roman" w:hAnsi="Times New Roman"/>
          <w:sz w:val="36"/>
          <w:szCs w:val="36"/>
        </w:rPr>
      </w:pPr>
      <w:r>
        <w:drawing>
          <wp:inline distT="0" distB="0" distL="0" distR="0">
            <wp:extent cx="5833745" cy="784669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6"/>
                    <a:stretch>
                      <a:fillRect/>
                    </a:stretch>
                  </pic:blipFill>
                  <pic:spPr>
                    <a:xfrm>
                      <a:off x="0" y="0"/>
                      <a:ext cx="5848237" cy="7866120"/>
                    </a:xfrm>
                    <a:prstGeom prst="rect">
                      <a:avLst/>
                    </a:prstGeom>
                  </pic:spPr>
                </pic:pic>
              </a:graphicData>
            </a:graphic>
          </wp:inline>
        </w:drawing>
      </w:r>
    </w:p>
    <w:p w14:paraId="09FDB42F">
      <w:pPr>
        <w:widowControl/>
        <w:jc w:val="left"/>
        <w:rPr>
          <w:kern w:val="0"/>
          <w:sz w:val="36"/>
          <w:szCs w:val="36"/>
        </w:rPr>
      </w:pPr>
      <w:r>
        <w:rPr>
          <w:sz w:val="36"/>
          <w:szCs w:val="36"/>
        </w:rPr>
        <w:br w:type="page"/>
      </w:r>
    </w:p>
    <w:p w14:paraId="7049CC18">
      <w:pPr>
        <w:widowControl/>
        <w:jc w:val="left"/>
        <w:rPr>
          <w:sz w:val="36"/>
          <w:szCs w:val="36"/>
        </w:rPr>
        <w:sectPr>
          <w:footerReference r:id="rId3" w:type="default"/>
          <w:pgSz w:w="11906" w:h="16838"/>
          <w:pgMar w:top="1701" w:right="1531" w:bottom="1701" w:left="1531" w:header="851" w:footer="1077" w:gutter="0"/>
          <w:pgNumType w:start="1"/>
          <w:cols w:space="720" w:num="1"/>
          <w:titlePg/>
          <w:docGrid w:linePitch="312" w:charSpace="0"/>
        </w:sectPr>
      </w:pPr>
      <w:r>
        <w:drawing>
          <wp:inline distT="0" distB="0" distL="0" distR="0">
            <wp:extent cx="5615940" cy="7696835"/>
            <wp:effectExtent l="0" t="0" r="3810" b="0"/>
            <wp:docPr id="26" name="图片 26"/>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7"/>
                    <a:stretch>
                      <a:fillRect/>
                    </a:stretch>
                  </pic:blipFill>
                  <pic:spPr>
                    <a:xfrm>
                      <a:off x="0" y="0"/>
                      <a:ext cx="5615940" cy="7696835"/>
                    </a:xfrm>
                    <a:prstGeom prst="rect">
                      <a:avLst/>
                    </a:prstGeom>
                  </pic:spPr>
                </pic:pic>
              </a:graphicData>
            </a:graphic>
          </wp:inline>
        </w:drawing>
      </w:r>
    </w:p>
    <w:p w14:paraId="7414B9ED">
      <w:pPr>
        <w:pStyle w:val="21"/>
        <w:spacing w:before="0" w:beforeAutospacing="0" w:after="0" w:afterAutospacing="0" w:line="360" w:lineRule="auto"/>
        <w:jc w:val="center"/>
        <w:outlineLvl w:val="0"/>
        <w:rPr>
          <w:rFonts w:ascii="Times New Roman" w:hAnsi="Times New Roman"/>
          <w:snapToGrid w:val="0"/>
          <w:sz w:val="30"/>
          <w:szCs w:val="30"/>
        </w:rPr>
        <w:sectPr>
          <w:pgSz w:w="16838" w:h="11906" w:orient="landscape"/>
          <w:pgMar w:top="1800" w:right="1440" w:bottom="1800" w:left="1440" w:header="851" w:footer="992" w:gutter="0"/>
          <w:cols w:space="425" w:num="1"/>
          <w:docGrid w:type="lines" w:linePitch="312" w:charSpace="0"/>
        </w:sectPr>
      </w:pPr>
      <w:bookmarkStart w:id="0" w:name="OLE_LINK232"/>
      <w:bookmarkStart w:id="1" w:name="OLE_LINK231"/>
      <w:bookmarkStart w:id="2" w:name="OLE_LINK233"/>
      <w:r>
        <w:rPr>
          <w:rFonts w:hint="eastAsia"/>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2590800</wp:posOffset>
                </wp:positionV>
                <wp:extent cx="9014460" cy="1111250"/>
                <wp:effectExtent l="0" t="2038350" r="0" b="2051050"/>
                <wp:wrapNone/>
                <wp:docPr id="61" name="文本框 61"/>
                <wp:cNvGraphicFramePr/>
                <a:graphic xmlns:a="http://schemas.openxmlformats.org/drawingml/2006/main">
                  <a:graphicData uri="http://schemas.microsoft.com/office/word/2010/wordprocessingShape">
                    <wps:wsp>
                      <wps:cNvSpPr txBox="1"/>
                      <wps:spPr>
                        <a:xfrm rot="19892127">
                          <a:off x="0" y="0"/>
                          <a:ext cx="9014688" cy="1111433"/>
                        </a:xfrm>
                        <a:prstGeom prst="rect">
                          <a:avLst/>
                        </a:prstGeom>
                        <a:noFill/>
                        <a:ln>
                          <a:noFill/>
                        </a:ln>
                        <a:effectLst/>
                      </wps:spPr>
                      <wps:txbx>
                        <w:txbxContent>
                          <w:p w14:paraId="64710A70">
                            <w:pPr>
                              <w:jc w:val="center"/>
                              <w:rPr>
                                <w:sz w:val="13"/>
                                <w:szCs w:val="72"/>
                              </w:rPr>
                            </w:pPr>
                            <w:r>
                              <w:rPr>
                                <w:rFonts w:hint="eastAsia"/>
                                <w:sz w:val="48"/>
                                <w:szCs w:val="40"/>
                              </w:rPr>
                              <w:t>仅用于</w:t>
                            </w:r>
                            <w:r>
                              <w:rPr>
                                <w:rFonts w:hint="eastAsia"/>
                                <w:sz w:val="48"/>
                                <w:szCs w:val="84"/>
                              </w:rPr>
                              <w:t>压力容器及特种设备生产项目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top:204pt;height:87.5pt;width:709.8pt;mso-position-horizontal:right;mso-position-horizontal-relative:margin;rotation:-1865453f;z-index:251665408;mso-width-relative:page;mso-height-relative:page;" filled="f" stroked="f" coordsize="21600,21600" o:gfxdata="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mP9Bj2AAAAAkBAAAPAAAAAAAAAAEAIAAA&#10;ACIAAABkcnMvZG93bnJldi54bWxQSwECFAAUAAAACACHTuJA4aRDMUUCAAB9BAAADgAAAAAAAAAB&#10;ACAAAAAnAQAAZHJzL2Uyb0RvYy54bWxQSwUGAAAAAAYABgBZAQAA3gUAAAAA&#10;">
                <v:fill on="f" focussize="0,0"/>
                <v:stroke on="f"/>
                <v:imagedata o:title=""/>
                <o:lock v:ext="edit" aspectratio="f"/>
                <v:textbox>
                  <w:txbxContent>
                    <w:p w14:paraId="64710A70">
                      <w:pPr>
                        <w:jc w:val="center"/>
                        <w:rPr>
                          <w:sz w:val="13"/>
                          <w:szCs w:val="72"/>
                        </w:rPr>
                      </w:pPr>
                      <w:r>
                        <w:rPr>
                          <w:rFonts w:hint="eastAsia"/>
                          <w:sz w:val="48"/>
                          <w:szCs w:val="40"/>
                        </w:rPr>
                        <w:t>仅用于</w:t>
                      </w:r>
                      <w:r>
                        <w:rPr>
                          <w:rFonts w:hint="eastAsia"/>
                          <w:sz w:val="48"/>
                          <w:szCs w:val="84"/>
                        </w:rPr>
                        <w:t>压力容器及特种设备生产项目</w:t>
                      </w:r>
                    </w:p>
                  </w:txbxContent>
                </v:textbox>
              </v:shape>
            </w:pict>
          </mc:Fallback>
        </mc:AlternateContent>
      </w:r>
      <w:r>
        <w:drawing>
          <wp:inline distT="0" distB="0" distL="0" distR="0">
            <wp:extent cx="8117840" cy="584835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
                    <a:stretch>
                      <a:fillRect/>
                    </a:stretch>
                  </pic:blipFill>
                  <pic:spPr>
                    <a:xfrm>
                      <a:off x="0" y="0"/>
                      <a:ext cx="8124141" cy="5852482"/>
                    </a:xfrm>
                    <a:prstGeom prst="rect">
                      <a:avLst/>
                    </a:prstGeom>
                  </pic:spPr>
                </pic:pic>
              </a:graphicData>
            </a:graphic>
          </wp:inline>
        </w:drawing>
      </w:r>
    </w:p>
    <w:p w14:paraId="096BF9FE">
      <w:pPr>
        <w:ind w:left="-708" w:leftChars="-337"/>
      </w:pPr>
      <w:r>
        <w:rPr>
          <w:rFonts w:hint="eastAsia"/>
        </w:rPr>
        <mc:AlternateContent>
          <mc:Choice Requires="wps">
            <w:drawing>
              <wp:anchor distT="0" distB="0" distL="114300" distR="114300" simplePos="0" relativeHeight="251666432" behindDoc="0" locked="0" layoutInCell="1" allowOverlap="1">
                <wp:simplePos x="0" y="0"/>
                <wp:positionH relativeFrom="page">
                  <wp:posOffset>169545</wp:posOffset>
                </wp:positionH>
                <wp:positionV relativeFrom="paragraph">
                  <wp:posOffset>5681980</wp:posOffset>
                </wp:positionV>
                <wp:extent cx="7641590" cy="869950"/>
                <wp:effectExtent l="0" t="1809750" r="0" b="1816100"/>
                <wp:wrapNone/>
                <wp:docPr id="62" name="文本框 62"/>
                <wp:cNvGraphicFramePr/>
                <a:graphic xmlns:a="http://schemas.openxmlformats.org/drawingml/2006/main">
                  <a:graphicData uri="http://schemas.microsoft.com/office/word/2010/wordprocessingShape">
                    <wps:wsp>
                      <wps:cNvSpPr txBox="1"/>
                      <wps:spPr>
                        <a:xfrm rot="19806932">
                          <a:off x="0" y="0"/>
                          <a:ext cx="7641590" cy="869950"/>
                        </a:xfrm>
                        <a:prstGeom prst="rect">
                          <a:avLst/>
                        </a:prstGeom>
                        <a:noFill/>
                        <a:ln>
                          <a:noFill/>
                        </a:ln>
                        <a:effectLst/>
                      </wps:spPr>
                      <wps:txbx>
                        <w:txbxContent>
                          <w:p w14:paraId="7FCC6ADD">
                            <w:pPr>
                              <w:jc w:val="center"/>
                              <w:rPr>
                                <w:sz w:val="52"/>
                                <w:szCs w:val="84"/>
                              </w:rPr>
                            </w:pPr>
                            <w:r>
                              <w:rPr>
                                <w:rFonts w:hint="eastAsia"/>
                                <w:sz w:val="48"/>
                                <w:szCs w:val="40"/>
                              </w:rPr>
                              <w:t>仅用于</w:t>
                            </w:r>
                            <w:r>
                              <w:rPr>
                                <w:rFonts w:hint="eastAsia"/>
                                <w:sz w:val="48"/>
                                <w:szCs w:val="84"/>
                              </w:rPr>
                              <w:t>压力容器及特种设备生产项目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5pt;margin-top:447.4pt;height:68.5pt;width:601.7pt;mso-position-horizontal-relative:page;rotation:-1958508f;z-index:251666432;mso-width-relative:page;mso-height-relative:page;" filled="f" stroked="f" coordsize="21600,21600" o:gfxdata="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4GUKPcAAAADAEAAA8AAAAAAAAA&#10;AQAgAAAAIgAAAGRycy9kb3ducmV2LnhtbFBLAQIUABQAAAAIAIdO4kCJtv5xRgIAAHwEAAAOAAAA&#10;AAAAAAEAIAAAACsBAABkcnMvZTJvRG9jLnhtbFBLBQYAAAAABgAGAFkBAADjBQAAAAA=&#10;">
                <v:fill on="f" focussize="0,0"/>
                <v:stroke on="f"/>
                <v:imagedata o:title=""/>
                <o:lock v:ext="edit" aspectratio="f"/>
                <v:textbox>
                  <w:txbxContent>
                    <w:p w14:paraId="7FCC6ADD">
                      <w:pPr>
                        <w:jc w:val="center"/>
                        <w:rPr>
                          <w:sz w:val="52"/>
                          <w:szCs w:val="84"/>
                        </w:rPr>
                      </w:pPr>
                      <w:r>
                        <w:rPr>
                          <w:rFonts w:hint="eastAsia"/>
                          <w:sz w:val="48"/>
                          <w:szCs w:val="40"/>
                        </w:rPr>
                        <w:t>仅用于</w:t>
                      </w:r>
                      <w:r>
                        <w:rPr>
                          <w:rFonts w:hint="eastAsia"/>
                          <w:sz w:val="48"/>
                          <w:szCs w:val="84"/>
                        </w:rPr>
                        <w:t>压力容器及特种设备生产项目</w:t>
                      </w:r>
                    </w:p>
                  </w:txbxContent>
                </v:textbox>
              </v:shape>
            </w:pict>
          </mc:Fallback>
        </mc:AlternateContent>
      </w:r>
      <w:r>
        <w:drawing>
          <wp:anchor distT="0" distB="0" distL="114300" distR="114300" simplePos="0" relativeHeight="251668480" behindDoc="1" locked="0" layoutInCell="1" allowOverlap="1">
            <wp:simplePos x="0" y="0"/>
            <wp:positionH relativeFrom="column">
              <wp:posOffset>-250825</wp:posOffset>
            </wp:positionH>
            <wp:positionV relativeFrom="paragraph">
              <wp:posOffset>4718050</wp:posOffset>
            </wp:positionV>
            <wp:extent cx="6245225" cy="2934970"/>
            <wp:effectExtent l="0" t="0" r="3810" b="0"/>
            <wp:wrapNone/>
            <wp:docPr id="65" name="图片 65" descr="D:\微信\WeChat Files\wxid_ysfpe9a274cf22\FileStorage\Temp\fd15f8fce87e50671b79f9c3a888f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D:\微信\WeChat Files\wxid_ysfpe9a274cf22\FileStorage\Temp\fd15f8fce87e50671b79f9c3a888fc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6244957" cy="2935111"/>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251664384" behindDoc="0" locked="0" layoutInCell="1" allowOverlap="1">
                <wp:simplePos x="0" y="0"/>
                <wp:positionH relativeFrom="margin">
                  <wp:posOffset>-723265</wp:posOffset>
                </wp:positionH>
                <wp:positionV relativeFrom="paragraph">
                  <wp:posOffset>2033905</wp:posOffset>
                </wp:positionV>
                <wp:extent cx="7636510" cy="1111250"/>
                <wp:effectExtent l="0" t="1790700" r="0" b="1784350"/>
                <wp:wrapNone/>
                <wp:docPr id="63" name="文本框 63"/>
                <wp:cNvGraphicFramePr/>
                <a:graphic xmlns:a="http://schemas.openxmlformats.org/drawingml/2006/main">
                  <a:graphicData uri="http://schemas.microsoft.com/office/word/2010/wordprocessingShape">
                    <wps:wsp>
                      <wps:cNvSpPr txBox="1"/>
                      <wps:spPr>
                        <a:xfrm rot="19806932">
                          <a:off x="0" y="0"/>
                          <a:ext cx="7636269" cy="1111433"/>
                        </a:xfrm>
                        <a:prstGeom prst="rect">
                          <a:avLst/>
                        </a:prstGeom>
                        <a:noFill/>
                        <a:ln>
                          <a:noFill/>
                        </a:ln>
                        <a:effectLst/>
                      </wps:spPr>
                      <wps:txbx>
                        <w:txbxContent>
                          <w:p w14:paraId="24A08FC5">
                            <w:pPr>
                              <w:jc w:val="center"/>
                              <w:rPr>
                                <w:sz w:val="13"/>
                                <w:szCs w:val="72"/>
                              </w:rPr>
                            </w:pPr>
                            <w:r>
                              <w:rPr>
                                <w:rFonts w:hint="eastAsia"/>
                                <w:sz w:val="48"/>
                                <w:szCs w:val="40"/>
                              </w:rPr>
                              <w:t>仅用于</w:t>
                            </w:r>
                            <w:r>
                              <w:rPr>
                                <w:rFonts w:hint="eastAsia"/>
                                <w:sz w:val="48"/>
                                <w:szCs w:val="84"/>
                              </w:rPr>
                              <w:t>压力容器及特种设备生产项目</w:t>
                            </w:r>
                          </w:p>
                          <w:p w14:paraId="00D1423E">
                            <w:pPr>
                              <w:jc w:val="center"/>
                              <w:rPr>
                                <w:sz w:val="48"/>
                                <w:szCs w:val="4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95pt;margin-top:160.15pt;height:87.5pt;width:601.3pt;mso-position-horizontal-relative:margin;rotation:-1958508f;z-index:251664384;mso-width-relative:page;mso-height-relative:page;" filled="f" stroked="f" coordsize="21600,21600" o:gfxdata="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NQJl83gAAAA0BAAAPAAAAAAAA&#10;AAEAIAAAACIAAABkcnMvZG93bnJldi54bWxQSwECFAAUAAAACACHTuJAdxe1oUUCAAB9BAAADgAA&#10;AAAAAAABACAAAAAtAQAAZHJzL2Uyb0RvYy54bWxQSwUGAAAAAAYABgBZAQAA5AUAAAAA&#10;">
                <v:fill on="f" focussize="0,0"/>
                <v:stroke on="f"/>
                <v:imagedata o:title=""/>
                <o:lock v:ext="edit" aspectratio="f"/>
                <v:textbox>
                  <w:txbxContent>
                    <w:p w14:paraId="24A08FC5">
                      <w:pPr>
                        <w:jc w:val="center"/>
                        <w:rPr>
                          <w:sz w:val="13"/>
                          <w:szCs w:val="72"/>
                        </w:rPr>
                      </w:pPr>
                      <w:r>
                        <w:rPr>
                          <w:rFonts w:hint="eastAsia"/>
                          <w:sz w:val="48"/>
                          <w:szCs w:val="40"/>
                        </w:rPr>
                        <w:t>仅用于</w:t>
                      </w:r>
                      <w:r>
                        <w:rPr>
                          <w:rFonts w:hint="eastAsia"/>
                          <w:sz w:val="48"/>
                          <w:szCs w:val="84"/>
                        </w:rPr>
                        <w:t>压力容器及特种设备生产项目</w:t>
                      </w:r>
                    </w:p>
                    <w:p w14:paraId="00D1423E">
                      <w:pPr>
                        <w:jc w:val="center"/>
                        <w:rPr>
                          <w:sz w:val="48"/>
                          <w:szCs w:val="48"/>
                        </w:rPr>
                      </w:pPr>
                    </w:p>
                  </w:txbxContent>
                </v:textbox>
              </v:shape>
            </w:pict>
          </mc:Fallback>
        </mc:AlternateContent>
      </w:r>
      <w:r>
        <w:rPr>
          <w:rFonts w:hint="eastAsia"/>
        </w:rPr>
        <w:drawing>
          <wp:anchor distT="0" distB="0" distL="114300" distR="114300" simplePos="0" relativeHeight="251667456" behindDoc="1" locked="0" layoutInCell="1" allowOverlap="1">
            <wp:simplePos x="0" y="0"/>
            <wp:positionH relativeFrom="margin">
              <wp:posOffset>-459740</wp:posOffset>
            </wp:positionH>
            <wp:positionV relativeFrom="paragraph">
              <wp:posOffset>134620</wp:posOffset>
            </wp:positionV>
            <wp:extent cx="6513195" cy="4182110"/>
            <wp:effectExtent l="0" t="0" r="1905" b="8890"/>
            <wp:wrapNone/>
            <wp:docPr id="66" name="图片 66" descr="2019040613370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190406133709-00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6513195" cy="4182110"/>
                    </a:xfrm>
                    <a:prstGeom prst="rect">
                      <a:avLst/>
                    </a:prstGeom>
                    <a:noFill/>
                  </pic:spPr>
                </pic:pic>
              </a:graphicData>
            </a:graphic>
          </wp:anchor>
        </w:drawing>
      </w:r>
      <w:bookmarkEnd w:id="0"/>
      <w:bookmarkEnd w:id="1"/>
      <w:bookmarkEnd w:id="2"/>
    </w:p>
    <w:p w14:paraId="70431EE7">
      <w:pPr>
        <w:widowControl/>
        <w:jc w:val="left"/>
        <w:rPr>
          <w:kern w:val="0"/>
          <w:sz w:val="36"/>
          <w:szCs w:val="36"/>
        </w:rPr>
      </w:pPr>
    </w:p>
    <w:p w14:paraId="1954D9C3">
      <w:pPr>
        <w:pStyle w:val="21"/>
        <w:jc w:val="center"/>
        <w:outlineLvl w:val="0"/>
        <w:rPr>
          <w:rFonts w:ascii="Times New Roman" w:hAnsi="Times New Roman"/>
          <w:sz w:val="36"/>
          <w:szCs w:val="36"/>
        </w:rPr>
        <w:sectPr>
          <w:pgSz w:w="11906" w:h="16838"/>
          <w:pgMar w:top="1701" w:right="1531" w:bottom="1701" w:left="1531" w:header="851" w:footer="1077" w:gutter="0"/>
          <w:pgNumType w:start="1"/>
          <w:cols w:space="720" w:num="1"/>
          <w:titlePg/>
          <w:docGrid w:linePitch="312" w:charSpace="0"/>
        </w:sectPr>
      </w:pPr>
    </w:p>
    <w:p w14:paraId="486123A5">
      <w:pPr>
        <w:pStyle w:val="21"/>
        <w:spacing w:before="0" w:beforeAutospacing="0" w:after="0" w:afterAutospacing="0" w:line="360" w:lineRule="auto"/>
        <w:jc w:val="center"/>
        <w:outlineLvl w:val="0"/>
        <w:rPr>
          <w:rFonts w:ascii="黑体" w:hAnsi="黑体" w:eastAsia="黑体"/>
          <w:snapToGrid w:val="0"/>
          <w:sz w:val="30"/>
          <w:szCs w:val="30"/>
        </w:rPr>
      </w:pPr>
      <w:r>
        <w:rPr>
          <w:rFonts w:ascii="黑体" w:hAnsi="黑体" w:eastAsia="黑体"/>
          <w:snapToGrid w:val="0"/>
          <w:sz w:val="30"/>
          <w:szCs w:val="30"/>
        </w:rPr>
        <w:t>一、建设项目基本情况</w:t>
      </w:r>
    </w:p>
    <w:tbl>
      <w:tblPr>
        <w:tblStyle w:val="25"/>
        <w:tblW w:w="8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56"/>
        <w:gridCol w:w="1117"/>
        <w:gridCol w:w="2126"/>
        <w:gridCol w:w="1701"/>
        <w:gridCol w:w="3521"/>
      </w:tblGrid>
      <w:tr w14:paraId="07E0E1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13E8EC91">
            <w:pPr>
              <w:adjustRightInd w:val="0"/>
              <w:snapToGrid w:val="0"/>
              <w:jc w:val="center"/>
              <w:rPr>
                <w:sz w:val="24"/>
              </w:rPr>
            </w:pPr>
            <w:r>
              <w:rPr>
                <w:sz w:val="24"/>
              </w:rPr>
              <w:t>建设项目名称</w:t>
            </w:r>
          </w:p>
        </w:tc>
        <w:tc>
          <w:tcPr>
            <w:tcW w:w="7348" w:type="dxa"/>
            <w:gridSpan w:val="3"/>
            <w:vAlign w:val="center"/>
          </w:tcPr>
          <w:p w14:paraId="7F6DC544">
            <w:pPr>
              <w:adjustRightInd w:val="0"/>
              <w:snapToGrid w:val="0"/>
              <w:jc w:val="center"/>
              <w:rPr>
                <w:sz w:val="24"/>
              </w:rPr>
            </w:pPr>
            <w:bookmarkStart w:id="3" w:name="OLE_LINK155"/>
            <w:bookmarkStart w:id="4" w:name="OLE_LINK35"/>
            <w:bookmarkStart w:id="5" w:name="OLE_LINK38"/>
            <w:bookmarkStart w:id="6" w:name="OLE_LINK187"/>
            <w:r>
              <w:rPr>
                <w:sz w:val="24"/>
              </w:rPr>
              <w:t>压力容器及特种设备生产项目</w:t>
            </w:r>
            <w:bookmarkEnd w:id="3"/>
            <w:bookmarkEnd w:id="4"/>
            <w:bookmarkEnd w:id="5"/>
            <w:bookmarkEnd w:id="6"/>
          </w:p>
        </w:tc>
      </w:tr>
      <w:tr w14:paraId="5CF80C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3B4D3028">
            <w:pPr>
              <w:adjustRightInd w:val="0"/>
              <w:snapToGrid w:val="0"/>
              <w:jc w:val="center"/>
              <w:rPr>
                <w:sz w:val="24"/>
              </w:rPr>
            </w:pPr>
            <w:r>
              <w:rPr>
                <w:sz w:val="24"/>
              </w:rPr>
              <w:t>项目代码</w:t>
            </w:r>
          </w:p>
        </w:tc>
        <w:tc>
          <w:tcPr>
            <w:tcW w:w="7348" w:type="dxa"/>
            <w:gridSpan w:val="3"/>
            <w:vAlign w:val="center"/>
          </w:tcPr>
          <w:p w14:paraId="454B8B0D">
            <w:pPr>
              <w:adjustRightInd w:val="0"/>
              <w:snapToGrid w:val="0"/>
              <w:jc w:val="center"/>
              <w:rPr>
                <w:sz w:val="24"/>
              </w:rPr>
            </w:pPr>
            <w:bookmarkStart w:id="7" w:name="OLE_LINK32"/>
            <w:bookmarkStart w:id="8" w:name="OLE_LINK53"/>
            <w:bookmarkStart w:id="9" w:name="OLE_LINK64"/>
            <w:bookmarkStart w:id="10" w:name="OLE_LINK54"/>
            <w:bookmarkStart w:id="11" w:name="OLE_LINK188"/>
            <w:r>
              <w:rPr>
                <w:sz w:val="24"/>
              </w:rPr>
              <w:t>2411-370832-04-01-436983</w:t>
            </w:r>
            <w:bookmarkEnd w:id="7"/>
            <w:bookmarkEnd w:id="8"/>
            <w:bookmarkEnd w:id="9"/>
            <w:bookmarkEnd w:id="10"/>
            <w:bookmarkEnd w:id="11"/>
          </w:p>
        </w:tc>
      </w:tr>
      <w:tr w14:paraId="20A570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594BA6F6">
            <w:pPr>
              <w:adjustRightInd w:val="0"/>
              <w:snapToGrid w:val="0"/>
              <w:jc w:val="center"/>
              <w:rPr>
                <w:sz w:val="24"/>
              </w:rPr>
            </w:pPr>
            <w:r>
              <w:rPr>
                <w:sz w:val="24"/>
              </w:rPr>
              <w:t>建设单位</w:t>
            </w:r>
          </w:p>
          <w:p w14:paraId="3E80A292">
            <w:pPr>
              <w:adjustRightInd w:val="0"/>
              <w:snapToGrid w:val="0"/>
              <w:jc w:val="center"/>
              <w:rPr>
                <w:sz w:val="24"/>
              </w:rPr>
            </w:pPr>
            <w:r>
              <w:rPr>
                <w:sz w:val="24"/>
              </w:rPr>
              <w:t>联系人</w:t>
            </w:r>
          </w:p>
        </w:tc>
        <w:tc>
          <w:tcPr>
            <w:tcW w:w="2126" w:type="dxa"/>
            <w:vAlign w:val="center"/>
          </w:tcPr>
          <w:p w14:paraId="777F2255">
            <w:pPr>
              <w:adjustRightInd w:val="0"/>
              <w:snapToGrid w:val="0"/>
              <w:jc w:val="center"/>
              <w:rPr>
                <w:sz w:val="24"/>
              </w:rPr>
            </w:pPr>
            <w:bookmarkStart w:id="12" w:name="OLE_LINK184"/>
            <w:bookmarkStart w:id="13" w:name="OLE_LINK185"/>
            <w:r>
              <w:rPr>
                <w:rFonts w:hint="eastAsia"/>
                <w:sz w:val="24"/>
              </w:rPr>
              <w:t>张波</w:t>
            </w:r>
            <w:bookmarkEnd w:id="12"/>
            <w:bookmarkEnd w:id="13"/>
          </w:p>
        </w:tc>
        <w:tc>
          <w:tcPr>
            <w:tcW w:w="1701" w:type="dxa"/>
            <w:vAlign w:val="center"/>
          </w:tcPr>
          <w:p w14:paraId="24D36889">
            <w:pPr>
              <w:adjustRightInd w:val="0"/>
              <w:snapToGrid w:val="0"/>
              <w:jc w:val="center"/>
              <w:rPr>
                <w:sz w:val="24"/>
              </w:rPr>
            </w:pPr>
            <w:r>
              <w:rPr>
                <w:sz w:val="24"/>
              </w:rPr>
              <w:t>联系方式</w:t>
            </w:r>
          </w:p>
        </w:tc>
        <w:tc>
          <w:tcPr>
            <w:tcW w:w="3521" w:type="dxa"/>
            <w:vAlign w:val="center"/>
          </w:tcPr>
          <w:p w14:paraId="695466A9">
            <w:pPr>
              <w:adjustRightInd w:val="0"/>
              <w:snapToGrid w:val="0"/>
              <w:jc w:val="center"/>
              <w:rPr>
                <w:sz w:val="24"/>
              </w:rPr>
            </w:pPr>
            <w:bookmarkStart w:id="14" w:name="OLE_LINK45"/>
            <w:bookmarkStart w:id="15" w:name="OLE_LINK46"/>
            <w:bookmarkStart w:id="16" w:name="OLE_LINK186"/>
            <w:bookmarkStart w:id="17" w:name="OLE_LINK195"/>
            <w:bookmarkStart w:id="18" w:name="OLE_LINK196"/>
            <w:r>
              <w:rPr>
                <w:sz w:val="24"/>
              </w:rPr>
              <w:t>15154777751</w:t>
            </w:r>
            <w:bookmarkEnd w:id="14"/>
            <w:bookmarkEnd w:id="15"/>
            <w:bookmarkEnd w:id="16"/>
            <w:bookmarkEnd w:id="17"/>
            <w:bookmarkEnd w:id="18"/>
          </w:p>
        </w:tc>
      </w:tr>
      <w:tr w14:paraId="4CDFCC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620451A4">
            <w:pPr>
              <w:adjustRightInd w:val="0"/>
              <w:snapToGrid w:val="0"/>
              <w:jc w:val="center"/>
              <w:rPr>
                <w:sz w:val="24"/>
              </w:rPr>
            </w:pPr>
            <w:bookmarkStart w:id="19" w:name="_Hlk191027397"/>
            <w:r>
              <w:rPr>
                <w:sz w:val="24"/>
              </w:rPr>
              <w:t>建设地点</w:t>
            </w:r>
          </w:p>
        </w:tc>
        <w:tc>
          <w:tcPr>
            <w:tcW w:w="7348" w:type="dxa"/>
            <w:gridSpan w:val="3"/>
            <w:vAlign w:val="center"/>
          </w:tcPr>
          <w:p w14:paraId="7C1B8FC2">
            <w:pPr>
              <w:tabs>
                <w:tab w:val="left" w:pos="247"/>
              </w:tabs>
              <w:adjustRightInd w:val="0"/>
              <w:snapToGrid w:val="0"/>
              <w:jc w:val="center"/>
              <w:rPr>
                <w:sz w:val="24"/>
              </w:rPr>
            </w:pPr>
            <w:bookmarkStart w:id="20" w:name="OLE_LINK103"/>
            <w:bookmarkStart w:id="21" w:name="OLE_LINK102"/>
            <w:r>
              <w:rPr>
                <w:sz w:val="24"/>
              </w:rPr>
              <w:t>山东省济宁市</w:t>
            </w:r>
            <w:bookmarkStart w:id="22" w:name="OLE_LINK9"/>
            <w:bookmarkStart w:id="23" w:name="OLE_LINK5"/>
            <w:bookmarkStart w:id="24" w:name="OLE_LINK6"/>
            <w:bookmarkStart w:id="25" w:name="OLE_LINK10"/>
            <w:r>
              <w:rPr>
                <w:rFonts w:hint="eastAsia"/>
                <w:sz w:val="24"/>
              </w:rPr>
              <w:t>梁山经济开发区</w:t>
            </w:r>
            <w:bookmarkEnd w:id="22"/>
            <w:bookmarkEnd w:id="23"/>
            <w:bookmarkEnd w:id="24"/>
            <w:bookmarkEnd w:id="25"/>
            <w:r>
              <w:rPr>
                <w:sz w:val="24"/>
              </w:rPr>
              <w:t>三利路南、东王村</w:t>
            </w:r>
            <w:r>
              <w:rPr>
                <w:rFonts w:hint="eastAsia"/>
                <w:sz w:val="24"/>
              </w:rPr>
              <w:t>北</w:t>
            </w:r>
            <w:r>
              <w:rPr>
                <w:sz w:val="24"/>
              </w:rPr>
              <w:t>180m处</w:t>
            </w:r>
            <w:bookmarkEnd w:id="20"/>
            <w:bookmarkEnd w:id="21"/>
          </w:p>
        </w:tc>
      </w:tr>
      <w:bookmarkEnd w:id="19"/>
      <w:tr w14:paraId="7563E7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412E92E2">
            <w:pPr>
              <w:adjustRightInd w:val="0"/>
              <w:snapToGrid w:val="0"/>
              <w:jc w:val="center"/>
              <w:rPr>
                <w:sz w:val="24"/>
              </w:rPr>
            </w:pPr>
            <w:r>
              <w:rPr>
                <w:sz w:val="24"/>
              </w:rPr>
              <w:t>地理坐标</w:t>
            </w:r>
          </w:p>
        </w:tc>
        <w:tc>
          <w:tcPr>
            <w:tcW w:w="7348" w:type="dxa"/>
            <w:gridSpan w:val="3"/>
            <w:vAlign w:val="center"/>
          </w:tcPr>
          <w:p w14:paraId="19B9C4A5">
            <w:pPr>
              <w:jc w:val="center"/>
              <w:rPr>
                <w:sz w:val="24"/>
              </w:rPr>
            </w:pPr>
            <w:r>
              <w:rPr>
                <w:rFonts w:hint="eastAsia"/>
                <w:sz w:val="24"/>
              </w:rPr>
              <w:t>E：</w:t>
            </w:r>
            <w:bookmarkStart w:id="26" w:name="OLE_LINK50"/>
            <w:bookmarkStart w:id="27" w:name="OLE_LINK49"/>
            <w:r>
              <w:rPr>
                <w:sz w:val="24"/>
              </w:rPr>
              <w:t>116</w:t>
            </w:r>
            <w:r>
              <w:rPr>
                <w:rFonts w:hint="eastAsia"/>
                <w:sz w:val="24"/>
              </w:rPr>
              <w:t>°</w:t>
            </w:r>
            <w:r>
              <w:rPr>
                <w:sz w:val="24"/>
              </w:rPr>
              <w:t>9</w:t>
            </w:r>
            <w:r>
              <w:rPr>
                <w:rFonts w:hint="eastAsia"/>
                <w:sz w:val="24"/>
              </w:rPr>
              <w:t>′</w:t>
            </w:r>
            <w:r>
              <w:rPr>
                <w:sz w:val="24"/>
              </w:rPr>
              <w:t>24.228</w:t>
            </w:r>
            <w:r>
              <w:rPr>
                <w:rFonts w:hint="eastAsia"/>
                <w:sz w:val="24"/>
              </w:rPr>
              <w:t>″</w:t>
            </w:r>
            <w:bookmarkEnd w:id="26"/>
            <w:bookmarkEnd w:id="27"/>
            <w:r>
              <w:rPr>
                <w:sz w:val="24"/>
              </w:rPr>
              <w:t>，</w:t>
            </w:r>
            <w:r>
              <w:rPr>
                <w:rFonts w:hint="eastAsia"/>
                <w:sz w:val="24"/>
              </w:rPr>
              <w:t>N：</w:t>
            </w:r>
            <w:r>
              <w:rPr>
                <w:sz w:val="24"/>
              </w:rPr>
              <w:t>35</w:t>
            </w:r>
            <w:r>
              <w:rPr>
                <w:rFonts w:hint="eastAsia"/>
                <w:sz w:val="24"/>
              </w:rPr>
              <w:t>°</w:t>
            </w:r>
            <w:r>
              <w:rPr>
                <w:sz w:val="24"/>
              </w:rPr>
              <w:t>42</w:t>
            </w:r>
            <w:r>
              <w:rPr>
                <w:rFonts w:hint="eastAsia"/>
                <w:sz w:val="24"/>
              </w:rPr>
              <w:t>′</w:t>
            </w:r>
            <w:r>
              <w:rPr>
                <w:sz w:val="24"/>
              </w:rPr>
              <w:t>2.520</w:t>
            </w:r>
            <w:r>
              <w:rPr>
                <w:rFonts w:hint="eastAsia"/>
                <w:sz w:val="24"/>
              </w:rPr>
              <w:t>″</w:t>
            </w:r>
          </w:p>
          <w:p w14:paraId="0BCDE2CE">
            <w:pPr>
              <w:jc w:val="center"/>
              <w:rPr>
                <w:sz w:val="24"/>
              </w:rPr>
            </w:pPr>
            <w:bookmarkStart w:id="28" w:name="OLE_LINK47"/>
            <w:bookmarkStart w:id="29" w:name="OLE_LINK48"/>
            <w:r>
              <w:rPr>
                <w:rFonts w:hint="eastAsia"/>
                <w:sz w:val="24"/>
              </w:rPr>
              <w:t>E：</w:t>
            </w:r>
            <w:bookmarkStart w:id="30" w:name="OLE_LINK52"/>
            <w:bookmarkStart w:id="31" w:name="OLE_LINK51"/>
            <w:r>
              <w:rPr>
                <w:sz w:val="24"/>
              </w:rPr>
              <w:t>116</w:t>
            </w:r>
            <w:r>
              <w:rPr>
                <w:rFonts w:hint="eastAsia"/>
                <w:sz w:val="24"/>
              </w:rPr>
              <w:t>.</w:t>
            </w:r>
            <w:r>
              <w:rPr>
                <w:sz w:val="24"/>
              </w:rPr>
              <w:t>15673</w:t>
            </w:r>
            <w:bookmarkEnd w:id="30"/>
            <w:bookmarkEnd w:id="31"/>
            <w:r>
              <w:rPr>
                <w:rFonts w:hint="eastAsia"/>
                <w:sz w:val="24"/>
              </w:rPr>
              <w:t>°</w:t>
            </w:r>
            <w:r>
              <w:rPr>
                <w:sz w:val="24"/>
              </w:rPr>
              <w:t>，</w:t>
            </w:r>
            <w:r>
              <w:rPr>
                <w:rFonts w:hint="eastAsia"/>
                <w:sz w:val="24"/>
              </w:rPr>
              <w:t>N：</w:t>
            </w:r>
            <w:r>
              <w:rPr>
                <w:sz w:val="24"/>
              </w:rPr>
              <w:t>35</w:t>
            </w:r>
            <w:r>
              <w:rPr>
                <w:rFonts w:hint="eastAsia"/>
                <w:sz w:val="24"/>
              </w:rPr>
              <w:t>.</w:t>
            </w:r>
            <w:r>
              <w:rPr>
                <w:sz w:val="24"/>
              </w:rPr>
              <w:t>70070</w:t>
            </w:r>
            <w:r>
              <w:rPr>
                <w:rFonts w:hint="eastAsia"/>
                <w:sz w:val="24"/>
              </w:rPr>
              <w:t>°</w:t>
            </w:r>
            <w:bookmarkEnd w:id="28"/>
            <w:bookmarkEnd w:id="29"/>
          </w:p>
        </w:tc>
      </w:tr>
      <w:tr w14:paraId="13E89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73" w:type="dxa"/>
            <w:gridSpan w:val="2"/>
            <w:tcMar>
              <w:top w:w="16" w:type="dxa"/>
              <w:left w:w="16" w:type="dxa"/>
              <w:right w:w="16" w:type="dxa"/>
            </w:tcMar>
            <w:vAlign w:val="center"/>
          </w:tcPr>
          <w:p w14:paraId="7D15EA3B">
            <w:pPr>
              <w:adjustRightInd w:val="0"/>
              <w:snapToGrid w:val="0"/>
              <w:jc w:val="center"/>
              <w:rPr>
                <w:sz w:val="24"/>
              </w:rPr>
            </w:pPr>
            <w:r>
              <w:rPr>
                <w:sz w:val="24"/>
              </w:rPr>
              <w:t>国民经济行业类别</w:t>
            </w:r>
          </w:p>
        </w:tc>
        <w:tc>
          <w:tcPr>
            <w:tcW w:w="2126" w:type="dxa"/>
            <w:vAlign w:val="center"/>
          </w:tcPr>
          <w:p w14:paraId="4B8E3DFA">
            <w:pPr>
              <w:adjustRightInd w:val="0"/>
              <w:snapToGrid w:val="0"/>
              <w:jc w:val="center"/>
              <w:rPr>
                <w:sz w:val="24"/>
              </w:rPr>
            </w:pPr>
            <w:bookmarkStart w:id="32" w:name="OLE_LINK61"/>
            <w:bookmarkStart w:id="33" w:name="OLE_LINK37"/>
            <w:bookmarkStart w:id="34" w:name="OLE_LINK75"/>
            <w:bookmarkStart w:id="35" w:name="OLE_LINK62"/>
            <w:bookmarkStart w:id="36" w:name="OLE_LINK36"/>
            <w:r>
              <w:rPr>
                <w:sz w:val="24"/>
              </w:rPr>
              <w:t>C3332</w:t>
            </w:r>
            <w:bookmarkStart w:id="37" w:name="OLE_LINK68"/>
            <w:bookmarkStart w:id="38" w:name="OLE_LINK67"/>
            <w:r>
              <w:rPr>
                <w:rFonts w:hint="eastAsia"/>
                <w:sz w:val="24"/>
              </w:rPr>
              <w:t xml:space="preserve"> </w:t>
            </w:r>
            <w:bookmarkStart w:id="39" w:name="OLE_LINK57"/>
            <w:bookmarkStart w:id="40" w:name="OLE_LINK69"/>
            <w:bookmarkStart w:id="41" w:name="OLE_LINK58"/>
            <w:bookmarkStart w:id="42" w:name="OLE_LINK1"/>
            <w:bookmarkStart w:id="43" w:name="OLE_LINK21"/>
            <w:bookmarkStart w:id="44" w:name="OLE_LINK70"/>
            <w:r>
              <w:rPr>
                <w:rFonts w:hint="eastAsia"/>
                <w:sz w:val="24"/>
              </w:rPr>
              <w:t>金属压力容器制造</w:t>
            </w:r>
            <w:bookmarkEnd w:id="32"/>
            <w:bookmarkEnd w:id="33"/>
            <w:bookmarkEnd w:id="34"/>
            <w:bookmarkEnd w:id="35"/>
            <w:bookmarkEnd w:id="36"/>
            <w:bookmarkEnd w:id="37"/>
            <w:bookmarkEnd w:id="38"/>
            <w:bookmarkEnd w:id="39"/>
            <w:bookmarkEnd w:id="40"/>
            <w:bookmarkEnd w:id="41"/>
            <w:bookmarkEnd w:id="42"/>
            <w:bookmarkEnd w:id="43"/>
            <w:bookmarkEnd w:id="44"/>
          </w:p>
        </w:tc>
        <w:tc>
          <w:tcPr>
            <w:tcW w:w="1701" w:type="dxa"/>
            <w:vAlign w:val="center"/>
          </w:tcPr>
          <w:p w14:paraId="744261CB">
            <w:pPr>
              <w:adjustRightInd w:val="0"/>
              <w:snapToGrid w:val="0"/>
              <w:jc w:val="center"/>
              <w:rPr>
                <w:sz w:val="24"/>
              </w:rPr>
            </w:pPr>
            <w:bookmarkStart w:id="45" w:name="_Hlk49843745"/>
            <w:r>
              <w:rPr>
                <w:sz w:val="24"/>
              </w:rPr>
              <w:t>建设项目</w:t>
            </w:r>
          </w:p>
          <w:p w14:paraId="55EC1D29">
            <w:pPr>
              <w:adjustRightInd w:val="0"/>
              <w:snapToGrid w:val="0"/>
              <w:jc w:val="center"/>
              <w:rPr>
                <w:sz w:val="24"/>
              </w:rPr>
            </w:pPr>
            <w:r>
              <w:rPr>
                <w:sz w:val="24"/>
              </w:rPr>
              <w:t>行业类别</w:t>
            </w:r>
            <w:bookmarkEnd w:id="45"/>
          </w:p>
        </w:tc>
        <w:tc>
          <w:tcPr>
            <w:tcW w:w="3521" w:type="dxa"/>
            <w:vAlign w:val="center"/>
          </w:tcPr>
          <w:p w14:paraId="18A91E56">
            <w:pPr>
              <w:adjustRightInd w:val="0"/>
              <w:snapToGrid w:val="0"/>
              <w:jc w:val="left"/>
              <w:rPr>
                <w:bCs/>
                <w:sz w:val="24"/>
              </w:rPr>
            </w:pPr>
            <w:r>
              <w:rPr>
                <w:bCs/>
                <w:sz w:val="24"/>
              </w:rPr>
              <w:t>“三十、</w:t>
            </w:r>
            <w:r>
              <w:rPr>
                <w:rFonts w:hint="eastAsia"/>
                <w:bCs/>
                <w:sz w:val="24"/>
              </w:rPr>
              <w:t>金属制品</w:t>
            </w:r>
            <w:r>
              <w:rPr>
                <w:bCs/>
                <w:sz w:val="24"/>
              </w:rPr>
              <w:t>业33”中“</w:t>
            </w:r>
            <w:r>
              <w:rPr>
                <w:rFonts w:hint="eastAsia"/>
                <w:bCs/>
                <w:sz w:val="24"/>
              </w:rPr>
              <w:t>集装箱及金属包装容器制造 333</w:t>
            </w:r>
            <w:r>
              <w:rPr>
                <w:bCs/>
                <w:sz w:val="24"/>
              </w:rPr>
              <w:t>”中</w:t>
            </w:r>
            <w:r>
              <w:rPr>
                <w:rFonts w:hint="eastAsia"/>
                <w:bCs/>
                <w:sz w:val="24"/>
              </w:rPr>
              <w:t>其他（仅分割、焊接、组装的除外；年用非溶剂型低VOCs含量涂料10吨以下的除外）</w:t>
            </w:r>
            <w:r>
              <w:rPr>
                <w:bCs/>
                <w:sz w:val="24"/>
              </w:rPr>
              <w:t>”</w:t>
            </w:r>
          </w:p>
        </w:tc>
      </w:tr>
      <w:tr w14:paraId="08367D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73" w:type="dxa"/>
            <w:gridSpan w:val="2"/>
            <w:tcMar>
              <w:top w:w="16" w:type="dxa"/>
              <w:left w:w="16" w:type="dxa"/>
              <w:right w:w="16" w:type="dxa"/>
            </w:tcMar>
            <w:vAlign w:val="center"/>
          </w:tcPr>
          <w:p w14:paraId="04BA5CFD">
            <w:pPr>
              <w:adjustRightInd w:val="0"/>
              <w:snapToGrid w:val="0"/>
              <w:jc w:val="center"/>
              <w:rPr>
                <w:sz w:val="24"/>
              </w:rPr>
            </w:pPr>
            <w:r>
              <w:rPr>
                <w:sz w:val="24"/>
              </w:rPr>
              <w:t>建设</w:t>
            </w:r>
          </w:p>
          <w:p w14:paraId="68A60B89">
            <w:pPr>
              <w:adjustRightInd w:val="0"/>
              <w:snapToGrid w:val="0"/>
              <w:jc w:val="center"/>
              <w:rPr>
                <w:sz w:val="24"/>
              </w:rPr>
            </w:pPr>
            <w:r>
              <w:rPr>
                <w:sz w:val="24"/>
              </w:rPr>
              <w:t>性质</w:t>
            </w:r>
          </w:p>
        </w:tc>
        <w:tc>
          <w:tcPr>
            <w:tcW w:w="2126" w:type="dxa"/>
            <w:vAlign w:val="center"/>
          </w:tcPr>
          <w:p w14:paraId="2829529B">
            <w:pPr>
              <w:jc w:val="left"/>
              <w:rPr>
                <w:sz w:val="24"/>
              </w:rPr>
            </w:pPr>
            <w:r>
              <w:rPr>
                <w:bCs/>
                <w:sz w:val="24"/>
              </w:rPr>
              <w:sym w:font="Wingdings 2" w:char="0052"/>
            </w:r>
            <w:r>
              <w:rPr>
                <w:sz w:val="24"/>
              </w:rPr>
              <w:t>新建（迁建）</w:t>
            </w:r>
          </w:p>
          <w:p w14:paraId="606769FC">
            <w:pPr>
              <w:jc w:val="left"/>
              <w:rPr>
                <w:sz w:val="24"/>
              </w:rPr>
            </w:pPr>
            <w:r>
              <w:rPr>
                <w:sz w:val="24"/>
              </w:rPr>
              <w:t>□改建</w:t>
            </w:r>
          </w:p>
          <w:p w14:paraId="71D07E1E">
            <w:pPr>
              <w:jc w:val="left"/>
              <w:rPr>
                <w:sz w:val="24"/>
              </w:rPr>
            </w:pPr>
            <w:r>
              <w:rPr>
                <w:sz w:val="24"/>
              </w:rPr>
              <w:t>□扩建</w:t>
            </w:r>
          </w:p>
          <w:p w14:paraId="218F357A">
            <w:pPr>
              <w:jc w:val="left"/>
              <w:rPr>
                <w:sz w:val="24"/>
              </w:rPr>
            </w:pPr>
            <w:r>
              <w:rPr>
                <w:sz w:val="24"/>
              </w:rPr>
              <w:t>□技术改造</w:t>
            </w:r>
          </w:p>
        </w:tc>
        <w:tc>
          <w:tcPr>
            <w:tcW w:w="1701" w:type="dxa"/>
            <w:vAlign w:val="center"/>
          </w:tcPr>
          <w:p w14:paraId="45710763">
            <w:pPr>
              <w:adjustRightInd w:val="0"/>
              <w:snapToGrid w:val="0"/>
              <w:jc w:val="center"/>
              <w:rPr>
                <w:sz w:val="24"/>
              </w:rPr>
            </w:pPr>
            <w:r>
              <w:rPr>
                <w:sz w:val="24"/>
              </w:rPr>
              <w:t>建设项目</w:t>
            </w:r>
          </w:p>
          <w:p w14:paraId="723B22B0">
            <w:pPr>
              <w:adjustRightInd w:val="0"/>
              <w:snapToGrid w:val="0"/>
              <w:jc w:val="center"/>
              <w:rPr>
                <w:sz w:val="24"/>
              </w:rPr>
            </w:pPr>
            <w:r>
              <w:rPr>
                <w:sz w:val="24"/>
              </w:rPr>
              <w:t>申报情形</w:t>
            </w:r>
          </w:p>
        </w:tc>
        <w:tc>
          <w:tcPr>
            <w:tcW w:w="3521" w:type="dxa"/>
            <w:vAlign w:val="center"/>
          </w:tcPr>
          <w:p w14:paraId="02C21A66">
            <w:pPr>
              <w:jc w:val="left"/>
              <w:rPr>
                <w:sz w:val="24"/>
              </w:rPr>
            </w:pPr>
            <w:r>
              <w:rPr>
                <w:bCs/>
                <w:sz w:val="24"/>
              </w:rPr>
              <w:sym w:font="Wingdings 2" w:char="0052"/>
            </w:r>
            <w:r>
              <w:rPr>
                <w:sz w:val="24"/>
              </w:rPr>
              <w:t xml:space="preserve">首次申报项目 </w:t>
            </w:r>
          </w:p>
          <w:p w14:paraId="594072BA">
            <w:pPr>
              <w:jc w:val="left"/>
              <w:rPr>
                <w:sz w:val="24"/>
              </w:rPr>
            </w:pPr>
            <w:r>
              <w:rPr>
                <w:sz w:val="24"/>
              </w:rPr>
              <w:t>□不予批准后再次申报项目</w:t>
            </w:r>
          </w:p>
          <w:p w14:paraId="33D9BF5F">
            <w:pPr>
              <w:jc w:val="left"/>
              <w:rPr>
                <w:sz w:val="24"/>
              </w:rPr>
            </w:pPr>
            <w:r>
              <w:rPr>
                <w:sz w:val="24"/>
              </w:rPr>
              <w:t xml:space="preserve">□超五年重新审核项目 </w:t>
            </w:r>
          </w:p>
          <w:p w14:paraId="418F8178">
            <w:pPr>
              <w:jc w:val="left"/>
              <w:rPr>
                <w:sz w:val="24"/>
              </w:rPr>
            </w:pPr>
            <w:r>
              <w:rPr>
                <w:sz w:val="24"/>
              </w:rPr>
              <w:t>□重大变动重新报批项目</w:t>
            </w:r>
          </w:p>
        </w:tc>
      </w:tr>
      <w:tr w14:paraId="060B16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73" w:type="dxa"/>
            <w:gridSpan w:val="2"/>
            <w:tcMar>
              <w:top w:w="16" w:type="dxa"/>
              <w:left w:w="16" w:type="dxa"/>
              <w:right w:w="16" w:type="dxa"/>
            </w:tcMar>
            <w:vAlign w:val="center"/>
          </w:tcPr>
          <w:p w14:paraId="7C6316EA">
            <w:pPr>
              <w:adjustRightInd w:val="0"/>
              <w:snapToGrid w:val="0"/>
              <w:jc w:val="center"/>
              <w:rPr>
                <w:sz w:val="24"/>
              </w:rPr>
            </w:pPr>
            <w:r>
              <w:rPr>
                <w:sz w:val="24"/>
              </w:rPr>
              <w:t>项目审批（核准/备案）部门</w:t>
            </w:r>
          </w:p>
          <w:p w14:paraId="32B4D7B3">
            <w:pPr>
              <w:adjustRightInd w:val="0"/>
              <w:snapToGrid w:val="0"/>
              <w:jc w:val="center"/>
              <w:rPr>
                <w:sz w:val="24"/>
              </w:rPr>
            </w:pPr>
            <w:r>
              <w:rPr>
                <w:sz w:val="24"/>
              </w:rPr>
              <w:t>（选填）</w:t>
            </w:r>
          </w:p>
        </w:tc>
        <w:tc>
          <w:tcPr>
            <w:tcW w:w="2126" w:type="dxa"/>
            <w:vAlign w:val="center"/>
          </w:tcPr>
          <w:p w14:paraId="26AB1F95">
            <w:pPr>
              <w:adjustRightInd w:val="0"/>
              <w:snapToGrid w:val="0"/>
              <w:jc w:val="center"/>
              <w:rPr>
                <w:sz w:val="24"/>
              </w:rPr>
            </w:pPr>
            <w:r>
              <w:rPr>
                <w:sz w:val="24"/>
              </w:rPr>
              <w:t>梁山县行政审批服务局</w:t>
            </w:r>
          </w:p>
        </w:tc>
        <w:tc>
          <w:tcPr>
            <w:tcW w:w="1701" w:type="dxa"/>
            <w:vAlign w:val="center"/>
          </w:tcPr>
          <w:p w14:paraId="3FBF7C05">
            <w:pPr>
              <w:adjustRightInd w:val="0"/>
              <w:snapToGrid w:val="0"/>
              <w:jc w:val="center"/>
              <w:rPr>
                <w:sz w:val="24"/>
              </w:rPr>
            </w:pPr>
            <w:r>
              <w:rPr>
                <w:sz w:val="24"/>
              </w:rPr>
              <w:t>项目审批</w:t>
            </w:r>
          </w:p>
          <w:p w14:paraId="381374DC">
            <w:pPr>
              <w:adjustRightInd w:val="0"/>
              <w:snapToGrid w:val="0"/>
              <w:jc w:val="center"/>
              <w:rPr>
                <w:sz w:val="24"/>
              </w:rPr>
            </w:pPr>
            <w:r>
              <w:rPr>
                <w:sz w:val="24"/>
              </w:rPr>
              <w:t>（核准/备案）</w:t>
            </w:r>
          </w:p>
          <w:p w14:paraId="0A1F86E9">
            <w:pPr>
              <w:adjustRightInd w:val="0"/>
              <w:snapToGrid w:val="0"/>
              <w:jc w:val="center"/>
              <w:rPr>
                <w:sz w:val="24"/>
              </w:rPr>
            </w:pPr>
            <w:r>
              <w:rPr>
                <w:sz w:val="24"/>
              </w:rPr>
              <w:t>文号（选填）</w:t>
            </w:r>
          </w:p>
        </w:tc>
        <w:tc>
          <w:tcPr>
            <w:tcW w:w="3521" w:type="dxa"/>
            <w:vAlign w:val="center"/>
          </w:tcPr>
          <w:p w14:paraId="5B2F8C9B">
            <w:pPr>
              <w:adjustRightInd w:val="0"/>
              <w:snapToGrid w:val="0"/>
              <w:jc w:val="center"/>
              <w:rPr>
                <w:sz w:val="24"/>
              </w:rPr>
            </w:pPr>
            <w:r>
              <w:rPr>
                <w:sz w:val="24"/>
              </w:rPr>
              <w:t>2411-370832-04-01-436983</w:t>
            </w:r>
          </w:p>
        </w:tc>
      </w:tr>
      <w:tr w14:paraId="009B09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5B7FF943">
            <w:pPr>
              <w:adjustRightInd w:val="0"/>
              <w:snapToGrid w:val="0"/>
              <w:jc w:val="center"/>
              <w:rPr>
                <w:sz w:val="24"/>
              </w:rPr>
            </w:pPr>
            <w:r>
              <w:rPr>
                <w:sz w:val="24"/>
              </w:rPr>
              <w:t>总投资</w:t>
            </w:r>
          </w:p>
          <w:p w14:paraId="13EF3F3E">
            <w:pPr>
              <w:adjustRightInd w:val="0"/>
              <w:snapToGrid w:val="0"/>
              <w:jc w:val="center"/>
              <w:rPr>
                <w:sz w:val="24"/>
              </w:rPr>
            </w:pPr>
            <w:r>
              <w:rPr>
                <w:sz w:val="24"/>
              </w:rPr>
              <w:t>（万元）</w:t>
            </w:r>
          </w:p>
        </w:tc>
        <w:tc>
          <w:tcPr>
            <w:tcW w:w="2126" w:type="dxa"/>
            <w:vAlign w:val="center"/>
          </w:tcPr>
          <w:p w14:paraId="73D24ECD">
            <w:pPr>
              <w:adjustRightInd w:val="0"/>
              <w:snapToGrid w:val="0"/>
              <w:jc w:val="center"/>
              <w:rPr>
                <w:sz w:val="24"/>
              </w:rPr>
            </w:pPr>
            <w:bookmarkStart w:id="46" w:name="OLE_LINK193"/>
            <w:bookmarkStart w:id="47" w:name="OLE_LINK194"/>
            <w:r>
              <w:rPr>
                <w:sz w:val="24"/>
              </w:rPr>
              <w:t>30000</w:t>
            </w:r>
            <w:bookmarkEnd w:id="46"/>
            <w:bookmarkEnd w:id="47"/>
          </w:p>
        </w:tc>
        <w:tc>
          <w:tcPr>
            <w:tcW w:w="1701" w:type="dxa"/>
            <w:tcMar>
              <w:top w:w="16" w:type="dxa"/>
              <w:left w:w="16" w:type="dxa"/>
              <w:right w:w="16" w:type="dxa"/>
            </w:tcMar>
            <w:vAlign w:val="center"/>
          </w:tcPr>
          <w:p w14:paraId="1FF2FA77">
            <w:pPr>
              <w:adjustRightInd w:val="0"/>
              <w:snapToGrid w:val="0"/>
              <w:jc w:val="center"/>
              <w:rPr>
                <w:sz w:val="24"/>
              </w:rPr>
            </w:pPr>
            <w:r>
              <w:rPr>
                <w:sz w:val="24"/>
              </w:rPr>
              <w:t>环保投资（万元）</w:t>
            </w:r>
          </w:p>
        </w:tc>
        <w:tc>
          <w:tcPr>
            <w:tcW w:w="3521" w:type="dxa"/>
            <w:vAlign w:val="center"/>
          </w:tcPr>
          <w:p w14:paraId="2FFA05AA">
            <w:pPr>
              <w:adjustRightInd w:val="0"/>
              <w:snapToGrid w:val="0"/>
              <w:jc w:val="center"/>
              <w:rPr>
                <w:sz w:val="24"/>
              </w:rPr>
            </w:pPr>
            <w:r>
              <w:rPr>
                <w:sz w:val="24"/>
              </w:rPr>
              <w:t>48</w:t>
            </w:r>
          </w:p>
        </w:tc>
      </w:tr>
      <w:tr w14:paraId="7CD6A0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6C59627E">
            <w:pPr>
              <w:adjustRightInd w:val="0"/>
              <w:snapToGrid w:val="0"/>
              <w:jc w:val="center"/>
              <w:rPr>
                <w:sz w:val="24"/>
              </w:rPr>
            </w:pPr>
            <w:r>
              <w:rPr>
                <w:sz w:val="24"/>
              </w:rPr>
              <w:t>环保投资占比（%）</w:t>
            </w:r>
          </w:p>
        </w:tc>
        <w:tc>
          <w:tcPr>
            <w:tcW w:w="2126" w:type="dxa"/>
            <w:vAlign w:val="center"/>
          </w:tcPr>
          <w:p w14:paraId="15DA6DD8">
            <w:pPr>
              <w:adjustRightInd w:val="0"/>
              <w:snapToGrid w:val="0"/>
              <w:jc w:val="center"/>
              <w:rPr>
                <w:sz w:val="24"/>
              </w:rPr>
            </w:pPr>
            <w:r>
              <w:rPr>
                <w:sz w:val="24"/>
              </w:rPr>
              <w:t>0.16</w:t>
            </w:r>
          </w:p>
        </w:tc>
        <w:tc>
          <w:tcPr>
            <w:tcW w:w="1701" w:type="dxa"/>
            <w:tcMar>
              <w:top w:w="16" w:type="dxa"/>
              <w:left w:w="16" w:type="dxa"/>
              <w:right w:w="16" w:type="dxa"/>
            </w:tcMar>
            <w:vAlign w:val="center"/>
          </w:tcPr>
          <w:p w14:paraId="1B6BF481">
            <w:pPr>
              <w:adjustRightInd w:val="0"/>
              <w:snapToGrid w:val="0"/>
              <w:jc w:val="center"/>
              <w:rPr>
                <w:sz w:val="24"/>
              </w:rPr>
            </w:pPr>
            <w:r>
              <w:rPr>
                <w:sz w:val="24"/>
              </w:rPr>
              <w:t>施工工期</w:t>
            </w:r>
          </w:p>
        </w:tc>
        <w:tc>
          <w:tcPr>
            <w:tcW w:w="3521" w:type="dxa"/>
            <w:vAlign w:val="center"/>
          </w:tcPr>
          <w:p w14:paraId="10124BBD">
            <w:pPr>
              <w:adjustRightInd w:val="0"/>
              <w:snapToGrid w:val="0"/>
              <w:jc w:val="center"/>
              <w:rPr>
                <w:sz w:val="24"/>
              </w:rPr>
            </w:pPr>
            <w:r>
              <w:rPr>
                <w:sz w:val="24"/>
              </w:rPr>
              <w:t>3个月</w:t>
            </w:r>
          </w:p>
        </w:tc>
      </w:tr>
      <w:tr w14:paraId="27DA01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3" w:type="dxa"/>
            <w:gridSpan w:val="2"/>
            <w:tcMar>
              <w:top w:w="16" w:type="dxa"/>
              <w:left w:w="16" w:type="dxa"/>
              <w:right w:w="16" w:type="dxa"/>
            </w:tcMar>
            <w:vAlign w:val="center"/>
          </w:tcPr>
          <w:p w14:paraId="1AF6FC3E">
            <w:pPr>
              <w:adjustRightInd w:val="0"/>
              <w:snapToGrid w:val="0"/>
              <w:jc w:val="center"/>
              <w:rPr>
                <w:sz w:val="24"/>
              </w:rPr>
            </w:pPr>
            <w:r>
              <w:rPr>
                <w:sz w:val="24"/>
              </w:rPr>
              <w:t>是否开工建设</w:t>
            </w:r>
          </w:p>
        </w:tc>
        <w:tc>
          <w:tcPr>
            <w:tcW w:w="2126" w:type="dxa"/>
            <w:vAlign w:val="center"/>
          </w:tcPr>
          <w:p w14:paraId="560F0029">
            <w:pPr>
              <w:adjustRightInd w:val="0"/>
              <w:snapToGrid w:val="0"/>
              <w:rPr>
                <w:sz w:val="24"/>
              </w:rPr>
            </w:pPr>
            <w:r>
              <w:rPr>
                <w:bCs/>
                <w:sz w:val="24"/>
              </w:rPr>
              <w:sym w:font="Wingdings 2" w:char="0052"/>
            </w:r>
            <w:r>
              <w:rPr>
                <w:sz w:val="24"/>
              </w:rPr>
              <w:t>否</w:t>
            </w:r>
          </w:p>
          <w:p w14:paraId="3867755B">
            <w:pPr>
              <w:adjustRightInd w:val="0"/>
              <w:snapToGrid w:val="0"/>
              <w:rPr>
                <w:sz w:val="24"/>
              </w:rPr>
            </w:pPr>
            <w:r>
              <w:rPr>
                <w:sz w:val="24"/>
              </w:rPr>
              <w:t>□是：</w:t>
            </w:r>
            <w:r>
              <w:rPr>
                <w:sz w:val="24"/>
                <w:u w:val="single"/>
              </w:rPr>
              <w:t xml:space="preserve">             </w:t>
            </w:r>
          </w:p>
        </w:tc>
        <w:tc>
          <w:tcPr>
            <w:tcW w:w="1701" w:type="dxa"/>
            <w:tcMar>
              <w:top w:w="16" w:type="dxa"/>
              <w:left w:w="16" w:type="dxa"/>
              <w:right w:w="16" w:type="dxa"/>
            </w:tcMar>
            <w:vAlign w:val="center"/>
          </w:tcPr>
          <w:p w14:paraId="7D15643B">
            <w:pPr>
              <w:adjustRightInd w:val="0"/>
              <w:snapToGrid w:val="0"/>
              <w:jc w:val="center"/>
              <w:rPr>
                <w:spacing w:val="-6"/>
                <w:sz w:val="24"/>
              </w:rPr>
            </w:pPr>
            <w:r>
              <w:rPr>
                <w:spacing w:val="-6"/>
                <w:sz w:val="24"/>
              </w:rPr>
              <w:t>用地（用海）面积（m</w:t>
            </w:r>
            <w:r>
              <w:rPr>
                <w:spacing w:val="-6"/>
                <w:sz w:val="24"/>
                <w:vertAlign w:val="superscript"/>
              </w:rPr>
              <w:t>2</w:t>
            </w:r>
            <w:r>
              <w:rPr>
                <w:spacing w:val="-6"/>
                <w:sz w:val="24"/>
              </w:rPr>
              <w:t>）</w:t>
            </w:r>
          </w:p>
        </w:tc>
        <w:tc>
          <w:tcPr>
            <w:tcW w:w="3521" w:type="dxa"/>
            <w:vAlign w:val="center"/>
          </w:tcPr>
          <w:p w14:paraId="5371FB9A">
            <w:pPr>
              <w:adjustRightInd w:val="0"/>
              <w:snapToGrid w:val="0"/>
              <w:jc w:val="center"/>
              <w:rPr>
                <w:sz w:val="24"/>
              </w:rPr>
            </w:pPr>
            <w:r>
              <w:rPr>
                <w:sz w:val="24"/>
              </w:rPr>
              <w:t>56229</w:t>
            </w:r>
          </w:p>
        </w:tc>
      </w:tr>
      <w:tr w14:paraId="510A1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73" w:type="dxa"/>
            <w:gridSpan w:val="2"/>
            <w:vAlign w:val="center"/>
          </w:tcPr>
          <w:p w14:paraId="49FC7C79">
            <w:pPr>
              <w:autoSpaceDE w:val="0"/>
              <w:autoSpaceDN w:val="0"/>
              <w:adjustRightInd w:val="0"/>
              <w:snapToGrid w:val="0"/>
              <w:jc w:val="center"/>
              <w:rPr>
                <w:kern w:val="0"/>
                <w:sz w:val="24"/>
              </w:rPr>
            </w:pPr>
            <w:r>
              <w:rPr>
                <w:kern w:val="0"/>
                <w:sz w:val="24"/>
              </w:rPr>
              <w:t>专项评价设置情况</w:t>
            </w:r>
          </w:p>
        </w:tc>
        <w:tc>
          <w:tcPr>
            <w:tcW w:w="7348" w:type="dxa"/>
            <w:gridSpan w:val="3"/>
            <w:vAlign w:val="center"/>
          </w:tcPr>
          <w:p w14:paraId="56D02E01">
            <w:pPr>
              <w:autoSpaceDE w:val="0"/>
              <w:autoSpaceDN w:val="0"/>
              <w:adjustRightInd w:val="0"/>
              <w:snapToGrid w:val="0"/>
              <w:jc w:val="center"/>
              <w:rPr>
                <w:kern w:val="0"/>
                <w:sz w:val="24"/>
              </w:rPr>
            </w:pPr>
            <w:r>
              <w:rPr>
                <w:kern w:val="0"/>
                <w:sz w:val="24"/>
              </w:rPr>
              <w:t>无</w:t>
            </w:r>
          </w:p>
        </w:tc>
      </w:tr>
      <w:tr w14:paraId="355C0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573" w:type="dxa"/>
            <w:gridSpan w:val="2"/>
            <w:vAlign w:val="center"/>
          </w:tcPr>
          <w:p w14:paraId="25D2F268">
            <w:pPr>
              <w:autoSpaceDE w:val="0"/>
              <w:autoSpaceDN w:val="0"/>
              <w:adjustRightInd w:val="0"/>
              <w:snapToGrid w:val="0"/>
              <w:jc w:val="center"/>
              <w:rPr>
                <w:kern w:val="0"/>
                <w:sz w:val="24"/>
              </w:rPr>
            </w:pPr>
            <w:r>
              <w:rPr>
                <w:sz w:val="24"/>
              </w:rPr>
              <w:t>规划情况</w:t>
            </w:r>
          </w:p>
        </w:tc>
        <w:tc>
          <w:tcPr>
            <w:tcW w:w="7348" w:type="dxa"/>
            <w:gridSpan w:val="3"/>
            <w:vAlign w:val="center"/>
          </w:tcPr>
          <w:p w14:paraId="5E548C9E">
            <w:pPr>
              <w:autoSpaceDE w:val="0"/>
              <w:autoSpaceDN w:val="0"/>
              <w:adjustRightInd w:val="0"/>
              <w:spacing w:line="360" w:lineRule="auto"/>
              <w:contextualSpacing/>
              <w:rPr>
                <w:sz w:val="24"/>
              </w:rPr>
            </w:pPr>
            <w:r>
              <w:rPr>
                <w:rFonts w:hint="eastAsia"/>
                <w:sz w:val="24"/>
              </w:rPr>
              <w:t>规划名称：《</w:t>
            </w:r>
            <w:bookmarkStart w:id="48" w:name="OLE_LINK4"/>
            <w:r>
              <w:rPr>
                <w:rFonts w:hint="eastAsia"/>
                <w:sz w:val="24"/>
              </w:rPr>
              <w:t>梁山经济开发区</w:t>
            </w:r>
            <w:bookmarkEnd w:id="48"/>
            <w:r>
              <w:rPr>
                <w:rFonts w:hint="eastAsia"/>
                <w:sz w:val="24"/>
              </w:rPr>
              <w:t>发展规划（2022-2035年）》；</w:t>
            </w:r>
          </w:p>
          <w:p w14:paraId="6C9CBCA5">
            <w:pPr>
              <w:autoSpaceDE w:val="0"/>
              <w:autoSpaceDN w:val="0"/>
              <w:adjustRightInd w:val="0"/>
              <w:spacing w:line="360" w:lineRule="auto"/>
              <w:contextualSpacing/>
              <w:rPr>
                <w:sz w:val="24"/>
              </w:rPr>
            </w:pPr>
            <w:r>
              <w:rPr>
                <w:rFonts w:hint="eastAsia"/>
                <w:sz w:val="24"/>
              </w:rPr>
              <w:t>批准机关：山东省人民政府</w:t>
            </w:r>
          </w:p>
          <w:p w14:paraId="481533C9">
            <w:pPr>
              <w:spacing w:line="360" w:lineRule="auto"/>
              <w:contextualSpacing/>
              <w:rPr>
                <w:sz w:val="24"/>
              </w:rPr>
            </w:pPr>
            <w:r>
              <w:rPr>
                <w:rFonts w:hint="eastAsia"/>
                <w:sz w:val="24"/>
              </w:rPr>
              <w:t>批准文件：《关于调整梁山经济开发区规划面积的批复》（文号：鲁政字[2023]45号）。</w:t>
            </w:r>
          </w:p>
        </w:tc>
      </w:tr>
      <w:tr w14:paraId="212280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1573" w:type="dxa"/>
            <w:gridSpan w:val="2"/>
            <w:vAlign w:val="center"/>
          </w:tcPr>
          <w:p w14:paraId="204664B1">
            <w:pPr>
              <w:adjustRightInd w:val="0"/>
              <w:snapToGrid w:val="0"/>
              <w:jc w:val="center"/>
              <w:rPr>
                <w:kern w:val="0"/>
                <w:sz w:val="24"/>
              </w:rPr>
            </w:pPr>
            <w:r>
              <w:rPr>
                <w:sz w:val="24"/>
              </w:rPr>
              <w:t>规划环境影响评价情况</w:t>
            </w:r>
          </w:p>
        </w:tc>
        <w:tc>
          <w:tcPr>
            <w:tcW w:w="7348" w:type="dxa"/>
            <w:gridSpan w:val="3"/>
            <w:vAlign w:val="center"/>
          </w:tcPr>
          <w:p w14:paraId="46BF7FD4">
            <w:pPr>
              <w:spacing w:line="360" w:lineRule="auto"/>
              <w:contextualSpacing/>
              <w:rPr>
                <w:sz w:val="24"/>
              </w:rPr>
            </w:pPr>
            <w:r>
              <w:rPr>
                <w:rFonts w:hint="eastAsia"/>
                <w:sz w:val="24"/>
              </w:rPr>
              <w:t>规划环境影响评价文件：《</w:t>
            </w:r>
            <w:bookmarkStart w:id="49" w:name="OLE_LINK182"/>
            <w:bookmarkStart w:id="50" w:name="OLE_LINK183"/>
            <w:r>
              <w:rPr>
                <w:rFonts w:hint="eastAsia"/>
                <w:sz w:val="24"/>
              </w:rPr>
              <w:t>梁山经济开发区发展规划（2022-2035年）环境影响报告书</w:t>
            </w:r>
            <w:bookmarkEnd w:id="49"/>
            <w:bookmarkEnd w:id="50"/>
            <w:r>
              <w:rPr>
                <w:rFonts w:hint="eastAsia"/>
                <w:sz w:val="24"/>
              </w:rPr>
              <w:t>》</w:t>
            </w:r>
          </w:p>
          <w:p w14:paraId="48593D38">
            <w:pPr>
              <w:spacing w:line="360" w:lineRule="auto"/>
              <w:contextualSpacing/>
              <w:rPr>
                <w:sz w:val="24"/>
              </w:rPr>
            </w:pPr>
            <w:r>
              <w:rPr>
                <w:rFonts w:hint="eastAsia"/>
                <w:sz w:val="24"/>
              </w:rPr>
              <w:t>召集审查机关：山东省生态环境厅</w:t>
            </w:r>
          </w:p>
          <w:p w14:paraId="2C33AF1A">
            <w:pPr>
              <w:spacing w:line="360" w:lineRule="auto"/>
              <w:contextualSpacing/>
              <w:rPr>
                <w:sz w:val="24"/>
              </w:rPr>
            </w:pPr>
            <w:r>
              <w:rPr>
                <w:rFonts w:hint="eastAsia"/>
                <w:sz w:val="24"/>
              </w:rPr>
              <w:t>审查文件：《山东省生态环境厅关于&lt;梁山经济开发区发展规划（2022—2035年）环境影响报告书&gt;的审查意见》</w:t>
            </w:r>
          </w:p>
          <w:p w14:paraId="5C2C9938">
            <w:pPr>
              <w:spacing w:line="360" w:lineRule="auto"/>
              <w:contextualSpacing/>
              <w:rPr>
                <w:sz w:val="24"/>
                <w:highlight w:val="yellow"/>
              </w:rPr>
            </w:pPr>
            <w:r>
              <w:rPr>
                <w:rFonts w:hint="eastAsia"/>
                <w:sz w:val="24"/>
              </w:rPr>
              <w:t>审查文号：</w:t>
            </w:r>
            <w:bookmarkStart w:id="51" w:name="OLE_LINK11"/>
            <w:bookmarkStart w:id="52" w:name="OLE_LINK12"/>
            <w:r>
              <w:rPr>
                <w:rFonts w:hint="eastAsia"/>
                <w:sz w:val="24"/>
              </w:rPr>
              <w:t>鲁环审[2023]50号</w:t>
            </w:r>
            <w:bookmarkEnd w:id="51"/>
            <w:bookmarkEnd w:id="52"/>
            <w:r>
              <w:rPr>
                <w:rFonts w:hint="eastAsia"/>
                <w:sz w:val="24"/>
              </w:rPr>
              <w:t>，2023年10月30日</w:t>
            </w:r>
          </w:p>
        </w:tc>
      </w:tr>
      <w:tr w14:paraId="64EB70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14:paraId="3C07FD15">
            <w:pPr>
              <w:autoSpaceDE w:val="0"/>
              <w:autoSpaceDN w:val="0"/>
              <w:jc w:val="center"/>
              <w:rPr>
                <w:kern w:val="0"/>
                <w:sz w:val="24"/>
              </w:rPr>
            </w:pPr>
            <w:r>
              <w:br w:type="page"/>
            </w:r>
            <w:r>
              <w:rPr>
                <w:kern w:val="0"/>
                <w:sz w:val="24"/>
              </w:rPr>
              <w:t>规划及规划环境影响评价符合性分析</w:t>
            </w:r>
          </w:p>
        </w:tc>
        <w:tc>
          <w:tcPr>
            <w:tcW w:w="8465" w:type="dxa"/>
            <w:gridSpan w:val="4"/>
            <w:vAlign w:val="center"/>
          </w:tcPr>
          <w:p w14:paraId="36303D02">
            <w:pPr>
              <w:autoSpaceDE w:val="0"/>
              <w:autoSpaceDN w:val="0"/>
              <w:adjustRightInd w:val="0"/>
              <w:snapToGrid w:val="0"/>
              <w:spacing w:line="360" w:lineRule="auto"/>
              <w:ind w:firstLine="482" w:firstLineChars="200"/>
              <w:rPr>
                <w:b/>
                <w:kern w:val="0"/>
                <w:sz w:val="24"/>
              </w:rPr>
            </w:pPr>
            <w:r>
              <w:rPr>
                <w:b/>
                <w:kern w:val="0"/>
                <w:sz w:val="24"/>
              </w:rPr>
              <w:t>1、用地符合性分析</w:t>
            </w:r>
          </w:p>
          <w:p w14:paraId="61A5DC10">
            <w:pPr>
              <w:autoSpaceDE w:val="0"/>
              <w:autoSpaceDN w:val="0"/>
              <w:adjustRightInd w:val="0"/>
              <w:snapToGrid w:val="0"/>
              <w:spacing w:line="360" w:lineRule="auto"/>
              <w:ind w:firstLine="480" w:firstLineChars="200"/>
              <w:rPr>
                <w:kern w:val="0"/>
                <w:sz w:val="24"/>
              </w:rPr>
            </w:pPr>
            <w:r>
              <w:rPr>
                <w:kern w:val="0"/>
                <w:sz w:val="24"/>
              </w:rPr>
              <w:t>本项目位于</w:t>
            </w:r>
            <w:bookmarkStart w:id="53" w:name="OLE_LINK178"/>
            <w:bookmarkStart w:id="54" w:name="OLE_LINK179"/>
            <w:r>
              <w:rPr>
                <w:rFonts w:hint="eastAsia"/>
                <w:kern w:val="0"/>
                <w:sz w:val="24"/>
              </w:rPr>
              <w:t>山东省济宁市梁山经济开发区三利路南、东王村北</w:t>
            </w:r>
            <w:r>
              <w:rPr>
                <w:kern w:val="0"/>
                <w:sz w:val="24"/>
              </w:rPr>
              <w:t>180</w:t>
            </w:r>
            <w:r>
              <w:rPr>
                <w:rFonts w:hint="eastAsia"/>
                <w:kern w:val="0"/>
                <w:sz w:val="24"/>
              </w:rPr>
              <w:t>m处</w:t>
            </w:r>
            <w:bookmarkEnd w:id="53"/>
            <w:bookmarkEnd w:id="54"/>
            <w:r>
              <w:rPr>
                <w:rFonts w:hint="eastAsia"/>
                <w:kern w:val="0"/>
                <w:sz w:val="24"/>
              </w:rPr>
              <w:t>，项目所在地用途为工业用地；</w:t>
            </w:r>
            <w:r>
              <w:rPr>
                <w:kern w:val="0"/>
                <w:sz w:val="24"/>
              </w:rPr>
              <w:t>根据梁山经济开发区发展规划（2022-2035年）近期建设规划图，</w:t>
            </w:r>
            <w:r>
              <w:rPr>
                <w:rFonts w:hint="eastAsia"/>
                <w:kern w:val="0"/>
                <w:sz w:val="24"/>
              </w:rPr>
              <w:t>项目所在</w:t>
            </w:r>
            <w:r>
              <w:rPr>
                <w:kern w:val="0"/>
                <w:sz w:val="24"/>
              </w:rPr>
              <w:t>地</w:t>
            </w:r>
            <w:r>
              <w:rPr>
                <w:rFonts w:hint="eastAsia"/>
                <w:kern w:val="0"/>
                <w:sz w:val="24"/>
              </w:rPr>
              <w:t>规划为</w:t>
            </w:r>
            <w:r>
              <w:rPr>
                <w:kern w:val="0"/>
                <w:sz w:val="24"/>
              </w:rPr>
              <w:t>工业用地</w:t>
            </w:r>
            <w:r>
              <w:rPr>
                <w:rFonts w:hint="eastAsia"/>
                <w:kern w:val="0"/>
                <w:sz w:val="24"/>
              </w:rPr>
              <w:t>。因此，本项目</w:t>
            </w:r>
            <w:r>
              <w:rPr>
                <w:kern w:val="0"/>
                <w:sz w:val="24"/>
              </w:rPr>
              <w:t>符合梁山经济开发区发展规划（2022-2035年）土地利用规划</w:t>
            </w:r>
            <w:r>
              <w:rPr>
                <w:rFonts w:hint="eastAsia"/>
                <w:kern w:val="0"/>
                <w:sz w:val="24"/>
              </w:rPr>
              <w:t>。</w:t>
            </w:r>
          </w:p>
          <w:p w14:paraId="053580B4">
            <w:pPr>
              <w:autoSpaceDE w:val="0"/>
              <w:autoSpaceDN w:val="0"/>
              <w:adjustRightInd w:val="0"/>
              <w:snapToGrid w:val="0"/>
              <w:spacing w:line="360" w:lineRule="auto"/>
              <w:ind w:firstLine="482" w:firstLineChars="200"/>
              <w:rPr>
                <w:b/>
                <w:kern w:val="0"/>
                <w:sz w:val="24"/>
              </w:rPr>
            </w:pPr>
            <w:r>
              <w:rPr>
                <w:b/>
                <w:kern w:val="0"/>
                <w:sz w:val="24"/>
              </w:rPr>
              <w:t>2、与</w:t>
            </w:r>
            <w:r>
              <w:rPr>
                <w:rFonts w:hint="eastAsia"/>
                <w:b/>
                <w:kern w:val="0"/>
                <w:sz w:val="24"/>
              </w:rPr>
              <w:t>《梁山经济开发区发展规划(2022-2035年)》</w:t>
            </w:r>
            <w:r>
              <w:rPr>
                <w:b/>
                <w:kern w:val="0"/>
                <w:sz w:val="24"/>
              </w:rPr>
              <w:t>规划符合性分析</w:t>
            </w:r>
          </w:p>
          <w:p w14:paraId="1F414047">
            <w:pPr>
              <w:autoSpaceDE w:val="0"/>
              <w:autoSpaceDN w:val="0"/>
              <w:adjustRightInd w:val="0"/>
              <w:snapToGrid w:val="0"/>
              <w:spacing w:line="360" w:lineRule="auto"/>
              <w:ind w:firstLine="480" w:firstLineChars="200"/>
              <w:rPr>
                <w:kern w:val="0"/>
                <w:sz w:val="24"/>
              </w:rPr>
            </w:pPr>
            <w:r>
              <w:rPr>
                <w:rFonts w:hint="eastAsia"/>
                <w:kern w:val="0"/>
                <w:sz w:val="24"/>
              </w:rPr>
              <w:t>（1）规划范围：梁山经济开发区前身为济宁梁山对外加工贸易区，1998年1月经省政府批复设立为省级开发园区，规划面积6平方公里，起步区面积1平方公里。2002年经省政府同意更名为梁山经济开发区。根据实际发展需要，2023年4月经山东省人民政府同意，开发区调整规划面积为15平方公里，形成“三板块”发展格局。</w:t>
            </w:r>
          </w:p>
          <w:p w14:paraId="16C7A339">
            <w:pPr>
              <w:autoSpaceDE w:val="0"/>
              <w:autoSpaceDN w:val="0"/>
              <w:adjustRightInd w:val="0"/>
              <w:snapToGrid w:val="0"/>
              <w:spacing w:line="360" w:lineRule="auto"/>
              <w:ind w:firstLine="480" w:firstLineChars="200"/>
              <w:rPr>
                <w:kern w:val="0"/>
                <w:sz w:val="24"/>
              </w:rPr>
            </w:pPr>
            <w:r>
              <w:rPr>
                <w:rFonts w:hint="eastAsia"/>
                <w:kern w:val="0"/>
                <w:sz w:val="24"/>
              </w:rPr>
              <w:t xml:space="preserve">其中：区块一：西部板块，面积538公顷，四至范围为东至新220国道、南至梁五路南杜庄沟、西至马营镇鑫星路、北至南二干渠。 </w:t>
            </w:r>
          </w:p>
          <w:p w14:paraId="76AC7BB9">
            <w:pPr>
              <w:autoSpaceDE w:val="0"/>
              <w:autoSpaceDN w:val="0"/>
              <w:adjustRightInd w:val="0"/>
              <w:snapToGrid w:val="0"/>
              <w:spacing w:line="360" w:lineRule="auto"/>
              <w:ind w:firstLine="480" w:firstLineChars="200"/>
              <w:rPr>
                <w:kern w:val="0"/>
                <w:sz w:val="24"/>
              </w:rPr>
            </w:pPr>
            <w:r>
              <w:rPr>
                <w:rFonts w:hint="eastAsia"/>
                <w:kern w:val="0"/>
                <w:sz w:val="24"/>
              </w:rPr>
              <w:t xml:space="preserve">区块二：东部板块，面积734公顷，四至范围为东至拳铺镇刘庄路以东300米、南至拳堂路、西至拳铺镇双杨路、北至流畅河。 </w:t>
            </w:r>
          </w:p>
          <w:p w14:paraId="16D7A8ED">
            <w:pPr>
              <w:autoSpaceDE w:val="0"/>
              <w:autoSpaceDN w:val="0"/>
              <w:adjustRightInd w:val="0"/>
              <w:snapToGrid w:val="0"/>
              <w:spacing w:line="360" w:lineRule="auto"/>
              <w:ind w:firstLine="480" w:firstLineChars="200"/>
              <w:rPr>
                <w:kern w:val="0"/>
                <w:sz w:val="24"/>
              </w:rPr>
            </w:pPr>
            <w:r>
              <w:rPr>
                <w:rFonts w:hint="eastAsia"/>
                <w:kern w:val="0"/>
                <w:sz w:val="24"/>
              </w:rPr>
              <w:t>区块三：北部板块，面积228公顷，四至范围为东至京杭运河梁山段、南至青年路、西至西环路、北至G220北环路段。</w:t>
            </w:r>
          </w:p>
          <w:p w14:paraId="0C5E0C46">
            <w:pPr>
              <w:autoSpaceDE w:val="0"/>
              <w:autoSpaceDN w:val="0"/>
              <w:adjustRightInd w:val="0"/>
              <w:snapToGrid w:val="0"/>
              <w:spacing w:line="360" w:lineRule="auto"/>
              <w:ind w:firstLine="480" w:firstLineChars="200"/>
              <w:rPr>
                <w:kern w:val="0"/>
                <w:sz w:val="24"/>
              </w:rPr>
            </w:pPr>
            <w:r>
              <w:rPr>
                <w:rFonts w:hint="eastAsia"/>
                <w:kern w:val="0"/>
                <w:sz w:val="24"/>
              </w:rPr>
              <w:t>（2）产业定位：西部板块以印刷和记录媒介复制业、稀有稀土金属冶炼、有色金属合金制造、有色金属延压加工等为主导产业，东部板块以汽车制造业、通用零部件制造、轴承、齿轮和传动部件制造为主导产业，北部板块以食品制造业、农副食品加工业、酒、饮料和精制茶制造业为主导产业。</w:t>
            </w:r>
          </w:p>
          <w:p w14:paraId="3706016E">
            <w:pPr>
              <w:autoSpaceDE w:val="0"/>
              <w:autoSpaceDN w:val="0"/>
              <w:adjustRightInd w:val="0"/>
              <w:snapToGrid w:val="0"/>
              <w:spacing w:line="360" w:lineRule="auto"/>
              <w:ind w:firstLine="480" w:firstLineChars="200"/>
              <w:rPr>
                <w:kern w:val="0"/>
                <w:sz w:val="24"/>
              </w:rPr>
            </w:pPr>
            <w:r>
              <w:rPr>
                <w:rFonts w:hint="eastAsia"/>
                <w:kern w:val="0"/>
                <w:sz w:val="24"/>
              </w:rPr>
              <w:t>总体布局：西部板块：规划为教育服务产业集群、稀土新材料产业集群。东部板块：规划为专用汽车及零部件产业集群。北部板块：规划为绿色食品产业集群。</w:t>
            </w:r>
          </w:p>
          <w:p w14:paraId="2D116D07">
            <w:pPr>
              <w:autoSpaceDE w:val="0"/>
              <w:autoSpaceDN w:val="0"/>
              <w:adjustRightInd w:val="0"/>
              <w:snapToGrid w:val="0"/>
              <w:spacing w:line="360" w:lineRule="auto"/>
              <w:ind w:firstLine="480" w:firstLineChars="200"/>
              <w:rPr>
                <w:kern w:val="0"/>
                <w:sz w:val="24"/>
              </w:rPr>
            </w:pPr>
            <w:r>
              <w:rPr>
                <w:rFonts w:hint="eastAsia"/>
                <w:kern w:val="0"/>
                <w:sz w:val="24"/>
              </w:rPr>
              <w:t>本项目属于金属压力容器制造业</w:t>
            </w:r>
            <w:bookmarkStart w:id="55" w:name="OLE_LINK60"/>
            <w:bookmarkStart w:id="56" w:name="OLE_LINK59"/>
            <w:r>
              <w:rPr>
                <w:rFonts w:hint="eastAsia"/>
                <w:kern w:val="0"/>
                <w:sz w:val="24"/>
              </w:rPr>
              <w:t>，行业类别为C3332金属压力容器制造</w:t>
            </w:r>
            <w:bookmarkEnd w:id="55"/>
            <w:bookmarkEnd w:id="56"/>
            <w:r>
              <w:rPr>
                <w:rFonts w:hint="eastAsia"/>
                <w:kern w:val="0"/>
                <w:sz w:val="24"/>
              </w:rPr>
              <w:t>，位于东部板块，不属于梁山经济开发区</w:t>
            </w:r>
            <w:r>
              <w:rPr>
                <w:rFonts w:hint="eastAsia" w:hAnsi="宋体"/>
                <w:sz w:val="24"/>
              </w:rPr>
              <w:t>东</w:t>
            </w:r>
            <w:r>
              <w:rPr>
                <w:rFonts w:hint="eastAsia"/>
                <w:kern w:val="0"/>
                <w:sz w:val="24"/>
              </w:rPr>
              <w:t>部板块优先准入行业</w:t>
            </w:r>
            <w:r>
              <w:rPr>
                <w:rFonts w:hint="eastAsia" w:hAnsi="宋体"/>
                <w:sz w:val="24"/>
              </w:rPr>
              <w:t>和禁止进入行业</w:t>
            </w:r>
            <w:r>
              <w:rPr>
                <w:rFonts w:hint="eastAsia"/>
                <w:kern w:val="0"/>
                <w:sz w:val="24"/>
              </w:rPr>
              <w:t>，</w:t>
            </w:r>
            <w:r>
              <w:rPr>
                <w:rFonts w:hint="eastAsia" w:hAnsi="宋体"/>
                <w:sz w:val="24"/>
              </w:rPr>
              <w:t>属于梁山经济开发区东部板块允许进入行业</w:t>
            </w:r>
            <w:r>
              <w:rPr>
                <w:kern w:val="0"/>
                <w:sz w:val="24"/>
              </w:rPr>
              <w:t>，</w:t>
            </w:r>
            <w:r>
              <w:rPr>
                <w:rFonts w:hint="eastAsia"/>
                <w:kern w:val="0"/>
                <w:sz w:val="24"/>
              </w:rPr>
              <w:t>属于梁山经济开发区优先进入类别，</w:t>
            </w:r>
            <w:r>
              <w:rPr>
                <w:kern w:val="0"/>
                <w:sz w:val="24"/>
              </w:rPr>
              <w:t>符合梁山</w:t>
            </w:r>
            <w:r>
              <w:rPr>
                <w:rFonts w:hint="eastAsia"/>
                <w:kern w:val="0"/>
                <w:sz w:val="24"/>
              </w:rPr>
              <w:t>经济</w:t>
            </w:r>
            <w:r>
              <w:rPr>
                <w:kern w:val="0"/>
                <w:sz w:val="24"/>
              </w:rPr>
              <w:t>开发区行业准入要求。</w:t>
            </w:r>
          </w:p>
          <w:p w14:paraId="62D0BE3C">
            <w:pPr>
              <w:autoSpaceDE w:val="0"/>
              <w:autoSpaceDN w:val="0"/>
              <w:adjustRightInd w:val="0"/>
              <w:snapToGrid w:val="0"/>
              <w:spacing w:line="360" w:lineRule="auto"/>
              <w:ind w:firstLine="480" w:firstLineChars="200"/>
              <w:rPr>
                <w:kern w:val="0"/>
                <w:sz w:val="24"/>
              </w:rPr>
            </w:pPr>
            <w:r>
              <w:rPr>
                <w:kern w:val="0"/>
                <w:sz w:val="24"/>
              </w:rPr>
              <w:t>（3）梁山经济开发区入区准入清单见表1。</w:t>
            </w:r>
          </w:p>
          <w:p w14:paraId="5D1EE78E">
            <w:pPr>
              <w:autoSpaceDE w:val="0"/>
              <w:autoSpaceDN w:val="0"/>
              <w:adjustRightInd w:val="0"/>
              <w:snapToGrid w:val="0"/>
              <w:jc w:val="center"/>
              <w:rPr>
                <w:kern w:val="0"/>
                <w:sz w:val="24"/>
              </w:rPr>
            </w:pPr>
            <w:r>
              <w:rPr>
                <w:b/>
                <w:bCs/>
                <w:kern w:val="0"/>
                <w:sz w:val="24"/>
              </w:rPr>
              <w:t>表1 梁山经济开发区入区行业控制级别表</w:t>
            </w:r>
          </w:p>
          <w:p w14:paraId="1EEEF05A">
            <w:pPr>
              <w:autoSpaceDE w:val="0"/>
              <w:autoSpaceDN w:val="0"/>
              <w:adjustRightInd w:val="0"/>
              <w:snapToGrid w:val="0"/>
              <w:jc w:val="center"/>
              <w:rPr>
                <w:rFonts w:ascii="宋体" w:hAnsi="宋体" w:cs="宋体"/>
                <w:kern w:val="0"/>
                <w:szCs w:val="21"/>
              </w:rPr>
            </w:pPr>
            <w:r>
              <w:drawing>
                <wp:inline distT="0" distB="0" distL="0" distR="0">
                  <wp:extent cx="5233035" cy="4560570"/>
                  <wp:effectExtent l="0" t="0" r="571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1">
                            <a:extLst>
                              <a:ext uri="{28A0092B-C50C-407E-A947-70E740481C1C}">
                                <a14:useLocalDpi xmlns:a14="http://schemas.microsoft.com/office/drawing/2010/main" val="0"/>
                              </a:ext>
                            </a:extLst>
                          </a:blip>
                          <a:srcRect b="662"/>
                          <a:stretch>
                            <a:fillRect/>
                          </a:stretch>
                        </pic:blipFill>
                        <pic:spPr>
                          <a:xfrm>
                            <a:off x="0" y="0"/>
                            <a:ext cx="5245702" cy="4571555"/>
                          </a:xfrm>
                          <a:prstGeom prst="rect">
                            <a:avLst/>
                          </a:prstGeom>
                          <a:noFill/>
                          <a:ln>
                            <a:noFill/>
                          </a:ln>
                        </pic:spPr>
                      </pic:pic>
                    </a:graphicData>
                  </a:graphic>
                </wp:inline>
              </w:drawing>
            </w:r>
          </w:p>
          <w:p w14:paraId="676FBD23">
            <w:pPr>
              <w:autoSpaceDE w:val="0"/>
              <w:autoSpaceDN w:val="0"/>
              <w:adjustRightInd w:val="0"/>
              <w:snapToGrid w:val="0"/>
              <w:spacing w:line="360" w:lineRule="auto"/>
              <w:ind w:firstLine="480" w:firstLineChars="200"/>
              <w:rPr>
                <w:kern w:val="0"/>
                <w:sz w:val="24"/>
              </w:rPr>
            </w:pPr>
            <w:r>
              <w:rPr>
                <w:rFonts w:hint="eastAsia"/>
                <w:kern w:val="0"/>
                <w:sz w:val="24"/>
              </w:rPr>
              <w:t>综上所述，本项目符合《梁山经济开发区发展规划》（2022-2035年）土地利用规划</w:t>
            </w:r>
            <w:r>
              <w:rPr>
                <w:kern w:val="0"/>
                <w:sz w:val="24"/>
              </w:rPr>
              <w:t>，符合梁山</w:t>
            </w:r>
            <w:r>
              <w:rPr>
                <w:rFonts w:hint="eastAsia"/>
                <w:kern w:val="0"/>
                <w:sz w:val="24"/>
              </w:rPr>
              <w:t>经济</w:t>
            </w:r>
            <w:r>
              <w:rPr>
                <w:kern w:val="0"/>
                <w:sz w:val="24"/>
              </w:rPr>
              <w:t>开发区行业准入要求。</w:t>
            </w:r>
          </w:p>
          <w:p w14:paraId="431355CC">
            <w:pPr>
              <w:autoSpaceDE w:val="0"/>
              <w:autoSpaceDN w:val="0"/>
              <w:adjustRightInd w:val="0"/>
              <w:snapToGrid w:val="0"/>
              <w:spacing w:line="360" w:lineRule="auto"/>
              <w:ind w:firstLine="482" w:firstLineChars="200"/>
              <w:rPr>
                <w:b/>
                <w:bCs/>
                <w:kern w:val="0"/>
                <w:sz w:val="24"/>
              </w:rPr>
            </w:pPr>
            <w:r>
              <w:rPr>
                <w:b/>
                <w:bCs/>
                <w:kern w:val="0"/>
                <w:sz w:val="24"/>
              </w:rPr>
              <w:t>3、项</w:t>
            </w:r>
            <w:r>
              <w:rPr>
                <w:b/>
                <w:kern w:val="0"/>
                <w:sz w:val="24"/>
              </w:rPr>
              <w:t>目</w:t>
            </w:r>
            <w:r>
              <w:rPr>
                <w:b/>
                <w:bCs/>
                <w:kern w:val="0"/>
                <w:sz w:val="24"/>
              </w:rPr>
              <w:t>与梁山经济开发区重点管控区域环境准入清单的符合性分析</w:t>
            </w:r>
          </w:p>
          <w:p w14:paraId="67AB6CF0">
            <w:pPr>
              <w:autoSpaceDE w:val="0"/>
              <w:autoSpaceDN w:val="0"/>
              <w:adjustRightInd w:val="0"/>
              <w:snapToGrid w:val="0"/>
              <w:spacing w:line="360" w:lineRule="auto"/>
              <w:jc w:val="center"/>
              <w:rPr>
                <w:b/>
                <w:bCs/>
                <w:kern w:val="0"/>
                <w:sz w:val="24"/>
              </w:rPr>
            </w:pPr>
            <w:r>
              <w:rPr>
                <w:b/>
                <w:bCs/>
                <w:kern w:val="0"/>
                <w:sz w:val="24"/>
              </w:rPr>
              <w:t>表2 项目与开发区重点管控区域环境准入清单的符合性分析</w:t>
            </w:r>
            <w:r>
              <w:rPr>
                <w:rFonts w:hint="eastAsia"/>
                <w:b/>
                <w:bCs/>
                <w:kern w:val="0"/>
                <w:sz w:val="24"/>
              </w:rPr>
              <w:t>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4137"/>
              <w:gridCol w:w="2417"/>
              <w:gridCol w:w="868"/>
            </w:tblGrid>
            <w:tr w14:paraId="09C7E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Align w:val="center"/>
                </w:tcPr>
                <w:p w14:paraId="0ADC5151">
                  <w:pPr>
                    <w:adjustRightInd w:val="0"/>
                    <w:snapToGrid w:val="0"/>
                    <w:jc w:val="center"/>
                    <w:rPr>
                      <w:b/>
                      <w:kern w:val="0"/>
                      <w:szCs w:val="21"/>
                    </w:rPr>
                  </w:pPr>
                  <w:r>
                    <w:rPr>
                      <w:b/>
                      <w:kern w:val="0"/>
                      <w:szCs w:val="21"/>
                    </w:rPr>
                    <w:t>管控内容</w:t>
                  </w:r>
                </w:p>
              </w:tc>
              <w:tc>
                <w:tcPr>
                  <w:tcW w:w="4127" w:type="dxa"/>
                  <w:vAlign w:val="center"/>
                </w:tcPr>
                <w:p w14:paraId="4375DBC9">
                  <w:pPr>
                    <w:adjustRightInd w:val="0"/>
                    <w:snapToGrid w:val="0"/>
                    <w:jc w:val="center"/>
                    <w:rPr>
                      <w:b/>
                      <w:kern w:val="0"/>
                      <w:szCs w:val="21"/>
                    </w:rPr>
                  </w:pPr>
                  <w:r>
                    <w:rPr>
                      <w:b/>
                      <w:kern w:val="0"/>
                      <w:szCs w:val="21"/>
                    </w:rPr>
                    <w:t>准入要求</w:t>
                  </w:r>
                </w:p>
              </w:tc>
              <w:tc>
                <w:tcPr>
                  <w:tcW w:w="2411" w:type="dxa"/>
                  <w:vAlign w:val="center"/>
                </w:tcPr>
                <w:p w14:paraId="2A7CC6B4">
                  <w:pPr>
                    <w:adjustRightInd w:val="0"/>
                    <w:snapToGrid w:val="0"/>
                    <w:jc w:val="center"/>
                    <w:rPr>
                      <w:b/>
                      <w:kern w:val="0"/>
                      <w:szCs w:val="21"/>
                    </w:rPr>
                  </w:pPr>
                  <w:r>
                    <w:rPr>
                      <w:b/>
                      <w:kern w:val="0"/>
                      <w:szCs w:val="21"/>
                    </w:rPr>
                    <w:t>本项目情况分析</w:t>
                  </w:r>
                </w:p>
              </w:tc>
              <w:tc>
                <w:tcPr>
                  <w:tcW w:w="866" w:type="dxa"/>
                  <w:vAlign w:val="center"/>
                </w:tcPr>
                <w:p w14:paraId="49020D6C">
                  <w:pPr>
                    <w:adjustRightInd w:val="0"/>
                    <w:snapToGrid w:val="0"/>
                    <w:jc w:val="center"/>
                    <w:rPr>
                      <w:b/>
                      <w:kern w:val="0"/>
                      <w:szCs w:val="21"/>
                    </w:rPr>
                  </w:pPr>
                  <w:r>
                    <w:rPr>
                      <w:b/>
                      <w:kern w:val="0"/>
                      <w:szCs w:val="21"/>
                    </w:rPr>
                    <w:t>符合性</w:t>
                  </w:r>
                </w:p>
              </w:tc>
            </w:tr>
            <w:tr w14:paraId="6363D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Merge w:val="restart"/>
                  <w:vAlign w:val="center"/>
                </w:tcPr>
                <w:p w14:paraId="5B28A443">
                  <w:pPr>
                    <w:adjustRightInd w:val="0"/>
                    <w:snapToGrid w:val="0"/>
                    <w:jc w:val="center"/>
                    <w:rPr>
                      <w:kern w:val="0"/>
                      <w:szCs w:val="21"/>
                    </w:rPr>
                  </w:pPr>
                </w:p>
                <w:p w14:paraId="6B9C6473">
                  <w:pPr>
                    <w:adjustRightInd w:val="0"/>
                    <w:snapToGrid w:val="0"/>
                    <w:jc w:val="center"/>
                    <w:rPr>
                      <w:kern w:val="0"/>
                      <w:szCs w:val="21"/>
                    </w:rPr>
                  </w:pPr>
                  <w:r>
                    <w:rPr>
                      <w:kern w:val="0"/>
                      <w:szCs w:val="21"/>
                    </w:rPr>
                    <w:t>总体性准</w:t>
                  </w:r>
                </w:p>
                <w:p w14:paraId="480ABAC9">
                  <w:pPr>
                    <w:adjustRightInd w:val="0"/>
                    <w:snapToGrid w:val="0"/>
                    <w:jc w:val="center"/>
                    <w:rPr>
                      <w:kern w:val="0"/>
                      <w:szCs w:val="21"/>
                    </w:rPr>
                  </w:pPr>
                  <w:r>
                    <w:rPr>
                      <w:kern w:val="0"/>
                      <w:szCs w:val="21"/>
                    </w:rPr>
                    <w:t>入要</w:t>
                  </w:r>
                </w:p>
                <w:p w14:paraId="0C3C2A25">
                  <w:pPr>
                    <w:adjustRightInd w:val="0"/>
                    <w:snapToGrid w:val="0"/>
                    <w:jc w:val="center"/>
                    <w:rPr>
                      <w:kern w:val="0"/>
                      <w:szCs w:val="21"/>
                    </w:rPr>
                  </w:pPr>
                  <w:r>
                    <w:rPr>
                      <w:kern w:val="0"/>
                      <w:szCs w:val="21"/>
                    </w:rPr>
                    <w:t>求</w:t>
                  </w:r>
                </w:p>
                <w:p w14:paraId="3F39C9B1">
                  <w:pPr>
                    <w:adjustRightInd w:val="0"/>
                    <w:snapToGrid w:val="0"/>
                    <w:jc w:val="center"/>
                    <w:rPr>
                      <w:kern w:val="0"/>
                      <w:szCs w:val="21"/>
                    </w:rPr>
                  </w:pPr>
                </w:p>
              </w:tc>
              <w:tc>
                <w:tcPr>
                  <w:tcW w:w="4127" w:type="dxa"/>
                  <w:vAlign w:val="center"/>
                </w:tcPr>
                <w:p w14:paraId="723261BE">
                  <w:pPr>
                    <w:adjustRightInd w:val="0"/>
                    <w:snapToGrid w:val="0"/>
                    <w:rPr>
                      <w:kern w:val="0"/>
                      <w:szCs w:val="21"/>
                    </w:rPr>
                  </w:pPr>
                  <w:r>
                    <w:rPr>
                      <w:kern w:val="0"/>
                      <w:szCs w:val="21"/>
                    </w:rPr>
                    <w:t>（1）企业项目建设必须严格遵守“三同时”制度、环境影响评价制度和排污许可制度。新建、改建、扩建的基本建设项目、技术改造项目其防治环境污染和生态破坏的设施，必须与主体工程同时设计、同时施工、同时投产使用；在进行建设活动之前，对建设项目的选址、设计和建成投产使用后可能对周围环境产生的不良影响进行调查、预测和评定，提出防治措施，并按照法定程序进行报批。</w:t>
                  </w:r>
                </w:p>
              </w:tc>
              <w:tc>
                <w:tcPr>
                  <w:tcW w:w="2411" w:type="dxa"/>
                  <w:vAlign w:val="center"/>
                </w:tcPr>
                <w:p w14:paraId="41E811E4">
                  <w:pPr>
                    <w:pStyle w:val="65"/>
                    <w:snapToGrid w:val="0"/>
                    <w:jc w:val="both"/>
                    <w:rPr>
                      <w:rFonts w:ascii="Times New Roman" w:hAnsi="Times New Roman"/>
                      <w:sz w:val="21"/>
                      <w:szCs w:val="21"/>
                      <w:lang w:eastAsia="zh-CN"/>
                    </w:rPr>
                  </w:pPr>
                  <w:r>
                    <w:rPr>
                      <w:rFonts w:ascii="Times New Roman" w:hAnsi="Times New Roman"/>
                      <w:sz w:val="21"/>
                      <w:szCs w:val="21"/>
                      <w:lang w:eastAsia="zh-CN"/>
                    </w:rPr>
                    <w:t>本项目属于新建项目</w:t>
                  </w:r>
                  <w:r>
                    <w:rPr>
                      <w:rFonts w:hint="eastAsia" w:ascii="Times New Roman" w:hAnsi="Times New Roman"/>
                      <w:sz w:val="21"/>
                      <w:szCs w:val="21"/>
                      <w:lang w:eastAsia="zh-CN"/>
                    </w:rPr>
                    <w:t>。项目</w:t>
                  </w:r>
                  <w:r>
                    <w:rPr>
                      <w:rFonts w:ascii="Times New Roman" w:hAnsi="Times New Roman"/>
                      <w:sz w:val="21"/>
                      <w:szCs w:val="21"/>
                      <w:lang w:eastAsia="zh-CN"/>
                    </w:rPr>
                    <w:t>建设严格遵守“三同时”制度、环境影响评价制度和排污许可制度，并按照法定程序进行报批。</w:t>
                  </w:r>
                </w:p>
              </w:tc>
              <w:tc>
                <w:tcPr>
                  <w:tcW w:w="866" w:type="dxa"/>
                  <w:vAlign w:val="center"/>
                </w:tcPr>
                <w:p w14:paraId="74E5EEF0">
                  <w:pPr>
                    <w:pStyle w:val="65"/>
                    <w:snapToGrid w:val="0"/>
                    <w:jc w:val="center"/>
                    <w:rPr>
                      <w:rFonts w:ascii="Times New Roman" w:hAnsi="Times New Roman"/>
                      <w:sz w:val="21"/>
                      <w:szCs w:val="21"/>
                      <w:lang w:eastAsia="zh-CN"/>
                    </w:rPr>
                  </w:pPr>
                  <w:r>
                    <w:rPr>
                      <w:rFonts w:hint="eastAsia" w:ascii="Times New Roman" w:hAnsi="Times New Roman"/>
                      <w:sz w:val="21"/>
                      <w:szCs w:val="21"/>
                      <w:lang w:eastAsia="zh-CN"/>
                    </w:rPr>
                    <w:t>符合</w:t>
                  </w:r>
                </w:p>
              </w:tc>
            </w:tr>
            <w:tr w14:paraId="3705C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Merge w:val="continue"/>
                  <w:vAlign w:val="center"/>
                </w:tcPr>
                <w:p w14:paraId="2BBAD496">
                  <w:pPr>
                    <w:adjustRightInd w:val="0"/>
                    <w:snapToGrid w:val="0"/>
                    <w:jc w:val="center"/>
                    <w:rPr>
                      <w:kern w:val="0"/>
                      <w:szCs w:val="21"/>
                    </w:rPr>
                  </w:pPr>
                </w:p>
              </w:tc>
              <w:tc>
                <w:tcPr>
                  <w:tcW w:w="4127" w:type="dxa"/>
                  <w:vAlign w:val="center"/>
                </w:tcPr>
                <w:p w14:paraId="0B1A61A3">
                  <w:pPr>
                    <w:autoSpaceDE w:val="0"/>
                    <w:autoSpaceDN w:val="0"/>
                    <w:snapToGrid w:val="0"/>
                    <w:ind w:right="85"/>
                    <w:rPr>
                      <w:kern w:val="0"/>
                      <w:szCs w:val="21"/>
                    </w:rPr>
                  </w:pPr>
                  <w:r>
                    <w:rPr>
                      <w:szCs w:val="21"/>
                    </w:rPr>
                    <w:t>（2）入区企业必须承诺采用清洁的工艺和技术，积极开展清洁生产，遵循清洁生产原则进行生产，要求企业不断改进工艺和产品设计、使用清洁的能源和原科、采用先进的工艺技术与设备、改善管理水平、实施废物综合利用，从源头削减污染；发展循环经济，实现废物的“减量化、再利用、再循环”，最大限度提高资源利用效率，切实降低物耗能耗，减少废物的产生量和产生种类；已经获得产品环境标志的企业可获得优先入区权。禁止大气防护距离不满足的企业入驻。</w:t>
                  </w:r>
                </w:p>
              </w:tc>
              <w:tc>
                <w:tcPr>
                  <w:tcW w:w="2411" w:type="dxa"/>
                  <w:vAlign w:val="center"/>
                </w:tcPr>
                <w:p w14:paraId="6E3FA6D7">
                  <w:pPr>
                    <w:pStyle w:val="65"/>
                    <w:jc w:val="both"/>
                    <w:rPr>
                      <w:sz w:val="21"/>
                      <w:szCs w:val="21"/>
                      <w:lang w:eastAsia="zh-CN"/>
                    </w:rPr>
                  </w:pPr>
                  <w:r>
                    <w:rPr>
                      <w:rFonts w:ascii="Times New Roman" w:hAnsi="Times New Roman"/>
                      <w:sz w:val="21"/>
                      <w:szCs w:val="21"/>
                      <w:lang w:eastAsia="zh-CN"/>
                    </w:rPr>
                    <w:t>项目采用清洁的工艺和技术，项目运营期产生的</w:t>
                  </w:r>
                  <w:r>
                    <w:rPr>
                      <w:rFonts w:hint="eastAsia" w:ascii="Times New Roman" w:hAnsi="Times New Roman"/>
                      <w:sz w:val="21"/>
                      <w:szCs w:val="21"/>
                      <w:lang w:eastAsia="zh-CN"/>
                    </w:rPr>
                    <w:t>固体废物</w:t>
                  </w:r>
                  <w:r>
                    <w:rPr>
                      <w:sz w:val="21"/>
                      <w:szCs w:val="21"/>
                      <w:lang w:eastAsia="zh-CN"/>
                    </w:rPr>
                    <w:t>废包装材料、下脚料、焊渣、除尘器收尘</w:t>
                  </w:r>
                  <w:r>
                    <w:rPr>
                      <w:rFonts w:hint="eastAsia"/>
                      <w:sz w:val="21"/>
                      <w:szCs w:val="21"/>
                      <w:lang w:eastAsia="zh-CN"/>
                    </w:rPr>
                    <w:t>、废布袋</w:t>
                  </w:r>
                  <w:r>
                    <w:rPr>
                      <w:sz w:val="21"/>
                      <w:szCs w:val="21"/>
                      <w:lang w:eastAsia="zh-CN"/>
                    </w:rPr>
                    <w:t>收集后外售物资回收单位</w:t>
                  </w:r>
                  <w:r>
                    <w:rPr>
                      <w:rFonts w:hint="eastAsia" w:ascii="Times New Roman" w:hAnsi="Times New Roman"/>
                      <w:bCs/>
                      <w:sz w:val="21"/>
                      <w:szCs w:val="21"/>
                      <w:lang w:eastAsia="zh-CN"/>
                    </w:rPr>
                    <w:t>；喷塑工序布袋除尘器收集的塑粉收集后回用于生产，</w:t>
                  </w:r>
                  <w:r>
                    <w:rPr>
                      <w:rFonts w:ascii="Times New Roman" w:hAnsi="Times New Roman"/>
                      <w:sz w:val="21"/>
                      <w:szCs w:val="21"/>
                      <w:lang w:eastAsia="zh-CN"/>
                    </w:rPr>
                    <w:t>可有效实现固废“减量化、再利用、再循环”，最大限度提高资源利用效率。</w:t>
                  </w:r>
                </w:p>
              </w:tc>
              <w:tc>
                <w:tcPr>
                  <w:tcW w:w="866" w:type="dxa"/>
                  <w:vAlign w:val="center"/>
                </w:tcPr>
                <w:p w14:paraId="10B3226F">
                  <w:pPr>
                    <w:snapToGrid w:val="0"/>
                    <w:jc w:val="center"/>
                    <w:rPr>
                      <w:szCs w:val="21"/>
                    </w:rPr>
                  </w:pPr>
                  <w:r>
                    <w:rPr>
                      <w:rFonts w:hint="eastAsia"/>
                      <w:szCs w:val="21"/>
                    </w:rPr>
                    <w:t>符合</w:t>
                  </w:r>
                </w:p>
              </w:tc>
            </w:tr>
            <w:tr w14:paraId="33262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Merge w:val="continue"/>
                  <w:vAlign w:val="center"/>
                </w:tcPr>
                <w:p w14:paraId="13600A7A">
                  <w:pPr>
                    <w:adjustRightInd w:val="0"/>
                    <w:snapToGrid w:val="0"/>
                    <w:jc w:val="center"/>
                    <w:rPr>
                      <w:kern w:val="0"/>
                      <w:szCs w:val="21"/>
                    </w:rPr>
                  </w:pPr>
                </w:p>
              </w:tc>
              <w:tc>
                <w:tcPr>
                  <w:tcW w:w="4127" w:type="dxa"/>
                  <w:vAlign w:val="center"/>
                </w:tcPr>
                <w:p w14:paraId="3E938761">
                  <w:pPr>
                    <w:adjustRightInd w:val="0"/>
                    <w:snapToGrid w:val="0"/>
                    <w:rPr>
                      <w:kern w:val="0"/>
                      <w:szCs w:val="21"/>
                    </w:rPr>
                  </w:pPr>
                  <w:r>
                    <w:rPr>
                      <w:kern w:val="0"/>
                      <w:szCs w:val="21"/>
                    </w:rPr>
                    <w:t>（3）对入区企业的工艺废气和生产废水均需建设相关配套处理设施，落实治理工程，确保正常运行，做到达标排放，保证废水经预处理后全部达到规划污水处理厂的进水水质标准。</w:t>
                  </w:r>
                </w:p>
              </w:tc>
              <w:tc>
                <w:tcPr>
                  <w:tcW w:w="2411" w:type="dxa"/>
                  <w:vAlign w:val="center"/>
                </w:tcPr>
                <w:p w14:paraId="4D6DE8E1">
                  <w:pPr>
                    <w:pStyle w:val="65"/>
                    <w:rPr>
                      <w:rFonts w:ascii="Times New Roman" w:hAnsi="Times New Roman"/>
                      <w:bCs/>
                      <w:sz w:val="21"/>
                      <w:szCs w:val="21"/>
                      <w:lang w:eastAsia="zh-CN"/>
                    </w:rPr>
                  </w:pPr>
                  <w:bookmarkStart w:id="57" w:name="OLE_LINK125"/>
                  <w:bookmarkStart w:id="58" w:name="OLE_LINK122"/>
                  <w:r>
                    <w:rPr>
                      <w:rFonts w:ascii="Times New Roman" w:hAnsi="Times New Roman"/>
                      <w:bCs/>
                      <w:sz w:val="21"/>
                      <w:szCs w:val="21"/>
                      <w:lang w:eastAsia="zh-CN"/>
                    </w:rPr>
                    <w:t>本项目</w:t>
                  </w:r>
                  <w:r>
                    <w:rPr>
                      <w:rFonts w:hint="eastAsia" w:ascii="Times New Roman" w:hAnsi="Times New Roman"/>
                      <w:bCs/>
                      <w:sz w:val="21"/>
                      <w:szCs w:val="21"/>
                      <w:lang w:eastAsia="zh-CN"/>
                    </w:rPr>
                    <w:t>切割粉尘、焊接烟尘、抛光粉尘经集气罩收集后经布袋除尘器（TA001）处理后，由1根15m高排气筒（DA001）排放；喷塑粉尘经集气管道收集后经布袋除尘器（TA002）处理，由1根15m高排气筒（DA002）排放；固化工序产生的VOCs经集气管道收集后经二级活性炭吸附装置（TA003）处理后，通过1根15m高排气筒（DA003）排放</w:t>
                  </w:r>
                  <w:bookmarkEnd w:id="57"/>
                  <w:bookmarkEnd w:id="58"/>
                  <w:r>
                    <w:rPr>
                      <w:rFonts w:hint="eastAsia" w:ascii="Times New Roman" w:hAnsi="Times New Roman"/>
                      <w:bCs/>
                      <w:sz w:val="21"/>
                      <w:szCs w:val="21"/>
                      <w:lang w:eastAsia="zh-CN"/>
                    </w:rPr>
                    <w:t>；</w:t>
                  </w:r>
                  <w:r>
                    <w:rPr>
                      <w:rFonts w:ascii="Times New Roman" w:hAnsi="Times New Roman"/>
                      <w:bCs/>
                      <w:sz w:val="21"/>
                      <w:szCs w:val="21"/>
                      <w:lang w:eastAsia="zh-CN"/>
                    </w:rPr>
                    <w:t>运营期</w:t>
                  </w:r>
                  <w:r>
                    <w:rPr>
                      <w:rFonts w:hint="eastAsia" w:ascii="Times New Roman" w:hAnsi="Times New Roman"/>
                      <w:bCs/>
                      <w:sz w:val="21"/>
                      <w:szCs w:val="21"/>
                      <w:lang w:eastAsia="zh-CN"/>
                    </w:rPr>
                    <w:t>无生产废水产生，生活污水经厂区化粪池处理后委托环卫部门定期清运，不外排</w:t>
                  </w:r>
                </w:p>
              </w:tc>
              <w:tc>
                <w:tcPr>
                  <w:tcW w:w="866" w:type="dxa"/>
                  <w:vAlign w:val="center"/>
                </w:tcPr>
                <w:p w14:paraId="7D52DCCF">
                  <w:pPr>
                    <w:snapToGrid w:val="0"/>
                    <w:jc w:val="center"/>
                    <w:rPr>
                      <w:szCs w:val="21"/>
                    </w:rPr>
                  </w:pPr>
                  <w:r>
                    <w:rPr>
                      <w:rFonts w:hint="eastAsia"/>
                      <w:szCs w:val="21"/>
                    </w:rPr>
                    <w:t>符合</w:t>
                  </w:r>
                </w:p>
              </w:tc>
            </w:tr>
            <w:tr w14:paraId="6F68F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37800C7F">
                  <w:pPr>
                    <w:adjustRightInd w:val="0"/>
                    <w:snapToGrid w:val="0"/>
                    <w:jc w:val="center"/>
                    <w:rPr>
                      <w:kern w:val="0"/>
                      <w:szCs w:val="21"/>
                    </w:rPr>
                  </w:pPr>
                </w:p>
              </w:tc>
              <w:tc>
                <w:tcPr>
                  <w:tcW w:w="4127" w:type="dxa"/>
                  <w:vAlign w:val="center"/>
                </w:tcPr>
                <w:p w14:paraId="33FA8E98">
                  <w:pPr>
                    <w:adjustRightInd w:val="0"/>
                    <w:snapToGrid w:val="0"/>
                    <w:rPr>
                      <w:kern w:val="0"/>
                      <w:szCs w:val="21"/>
                    </w:rPr>
                  </w:pPr>
                  <w:r>
                    <w:rPr>
                      <w:kern w:val="0"/>
                      <w:szCs w:val="21"/>
                    </w:rPr>
                    <w:t>（4）新建入区排污单位应当在生产设施或者发生实际排污之前申请取得排污许可证或者填报排污登记表。</w:t>
                  </w:r>
                </w:p>
              </w:tc>
              <w:tc>
                <w:tcPr>
                  <w:tcW w:w="2411" w:type="dxa"/>
                  <w:vAlign w:val="center"/>
                </w:tcPr>
                <w:p w14:paraId="7EDCC958">
                  <w:pPr>
                    <w:pStyle w:val="65"/>
                    <w:snapToGrid w:val="0"/>
                    <w:jc w:val="both"/>
                    <w:rPr>
                      <w:rFonts w:ascii="Times New Roman" w:hAnsi="Times New Roman"/>
                      <w:kern w:val="2"/>
                      <w:sz w:val="21"/>
                      <w:szCs w:val="21"/>
                      <w:lang w:val="zh-CN" w:eastAsia="zh-CN" w:bidi="zh-CN"/>
                    </w:rPr>
                  </w:pPr>
                  <w:r>
                    <w:rPr>
                      <w:rFonts w:hint="eastAsia" w:ascii="Times New Roman" w:hAnsi="Times New Roman"/>
                      <w:sz w:val="21"/>
                      <w:szCs w:val="21"/>
                      <w:lang w:eastAsia="zh-CN"/>
                    </w:rPr>
                    <w:t>本</w:t>
                  </w:r>
                  <w:r>
                    <w:rPr>
                      <w:rFonts w:ascii="Times New Roman" w:hAnsi="Times New Roman"/>
                      <w:sz w:val="21"/>
                      <w:szCs w:val="21"/>
                      <w:lang w:eastAsia="zh-CN"/>
                    </w:rPr>
                    <w:t>项目</w:t>
                  </w:r>
                  <w:r>
                    <w:rPr>
                      <w:rFonts w:hint="eastAsia" w:ascii="Times New Roman" w:hAnsi="Times New Roman"/>
                      <w:sz w:val="21"/>
                      <w:szCs w:val="21"/>
                      <w:lang w:eastAsia="zh-CN"/>
                    </w:rPr>
                    <w:t>在生产设施或者发生实际排污之前</w:t>
                  </w:r>
                  <w:r>
                    <w:rPr>
                      <w:rFonts w:ascii="Times New Roman" w:hAnsi="Times New Roman"/>
                      <w:sz w:val="21"/>
                      <w:szCs w:val="21"/>
                      <w:lang w:eastAsia="zh-CN"/>
                    </w:rPr>
                    <w:t>及时申请</w:t>
                  </w:r>
                  <w:r>
                    <w:rPr>
                      <w:rFonts w:hint="eastAsia" w:ascii="Times New Roman" w:hAnsi="Times New Roman"/>
                      <w:sz w:val="21"/>
                      <w:szCs w:val="21"/>
                      <w:lang w:eastAsia="zh-CN"/>
                    </w:rPr>
                    <w:t>填报</w:t>
                  </w:r>
                  <w:r>
                    <w:rPr>
                      <w:rFonts w:ascii="Times New Roman" w:hAnsi="Times New Roman"/>
                      <w:sz w:val="21"/>
                      <w:szCs w:val="21"/>
                      <w:lang w:eastAsia="zh-CN"/>
                    </w:rPr>
                    <w:t>排污</w:t>
                  </w:r>
                  <w:r>
                    <w:rPr>
                      <w:rFonts w:hint="eastAsia" w:ascii="Times New Roman" w:hAnsi="Times New Roman"/>
                      <w:sz w:val="21"/>
                      <w:szCs w:val="21"/>
                      <w:lang w:eastAsia="zh-CN"/>
                    </w:rPr>
                    <w:t>登记表，取得登记回执</w:t>
                  </w:r>
                  <w:r>
                    <w:rPr>
                      <w:rFonts w:ascii="Times New Roman" w:hAnsi="Times New Roman"/>
                      <w:sz w:val="21"/>
                      <w:szCs w:val="21"/>
                      <w:lang w:eastAsia="zh-CN"/>
                    </w:rPr>
                    <w:t>。</w:t>
                  </w:r>
                </w:p>
              </w:tc>
              <w:tc>
                <w:tcPr>
                  <w:tcW w:w="866" w:type="dxa"/>
                  <w:vAlign w:val="center"/>
                </w:tcPr>
                <w:p w14:paraId="7591EDA4">
                  <w:pPr>
                    <w:snapToGrid w:val="0"/>
                    <w:jc w:val="center"/>
                    <w:rPr>
                      <w:szCs w:val="21"/>
                    </w:rPr>
                  </w:pPr>
                  <w:r>
                    <w:rPr>
                      <w:rFonts w:hint="eastAsia"/>
                      <w:szCs w:val="21"/>
                    </w:rPr>
                    <w:t>符合</w:t>
                  </w:r>
                </w:p>
              </w:tc>
            </w:tr>
            <w:tr w14:paraId="1D573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4C03A062">
                  <w:pPr>
                    <w:adjustRightInd w:val="0"/>
                    <w:snapToGrid w:val="0"/>
                    <w:jc w:val="center"/>
                    <w:rPr>
                      <w:kern w:val="0"/>
                      <w:szCs w:val="21"/>
                    </w:rPr>
                  </w:pPr>
                </w:p>
              </w:tc>
              <w:tc>
                <w:tcPr>
                  <w:tcW w:w="4127" w:type="dxa"/>
                  <w:vAlign w:val="center"/>
                </w:tcPr>
                <w:p w14:paraId="45B6D1C3">
                  <w:pPr>
                    <w:adjustRightInd w:val="0"/>
                    <w:snapToGrid w:val="0"/>
                    <w:rPr>
                      <w:kern w:val="0"/>
                      <w:szCs w:val="21"/>
                    </w:rPr>
                  </w:pPr>
                  <w:r>
                    <w:rPr>
                      <w:kern w:val="0"/>
                      <w:szCs w:val="21"/>
                    </w:rPr>
                    <w:t>（5）入区企业的污染物排放总量必须满足规划区环境容量的要求。</w:t>
                  </w:r>
                </w:p>
              </w:tc>
              <w:tc>
                <w:tcPr>
                  <w:tcW w:w="2411" w:type="dxa"/>
                  <w:vAlign w:val="center"/>
                </w:tcPr>
                <w:p w14:paraId="57DDA8EC">
                  <w:pPr>
                    <w:pStyle w:val="65"/>
                    <w:snapToGrid w:val="0"/>
                    <w:jc w:val="both"/>
                    <w:rPr>
                      <w:rFonts w:ascii="Times New Roman" w:hAnsi="Times New Roman"/>
                      <w:kern w:val="2"/>
                      <w:sz w:val="21"/>
                      <w:szCs w:val="21"/>
                      <w:lang w:eastAsia="zh-CN" w:bidi="zh-CN"/>
                    </w:rPr>
                  </w:pPr>
                  <w:r>
                    <w:rPr>
                      <w:rFonts w:hint="eastAsia" w:ascii="Times New Roman" w:hAnsi="Times New Roman"/>
                      <w:sz w:val="21"/>
                      <w:szCs w:val="21"/>
                      <w:lang w:eastAsia="zh-CN"/>
                    </w:rPr>
                    <w:t>本</w:t>
                  </w:r>
                  <w:r>
                    <w:rPr>
                      <w:rFonts w:ascii="Times New Roman" w:hAnsi="Times New Roman"/>
                      <w:kern w:val="2"/>
                      <w:sz w:val="21"/>
                      <w:szCs w:val="21"/>
                      <w:lang w:eastAsia="zh-CN" w:bidi="zh-CN"/>
                    </w:rPr>
                    <w:t>项目污染物排放总量满足规划区环境容量要求。</w:t>
                  </w:r>
                </w:p>
              </w:tc>
              <w:tc>
                <w:tcPr>
                  <w:tcW w:w="866" w:type="dxa"/>
                  <w:vAlign w:val="center"/>
                </w:tcPr>
                <w:p w14:paraId="644B20C5">
                  <w:pPr>
                    <w:snapToGrid w:val="0"/>
                    <w:jc w:val="center"/>
                    <w:rPr>
                      <w:szCs w:val="21"/>
                      <w:lang w:bidi="zh-CN"/>
                    </w:rPr>
                  </w:pPr>
                  <w:r>
                    <w:rPr>
                      <w:rFonts w:hint="eastAsia"/>
                      <w:szCs w:val="21"/>
                    </w:rPr>
                    <w:t>符合</w:t>
                  </w:r>
                </w:p>
              </w:tc>
            </w:tr>
            <w:tr w14:paraId="3BCCE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644BC157">
                  <w:pPr>
                    <w:adjustRightInd w:val="0"/>
                    <w:snapToGrid w:val="0"/>
                    <w:jc w:val="center"/>
                    <w:rPr>
                      <w:kern w:val="0"/>
                      <w:szCs w:val="21"/>
                    </w:rPr>
                  </w:pPr>
                </w:p>
              </w:tc>
              <w:tc>
                <w:tcPr>
                  <w:tcW w:w="4127" w:type="dxa"/>
                  <w:vAlign w:val="center"/>
                </w:tcPr>
                <w:p w14:paraId="1D308133">
                  <w:pPr>
                    <w:adjustRightInd w:val="0"/>
                    <w:snapToGrid w:val="0"/>
                    <w:rPr>
                      <w:kern w:val="0"/>
                      <w:szCs w:val="21"/>
                    </w:rPr>
                  </w:pPr>
                  <w:r>
                    <w:rPr>
                      <w:kern w:val="0"/>
                      <w:szCs w:val="21"/>
                    </w:rPr>
                    <w:t>（6）根据济宁市“三线一单”生态环境总体准入要求，有色金属、皮革制品、石油化工、煤炭、电镀、聚氯乙烯、化工、医药、铅蓄电池制造、矿山开采、危险废物处置、加油站等排放重点污染物的建设项目，须在环境影响评价时，同步监测特征污染物的土壤环境本底值，开展土壤环境质量评价，并提出防范土壤污染的具体措施；需要建设土壤污染防治设施的，要与主体工程同时设计、同时施工、同时投产使用。</w:t>
                  </w:r>
                </w:p>
              </w:tc>
              <w:tc>
                <w:tcPr>
                  <w:tcW w:w="2411" w:type="dxa"/>
                  <w:vAlign w:val="center"/>
                </w:tcPr>
                <w:p w14:paraId="71B79225">
                  <w:pPr>
                    <w:pStyle w:val="65"/>
                    <w:snapToGrid w:val="0"/>
                    <w:jc w:val="both"/>
                    <w:rPr>
                      <w:rFonts w:ascii="Times New Roman" w:hAnsi="Times New Roman"/>
                      <w:kern w:val="2"/>
                      <w:sz w:val="21"/>
                      <w:szCs w:val="21"/>
                      <w:lang w:eastAsia="zh-CN" w:bidi="zh-CN"/>
                    </w:rPr>
                  </w:pPr>
                  <w:r>
                    <w:rPr>
                      <w:rFonts w:hint="eastAsia" w:ascii="Times New Roman" w:hAnsi="Times New Roman"/>
                      <w:sz w:val="21"/>
                      <w:szCs w:val="21"/>
                      <w:lang w:eastAsia="zh-CN"/>
                    </w:rPr>
                    <w:t>本</w:t>
                  </w:r>
                  <w:r>
                    <w:rPr>
                      <w:rFonts w:ascii="Times New Roman" w:hAnsi="Times New Roman"/>
                      <w:sz w:val="21"/>
                      <w:szCs w:val="21"/>
                      <w:lang w:eastAsia="zh-CN"/>
                    </w:rPr>
                    <w:t>项目不属于左述重点行业，项目建设严格遵守“三同时”制度。</w:t>
                  </w:r>
                </w:p>
              </w:tc>
              <w:tc>
                <w:tcPr>
                  <w:tcW w:w="866" w:type="dxa"/>
                  <w:vAlign w:val="center"/>
                </w:tcPr>
                <w:p w14:paraId="2FB083E1">
                  <w:pPr>
                    <w:snapToGrid w:val="0"/>
                    <w:jc w:val="center"/>
                    <w:rPr>
                      <w:szCs w:val="21"/>
                    </w:rPr>
                  </w:pPr>
                  <w:r>
                    <w:rPr>
                      <w:rFonts w:hint="eastAsia"/>
                      <w:szCs w:val="21"/>
                    </w:rPr>
                    <w:t>符合</w:t>
                  </w:r>
                </w:p>
              </w:tc>
            </w:tr>
            <w:tr w14:paraId="5CC01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125B0702">
                  <w:pPr>
                    <w:adjustRightInd w:val="0"/>
                    <w:snapToGrid w:val="0"/>
                    <w:jc w:val="center"/>
                    <w:rPr>
                      <w:kern w:val="0"/>
                      <w:szCs w:val="21"/>
                    </w:rPr>
                  </w:pPr>
                </w:p>
              </w:tc>
              <w:tc>
                <w:tcPr>
                  <w:tcW w:w="4127" w:type="dxa"/>
                  <w:vAlign w:val="center"/>
                </w:tcPr>
                <w:p w14:paraId="2F7C11A4">
                  <w:pPr>
                    <w:adjustRightInd w:val="0"/>
                    <w:snapToGrid w:val="0"/>
                    <w:rPr>
                      <w:kern w:val="0"/>
                      <w:szCs w:val="21"/>
                    </w:rPr>
                  </w:pPr>
                  <w:r>
                    <w:rPr>
                      <w:kern w:val="0"/>
                      <w:szCs w:val="21"/>
                    </w:rPr>
                    <w:t>（7）根据济宁市“三线一单”中拳铺镇、马营镇、杨营镇环境管控单元生态环境准入清单，严控高耗水项目。水资源开发应当优先利用地表水，严格控制开采地下水。禁燃区禁止新建、扩建燃用高污染燃料的设施，已建成的应限期淘汰或改用天然气、电或者其他清洁能源。</w:t>
                  </w:r>
                </w:p>
              </w:tc>
              <w:tc>
                <w:tcPr>
                  <w:tcW w:w="2411" w:type="dxa"/>
                  <w:vAlign w:val="center"/>
                </w:tcPr>
                <w:p w14:paraId="2AA80BB8">
                  <w:pPr>
                    <w:pStyle w:val="65"/>
                    <w:snapToGrid w:val="0"/>
                    <w:jc w:val="both"/>
                    <w:rPr>
                      <w:rFonts w:ascii="Times New Roman" w:hAnsi="Times New Roman"/>
                      <w:sz w:val="21"/>
                      <w:szCs w:val="21"/>
                      <w:lang w:eastAsia="zh-CN"/>
                    </w:rPr>
                  </w:pPr>
                  <w:r>
                    <w:rPr>
                      <w:rFonts w:hint="eastAsia" w:ascii="Times New Roman" w:hAnsi="Times New Roman"/>
                      <w:sz w:val="21"/>
                      <w:szCs w:val="21"/>
                      <w:lang w:eastAsia="zh-CN"/>
                    </w:rPr>
                    <w:t>本</w:t>
                  </w:r>
                  <w:r>
                    <w:rPr>
                      <w:rFonts w:ascii="Times New Roman" w:hAnsi="Times New Roman"/>
                      <w:sz w:val="21"/>
                      <w:szCs w:val="21"/>
                      <w:lang w:eastAsia="zh-CN"/>
                    </w:rPr>
                    <w:t>项目不属于高</w:t>
                  </w:r>
                  <w:r>
                    <w:rPr>
                      <w:rFonts w:hint="eastAsia" w:ascii="Times New Roman" w:hAnsi="Times New Roman"/>
                      <w:sz w:val="21"/>
                      <w:szCs w:val="21"/>
                      <w:lang w:eastAsia="zh-CN"/>
                    </w:rPr>
                    <w:t>耗水</w:t>
                  </w:r>
                  <w:r>
                    <w:rPr>
                      <w:rFonts w:ascii="Times New Roman" w:hAnsi="Times New Roman"/>
                      <w:sz w:val="21"/>
                      <w:szCs w:val="21"/>
                      <w:lang w:eastAsia="zh-CN"/>
                    </w:rPr>
                    <w:t>项目，项目用水取自开发区自来水管网，不</w:t>
                  </w:r>
                  <w:r>
                    <w:rPr>
                      <w:rFonts w:hint="eastAsia" w:ascii="Times New Roman" w:hAnsi="Times New Roman"/>
                      <w:sz w:val="21"/>
                      <w:szCs w:val="21"/>
                      <w:lang w:eastAsia="zh-CN"/>
                    </w:rPr>
                    <w:t>开采</w:t>
                  </w:r>
                  <w:r>
                    <w:rPr>
                      <w:rFonts w:ascii="Times New Roman" w:hAnsi="Times New Roman"/>
                      <w:sz w:val="21"/>
                      <w:szCs w:val="21"/>
                      <w:lang w:eastAsia="zh-CN"/>
                    </w:rPr>
                    <w:t>地下水；项目厂区不位于禁燃区内。</w:t>
                  </w:r>
                </w:p>
              </w:tc>
              <w:tc>
                <w:tcPr>
                  <w:tcW w:w="866" w:type="dxa"/>
                  <w:vAlign w:val="center"/>
                </w:tcPr>
                <w:p w14:paraId="75A8E7B2">
                  <w:pPr>
                    <w:snapToGrid w:val="0"/>
                    <w:jc w:val="center"/>
                    <w:rPr>
                      <w:szCs w:val="21"/>
                    </w:rPr>
                  </w:pPr>
                  <w:r>
                    <w:rPr>
                      <w:rFonts w:hint="eastAsia"/>
                      <w:szCs w:val="21"/>
                    </w:rPr>
                    <w:t>符合</w:t>
                  </w:r>
                </w:p>
              </w:tc>
            </w:tr>
            <w:tr w14:paraId="0396F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Align w:val="center"/>
                </w:tcPr>
                <w:p w14:paraId="4D826830">
                  <w:pPr>
                    <w:adjustRightInd w:val="0"/>
                    <w:snapToGrid w:val="0"/>
                    <w:jc w:val="center"/>
                    <w:rPr>
                      <w:kern w:val="0"/>
                      <w:szCs w:val="21"/>
                    </w:rPr>
                  </w:pPr>
                  <w:r>
                    <w:rPr>
                      <w:kern w:val="0"/>
                      <w:szCs w:val="21"/>
                    </w:rPr>
                    <w:t>其他行业准入要求</w:t>
                  </w:r>
                </w:p>
              </w:tc>
              <w:tc>
                <w:tcPr>
                  <w:tcW w:w="4127" w:type="dxa"/>
                  <w:vAlign w:val="center"/>
                </w:tcPr>
                <w:p w14:paraId="19C7305A">
                  <w:pPr>
                    <w:numPr>
                      <w:ilvl w:val="0"/>
                      <w:numId w:val="1"/>
                    </w:numPr>
                    <w:adjustRightInd w:val="0"/>
                    <w:snapToGrid w:val="0"/>
                    <w:rPr>
                      <w:szCs w:val="21"/>
                    </w:rPr>
                  </w:pPr>
                  <w:r>
                    <w:rPr>
                      <w:szCs w:val="21"/>
                    </w:rPr>
                    <w:t>C2625有机肥料及微生物肥料制造、C2662专用化学品制造业、C292中类塑料制品业、C2730中药饮片加工行业中在《建设项目环境影响评价分类管理名录》中环评类别为报告表、登记表的非危险化学品项目，可允许进入本开发区。</w:t>
                  </w:r>
                </w:p>
                <w:p w14:paraId="38C76261">
                  <w:pPr>
                    <w:numPr>
                      <w:ilvl w:val="0"/>
                      <w:numId w:val="1"/>
                    </w:numPr>
                    <w:adjustRightInd w:val="0"/>
                    <w:snapToGrid w:val="0"/>
                    <w:rPr>
                      <w:szCs w:val="21"/>
                    </w:rPr>
                  </w:pPr>
                  <w:r>
                    <w:rPr>
                      <w:szCs w:val="21"/>
                    </w:rPr>
                    <w:t>其余化工类别不得进入开发区。</w:t>
                  </w:r>
                </w:p>
              </w:tc>
              <w:tc>
                <w:tcPr>
                  <w:tcW w:w="2411" w:type="dxa"/>
                  <w:vAlign w:val="center"/>
                </w:tcPr>
                <w:p w14:paraId="7D8D3F7B">
                  <w:pPr>
                    <w:pStyle w:val="65"/>
                    <w:snapToGrid w:val="0"/>
                    <w:jc w:val="both"/>
                    <w:rPr>
                      <w:rFonts w:ascii="Times New Roman" w:hAnsi="Times New Roman"/>
                      <w:sz w:val="21"/>
                      <w:szCs w:val="21"/>
                      <w:lang w:eastAsia="zh-CN"/>
                    </w:rPr>
                  </w:pPr>
                  <w:r>
                    <w:rPr>
                      <w:rFonts w:hint="eastAsia" w:ascii="Times New Roman" w:hAnsi="Times New Roman"/>
                      <w:sz w:val="21"/>
                      <w:szCs w:val="21"/>
                      <w:lang w:eastAsia="zh-CN"/>
                    </w:rPr>
                    <w:t>本</w:t>
                  </w:r>
                  <w:r>
                    <w:rPr>
                      <w:rFonts w:ascii="Times New Roman" w:hAnsi="Times New Roman"/>
                      <w:sz w:val="21"/>
                      <w:szCs w:val="21"/>
                      <w:lang w:eastAsia="zh-CN"/>
                    </w:rPr>
                    <w:t>项目行业类别为</w:t>
                  </w:r>
                  <w:r>
                    <w:rPr>
                      <w:rFonts w:hint="eastAsia" w:ascii="Times New Roman" w:hAnsi="Times New Roman"/>
                      <w:sz w:val="21"/>
                      <w:szCs w:val="21"/>
                      <w:lang w:eastAsia="zh-CN"/>
                    </w:rPr>
                    <w:t>C3332 金属压力容器制造</w:t>
                  </w:r>
                  <w:r>
                    <w:rPr>
                      <w:rFonts w:ascii="Times New Roman" w:hAnsi="Times New Roman"/>
                      <w:sz w:val="21"/>
                      <w:szCs w:val="21"/>
                      <w:lang w:eastAsia="zh-CN"/>
                    </w:rPr>
                    <w:t>，环境影响评价类别为报告表，属于开发区</w:t>
                  </w:r>
                  <w:r>
                    <w:rPr>
                      <w:rFonts w:hint="eastAsia" w:ascii="Times New Roman" w:hAnsi="Times New Roman"/>
                      <w:sz w:val="21"/>
                      <w:szCs w:val="21"/>
                      <w:lang w:eastAsia="zh-CN"/>
                    </w:rPr>
                    <w:t>优先</w:t>
                  </w:r>
                  <w:r>
                    <w:rPr>
                      <w:rFonts w:ascii="Times New Roman" w:hAnsi="Times New Roman"/>
                      <w:sz w:val="21"/>
                      <w:szCs w:val="21"/>
                      <w:lang w:eastAsia="zh-CN"/>
                    </w:rPr>
                    <w:t>进入类别。</w:t>
                  </w:r>
                </w:p>
              </w:tc>
              <w:tc>
                <w:tcPr>
                  <w:tcW w:w="866" w:type="dxa"/>
                  <w:vAlign w:val="center"/>
                </w:tcPr>
                <w:p w14:paraId="792EEF9B">
                  <w:pPr>
                    <w:snapToGrid w:val="0"/>
                    <w:jc w:val="center"/>
                    <w:rPr>
                      <w:szCs w:val="21"/>
                    </w:rPr>
                  </w:pPr>
                  <w:r>
                    <w:rPr>
                      <w:rFonts w:hint="eastAsia"/>
                      <w:szCs w:val="21"/>
                    </w:rPr>
                    <w:t>符合</w:t>
                  </w:r>
                </w:p>
              </w:tc>
            </w:tr>
            <w:tr w14:paraId="444FB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Merge w:val="restart"/>
                  <w:vAlign w:val="center"/>
                </w:tcPr>
                <w:p w14:paraId="62B0607A">
                  <w:pPr>
                    <w:adjustRightInd w:val="0"/>
                    <w:snapToGrid w:val="0"/>
                    <w:jc w:val="center"/>
                    <w:rPr>
                      <w:kern w:val="0"/>
                      <w:szCs w:val="21"/>
                    </w:rPr>
                  </w:pPr>
                  <w:r>
                    <w:rPr>
                      <w:kern w:val="0"/>
                      <w:szCs w:val="21"/>
                    </w:rPr>
                    <w:t>基于环境风险防控的准入要求</w:t>
                  </w:r>
                </w:p>
              </w:tc>
              <w:tc>
                <w:tcPr>
                  <w:tcW w:w="4127" w:type="dxa"/>
                  <w:vAlign w:val="center"/>
                </w:tcPr>
                <w:p w14:paraId="275BD0BE">
                  <w:pPr>
                    <w:adjustRightInd w:val="0"/>
                    <w:snapToGrid w:val="0"/>
                    <w:rPr>
                      <w:szCs w:val="21"/>
                    </w:rPr>
                  </w:pPr>
                  <w:r>
                    <w:rPr>
                      <w:szCs w:val="21"/>
                    </w:rPr>
                    <w:t>（1）对于涉及易导致环境风险的有毒有害和易燃易爆物质的生产、使用、排放、贮存等新建、改扩建项目，必须采取相应的风险防范措施来减少环境风险。</w:t>
                  </w:r>
                </w:p>
              </w:tc>
              <w:tc>
                <w:tcPr>
                  <w:tcW w:w="2411" w:type="dxa"/>
                  <w:vAlign w:val="center"/>
                </w:tcPr>
                <w:p w14:paraId="53A92F31">
                  <w:pPr>
                    <w:pStyle w:val="65"/>
                    <w:snapToGrid w:val="0"/>
                    <w:jc w:val="both"/>
                    <w:rPr>
                      <w:rFonts w:ascii="Times New Roman" w:hAnsi="Times New Roman"/>
                      <w:sz w:val="21"/>
                      <w:szCs w:val="21"/>
                      <w:lang w:eastAsia="zh-CN"/>
                    </w:rPr>
                  </w:pPr>
                  <w:r>
                    <w:rPr>
                      <w:rFonts w:hint="eastAsia" w:ascii="Times New Roman" w:hAnsi="Times New Roman"/>
                      <w:sz w:val="21"/>
                      <w:szCs w:val="21"/>
                      <w:lang w:eastAsia="zh-CN"/>
                    </w:rPr>
                    <w:t>本项目运营期产生的废润滑油、废润滑油桶、废液压油桶、废活性炭等属于危险废物，暂存于</w:t>
                  </w:r>
                  <w:bookmarkStart w:id="59" w:name="OLE_LINK63"/>
                  <w:r>
                    <w:rPr>
                      <w:rFonts w:hint="eastAsia" w:ascii="Times New Roman" w:hAnsi="Times New Roman"/>
                      <w:sz w:val="21"/>
                      <w:szCs w:val="21"/>
                      <w:lang w:eastAsia="zh-CN"/>
                    </w:rPr>
                    <w:t>危废暂存间</w:t>
                  </w:r>
                  <w:bookmarkEnd w:id="59"/>
                  <w:r>
                    <w:rPr>
                      <w:rFonts w:hint="eastAsia" w:ascii="Times New Roman" w:hAnsi="Times New Roman"/>
                      <w:sz w:val="21"/>
                      <w:szCs w:val="21"/>
                      <w:lang w:eastAsia="zh-CN"/>
                    </w:rPr>
                    <w:t>内，委托有资质单位处置；</w:t>
                  </w:r>
                  <w:r>
                    <w:rPr>
                      <w:rFonts w:hint="eastAsia"/>
                      <w:szCs w:val="21"/>
                      <w:lang w:eastAsia="zh-CN"/>
                    </w:rPr>
                    <w:t>危废暂存间</w:t>
                  </w:r>
                  <w:r>
                    <w:rPr>
                      <w:rFonts w:hint="eastAsia" w:ascii="Times New Roman" w:hAnsi="Times New Roman"/>
                      <w:sz w:val="21"/>
                      <w:szCs w:val="21"/>
                      <w:lang w:eastAsia="zh-CN"/>
                    </w:rPr>
                    <w:t>采取重点防渗，危险废物暂存于密封容器内或防渗托盘上</w:t>
                  </w:r>
                </w:p>
              </w:tc>
              <w:tc>
                <w:tcPr>
                  <w:tcW w:w="866" w:type="dxa"/>
                  <w:vAlign w:val="center"/>
                </w:tcPr>
                <w:p w14:paraId="1AEDB2E5">
                  <w:pPr>
                    <w:snapToGrid w:val="0"/>
                    <w:jc w:val="center"/>
                    <w:rPr>
                      <w:szCs w:val="21"/>
                    </w:rPr>
                  </w:pPr>
                  <w:r>
                    <w:rPr>
                      <w:rFonts w:hint="eastAsia"/>
                      <w:szCs w:val="21"/>
                    </w:rPr>
                    <w:t>符合</w:t>
                  </w:r>
                </w:p>
              </w:tc>
            </w:tr>
            <w:tr w14:paraId="07C51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Merge w:val="continue"/>
                  <w:vAlign w:val="center"/>
                </w:tcPr>
                <w:p w14:paraId="26818D4F">
                  <w:pPr>
                    <w:pStyle w:val="65"/>
                    <w:snapToGrid w:val="0"/>
                    <w:jc w:val="both"/>
                    <w:rPr>
                      <w:rFonts w:ascii="Times New Roman" w:hAnsi="Times New Roman"/>
                      <w:sz w:val="21"/>
                      <w:szCs w:val="21"/>
                    </w:rPr>
                  </w:pPr>
                </w:p>
              </w:tc>
              <w:tc>
                <w:tcPr>
                  <w:tcW w:w="4127" w:type="dxa"/>
                  <w:vAlign w:val="center"/>
                </w:tcPr>
                <w:p w14:paraId="3A9D8071">
                  <w:pPr>
                    <w:pStyle w:val="65"/>
                    <w:snapToGrid w:val="0"/>
                    <w:jc w:val="both"/>
                    <w:rPr>
                      <w:rFonts w:ascii="Times New Roman" w:hAnsi="Times New Roman"/>
                      <w:sz w:val="21"/>
                      <w:szCs w:val="21"/>
                      <w:lang w:eastAsia="zh-CN"/>
                    </w:rPr>
                  </w:pPr>
                  <w:r>
                    <w:rPr>
                      <w:rFonts w:ascii="Times New Roman" w:hAnsi="Times New Roman"/>
                      <w:sz w:val="21"/>
                      <w:szCs w:val="21"/>
                      <w:lang w:eastAsia="zh-CN"/>
                    </w:rPr>
                    <w:t>（2）入区项目需建立从污染源头、过程处理和最终排放的三级防控体系，防止环境风险事故造成水环境污染。</w:t>
                  </w:r>
                </w:p>
              </w:tc>
              <w:tc>
                <w:tcPr>
                  <w:tcW w:w="2411" w:type="dxa"/>
                  <w:vAlign w:val="center"/>
                </w:tcPr>
                <w:p w14:paraId="2B850B96">
                  <w:pPr>
                    <w:pStyle w:val="65"/>
                    <w:snapToGrid w:val="0"/>
                    <w:jc w:val="both"/>
                    <w:rPr>
                      <w:rFonts w:ascii="Times New Roman" w:hAnsi="Times New Roman"/>
                      <w:sz w:val="21"/>
                      <w:szCs w:val="21"/>
                      <w:lang w:eastAsia="zh-CN"/>
                    </w:rPr>
                  </w:pPr>
                  <w:r>
                    <w:rPr>
                      <w:rFonts w:hint="eastAsia" w:ascii="Times New Roman" w:hAnsi="Times New Roman"/>
                      <w:sz w:val="21"/>
                      <w:szCs w:val="21"/>
                      <w:lang w:eastAsia="zh-CN"/>
                    </w:rPr>
                    <w:t>本</w:t>
                  </w:r>
                  <w:r>
                    <w:rPr>
                      <w:rFonts w:ascii="Times New Roman" w:hAnsi="Times New Roman"/>
                      <w:sz w:val="21"/>
                      <w:szCs w:val="21"/>
                      <w:lang w:eastAsia="zh-CN"/>
                    </w:rPr>
                    <w:t>项目运营期无生产废水排放</w:t>
                  </w:r>
                  <w:r>
                    <w:rPr>
                      <w:rFonts w:hint="eastAsia" w:ascii="Times New Roman" w:hAnsi="Times New Roman"/>
                      <w:sz w:val="21"/>
                      <w:szCs w:val="21"/>
                      <w:lang w:eastAsia="zh-CN"/>
                    </w:rPr>
                    <w:t>；生活污水经化粪池处理后委托环卫部门定期清运，不外排。</w:t>
                  </w:r>
                </w:p>
              </w:tc>
              <w:tc>
                <w:tcPr>
                  <w:tcW w:w="866" w:type="dxa"/>
                  <w:vAlign w:val="center"/>
                </w:tcPr>
                <w:p w14:paraId="0B2EF26B">
                  <w:pPr>
                    <w:snapToGrid w:val="0"/>
                    <w:jc w:val="center"/>
                    <w:rPr>
                      <w:szCs w:val="21"/>
                    </w:rPr>
                  </w:pPr>
                  <w:r>
                    <w:rPr>
                      <w:rFonts w:hint="eastAsia"/>
                      <w:szCs w:val="21"/>
                    </w:rPr>
                    <w:t>符合</w:t>
                  </w:r>
                </w:p>
              </w:tc>
            </w:tr>
            <w:tr w14:paraId="232A8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7A7334FF">
                  <w:pPr>
                    <w:pStyle w:val="65"/>
                    <w:snapToGrid w:val="0"/>
                    <w:jc w:val="both"/>
                    <w:rPr>
                      <w:rFonts w:ascii="Times New Roman" w:hAnsi="Times New Roman"/>
                      <w:sz w:val="21"/>
                      <w:szCs w:val="21"/>
                      <w:lang w:eastAsia="zh-CN"/>
                    </w:rPr>
                  </w:pPr>
                </w:p>
              </w:tc>
              <w:tc>
                <w:tcPr>
                  <w:tcW w:w="4127" w:type="dxa"/>
                  <w:vAlign w:val="center"/>
                </w:tcPr>
                <w:p w14:paraId="39806199">
                  <w:pPr>
                    <w:pStyle w:val="65"/>
                    <w:snapToGrid w:val="0"/>
                    <w:jc w:val="both"/>
                    <w:rPr>
                      <w:rFonts w:ascii="Times New Roman" w:hAnsi="Times New Roman"/>
                      <w:sz w:val="21"/>
                      <w:szCs w:val="21"/>
                      <w:lang w:eastAsia="zh-CN"/>
                    </w:rPr>
                  </w:pPr>
                  <w:r>
                    <w:rPr>
                      <w:rFonts w:ascii="Times New Roman" w:hAnsi="Times New Roman"/>
                      <w:sz w:val="21"/>
                      <w:szCs w:val="21"/>
                      <w:lang w:eastAsia="zh-CN"/>
                    </w:rPr>
                    <w:t>（3）</w:t>
                  </w:r>
                  <w:r>
                    <w:rPr>
                      <w:rFonts w:hint="eastAsia" w:ascii="Times New Roman" w:hAnsi="Times New Roman"/>
                      <w:sz w:val="21"/>
                      <w:szCs w:val="21"/>
                      <w:lang w:eastAsia="zh-CN"/>
                    </w:rPr>
                    <w:t>固体</w:t>
                  </w:r>
                  <w:r>
                    <w:rPr>
                      <w:rFonts w:ascii="Times New Roman" w:hAnsi="Times New Roman"/>
                      <w:sz w:val="21"/>
                      <w:szCs w:val="21"/>
                      <w:lang w:eastAsia="zh-CN"/>
                    </w:rPr>
                    <w:t>废物贮存设施应符合《一般工业固体废物贮存和填埋污染控制标准》（GB18599-2020）要求、《危险废物贮存污染控制标准》（GB18597-2023）要求。</w:t>
                  </w:r>
                </w:p>
              </w:tc>
              <w:tc>
                <w:tcPr>
                  <w:tcW w:w="2411" w:type="dxa"/>
                  <w:vAlign w:val="center"/>
                </w:tcPr>
                <w:p w14:paraId="5A78FF31">
                  <w:pPr>
                    <w:pStyle w:val="65"/>
                    <w:snapToGrid w:val="0"/>
                    <w:jc w:val="both"/>
                    <w:rPr>
                      <w:rFonts w:ascii="Times New Roman" w:hAnsi="Times New Roman"/>
                      <w:sz w:val="21"/>
                      <w:szCs w:val="21"/>
                      <w:lang w:eastAsia="zh-CN"/>
                    </w:rPr>
                  </w:pPr>
                  <w:r>
                    <w:rPr>
                      <w:rFonts w:hint="eastAsia" w:ascii="Times New Roman" w:hAnsi="Times New Roman"/>
                      <w:sz w:val="21"/>
                      <w:szCs w:val="21"/>
                      <w:lang w:eastAsia="zh-CN"/>
                    </w:rPr>
                    <w:t>一般工业固废执行《中华人民共和国固体废物污染环境防治法》（2020年修订）相关要求规范建设、一般工业固体废物管理过程应执行《一般工业固体废物管理台账制定指南（试行）》要求；危险废物满足《危险废物贮存污染控制标准》（GB 18597-2023）相关要求。</w:t>
                  </w:r>
                </w:p>
              </w:tc>
              <w:tc>
                <w:tcPr>
                  <w:tcW w:w="866" w:type="dxa"/>
                  <w:vAlign w:val="center"/>
                </w:tcPr>
                <w:p w14:paraId="058D8E50">
                  <w:pPr>
                    <w:snapToGrid w:val="0"/>
                    <w:jc w:val="center"/>
                    <w:rPr>
                      <w:szCs w:val="21"/>
                    </w:rPr>
                  </w:pPr>
                  <w:r>
                    <w:rPr>
                      <w:rFonts w:hint="eastAsia"/>
                      <w:szCs w:val="21"/>
                    </w:rPr>
                    <w:t>符合</w:t>
                  </w:r>
                </w:p>
              </w:tc>
            </w:tr>
            <w:tr w14:paraId="2E0B8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49180C7F">
                  <w:pPr>
                    <w:pStyle w:val="65"/>
                    <w:snapToGrid w:val="0"/>
                    <w:jc w:val="both"/>
                    <w:rPr>
                      <w:rFonts w:ascii="Times New Roman" w:hAnsi="Times New Roman"/>
                      <w:sz w:val="21"/>
                      <w:szCs w:val="21"/>
                      <w:lang w:eastAsia="zh-CN"/>
                    </w:rPr>
                  </w:pPr>
                </w:p>
              </w:tc>
              <w:tc>
                <w:tcPr>
                  <w:tcW w:w="4127" w:type="dxa"/>
                  <w:vAlign w:val="center"/>
                </w:tcPr>
                <w:p w14:paraId="28604EA1">
                  <w:pPr>
                    <w:pStyle w:val="65"/>
                    <w:snapToGrid w:val="0"/>
                    <w:jc w:val="both"/>
                    <w:rPr>
                      <w:rFonts w:ascii="Times New Roman" w:hAnsi="Times New Roman"/>
                      <w:sz w:val="21"/>
                      <w:szCs w:val="21"/>
                      <w:lang w:eastAsia="zh-CN"/>
                    </w:rPr>
                  </w:pPr>
                  <w:r>
                    <w:rPr>
                      <w:rFonts w:ascii="Times New Roman" w:hAnsi="Times New Roman"/>
                      <w:sz w:val="21"/>
                      <w:szCs w:val="21"/>
                      <w:lang w:eastAsia="zh-CN"/>
                    </w:rPr>
                    <w:t>（4）做好分区防渗工作，按照跟踪监测方案进行监测分析，防止重金属、强酸等危险物质污染土壤和地下水环境。在园区内及园区周边，区内项目重大风险源周围划定一定的防护距离。园区有必要建立风险事故决策支持系统</w:t>
                  </w:r>
                </w:p>
              </w:tc>
              <w:tc>
                <w:tcPr>
                  <w:tcW w:w="2411" w:type="dxa"/>
                  <w:vAlign w:val="center"/>
                </w:tcPr>
                <w:p w14:paraId="0EC1D21A">
                  <w:pPr>
                    <w:pStyle w:val="65"/>
                    <w:snapToGrid w:val="0"/>
                    <w:jc w:val="both"/>
                    <w:rPr>
                      <w:rFonts w:ascii="Times New Roman" w:hAnsi="Times New Roman"/>
                      <w:sz w:val="21"/>
                      <w:szCs w:val="21"/>
                      <w:lang w:eastAsia="zh-CN"/>
                    </w:rPr>
                  </w:pPr>
                  <w:r>
                    <w:rPr>
                      <w:rFonts w:ascii="Times New Roman" w:hAnsi="Times New Roman"/>
                      <w:sz w:val="21"/>
                      <w:szCs w:val="21"/>
                      <w:lang w:eastAsia="zh-CN"/>
                    </w:rPr>
                    <w:t>项目厂区采取分区防渗措施，不涉及重金属、强酸等危险物质。</w:t>
                  </w:r>
                </w:p>
              </w:tc>
              <w:tc>
                <w:tcPr>
                  <w:tcW w:w="866" w:type="dxa"/>
                  <w:vAlign w:val="center"/>
                </w:tcPr>
                <w:p w14:paraId="6F516FB9">
                  <w:pPr>
                    <w:snapToGrid w:val="0"/>
                    <w:jc w:val="center"/>
                    <w:rPr>
                      <w:szCs w:val="21"/>
                    </w:rPr>
                  </w:pPr>
                  <w:r>
                    <w:rPr>
                      <w:rFonts w:hint="eastAsia"/>
                      <w:szCs w:val="21"/>
                    </w:rPr>
                    <w:t>符合</w:t>
                  </w:r>
                </w:p>
              </w:tc>
            </w:tr>
            <w:tr w14:paraId="7E84F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527A8CC6">
                  <w:pPr>
                    <w:pStyle w:val="65"/>
                    <w:snapToGrid w:val="0"/>
                    <w:jc w:val="both"/>
                    <w:rPr>
                      <w:rFonts w:ascii="Times New Roman" w:hAnsi="Times New Roman"/>
                      <w:sz w:val="21"/>
                      <w:szCs w:val="21"/>
                      <w:lang w:eastAsia="zh-CN"/>
                    </w:rPr>
                  </w:pPr>
                </w:p>
              </w:tc>
              <w:tc>
                <w:tcPr>
                  <w:tcW w:w="4127" w:type="dxa"/>
                  <w:vAlign w:val="center"/>
                </w:tcPr>
                <w:p w14:paraId="494DDB54">
                  <w:pPr>
                    <w:pStyle w:val="65"/>
                    <w:snapToGrid w:val="0"/>
                    <w:jc w:val="both"/>
                    <w:rPr>
                      <w:rFonts w:ascii="Times New Roman" w:hAnsi="Times New Roman"/>
                      <w:sz w:val="21"/>
                      <w:szCs w:val="21"/>
                      <w:lang w:eastAsia="zh-CN"/>
                    </w:rPr>
                  </w:pPr>
                  <w:r>
                    <w:rPr>
                      <w:rFonts w:ascii="Times New Roman" w:hAnsi="Times New Roman"/>
                      <w:sz w:val="21"/>
                      <w:szCs w:val="21"/>
                      <w:lang w:eastAsia="zh-CN"/>
                    </w:rPr>
                    <w:t>（5）开发区内企业存在生产、储存装置与学校、医院、居民集中区等敏感点的距离应当符合安全、卫生防护等有关要求。危险化学品生产和储存装置安全防护距离测算参考《危险化学品生产和储存装置外部安全防护距离确定方法》（GB/T37243-2019）。</w:t>
                  </w:r>
                </w:p>
              </w:tc>
              <w:tc>
                <w:tcPr>
                  <w:tcW w:w="2411" w:type="dxa"/>
                  <w:vAlign w:val="center"/>
                </w:tcPr>
                <w:p w14:paraId="54A54C83">
                  <w:pPr>
                    <w:pStyle w:val="65"/>
                    <w:snapToGrid w:val="0"/>
                    <w:jc w:val="both"/>
                    <w:rPr>
                      <w:rFonts w:ascii="Times New Roman" w:hAnsi="Times New Roman"/>
                      <w:sz w:val="21"/>
                      <w:szCs w:val="21"/>
                      <w:lang w:eastAsia="zh-CN"/>
                    </w:rPr>
                  </w:pPr>
                  <w:r>
                    <w:rPr>
                      <w:rFonts w:ascii="Times New Roman" w:hAnsi="Times New Roman"/>
                      <w:sz w:val="21"/>
                      <w:szCs w:val="21"/>
                      <w:lang w:eastAsia="zh-CN"/>
                    </w:rPr>
                    <w:t>项目不涉及危险化学品，拟建厂区周边不存在学校、医院、居民集中区等敏感点。</w:t>
                  </w:r>
                </w:p>
              </w:tc>
              <w:tc>
                <w:tcPr>
                  <w:tcW w:w="866" w:type="dxa"/>
                  <w:vAlign w:val="center"/>
                </w:tcPr>
                <w:p w14:paraId="0C9F896E">
                  <w:pPr>
                    <w:snapToGrid w:val="0"/>
                    <w:jc w:val="center"/>
                    <w:rPr>
                      <w:szCs w:val="21"/>
                    </w:rPr>
                  </w:pPr>
                  <w:r>
                    <w:rPr>
                      <w:rFonts w:hint="eastAsia"/>
                      <w:szCs w:val="21"/>
                    </w:rPr>
                    <w:t>符合</w:t>
                  </w:r>
                </w:p>
              </w:tc>
            </w:tr>
            <w:tr w14:paraId="21A3C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restart"/>
                  <w:vAlign w:val="center"/>
                </w:tcPr>
                <w:p w14:paraId="3443A463">
                  <w:pPr>
                    <w:adjustRightInd w:val="0"/>
                    <w:snapToGrid w:val="0"/>
                    <w:jc w:val="center"/>
                    <w:rPr>
                      <w:kern w:val="0"/>
                      <w:szCs w:val="21"/>
                    </w:rPr>
                  </w:pPr>
                  <w:r>
                    <w:rPr>
                      <w:kern w:val="0"/>
                      <w:szCs w:val="21"/>
                    </w:rPr>
                    <w:t>基于资源开发利用的准入要求</w:t>
                  </w:r>
                </w:p>
              </w:tc>
              <w:tc>
                <w:tcPr>
                  <w:tcW w:w="4127" w:type="dxa"/>
                  <w:vAlign w:val="center"/>
                </w:tcPr>
                <w:p w14:paraId="4D8D17BE">
                  <w:pPr>
                    <w:adjustRightInd w:val="0"/>
                    <w:snapToGrid w:val="0"/>
                    <w:rPr>
                      <w:szCs w:val="21"/>
                    </w:rPr>
                  </w:pPr>
                  <w:r>
                    <w:rPr>
                      <w:szCs w:val="21"/>
                    </w:rPr>
                    <w:t>（1）不突破区域已确定的土地、水、能源等主要资源能源开发利用总量。</w:t>
                  </w:r>
                </w:p>
              </w:tc>
              <w:tc>
                <w:tcPr>
                  <w:tcW w:w="2411" w:type="dxa"/>
                  <w:vAlign w:val="center"/>
                </w:tcPr>
                <w:p w14:paraId="492CC901">
                  <w:pPr>
                    <w:pStyle w:val="65"/>
                    <w:snapToGrid w:val="0"/>
                    <w:jc w:val="both"/>
                    <w:rPr>
                      <w:rFonts w:ascii="Times New Roman" w:hAnsi="Times New Roman"/>
                      <w:sz w:val="21"/>
                      <w:szCs w:val="21"/>
                      <w:lang w:eastAsia="zh-CN"/>
                    </w:rPr>
                  </w:pPr>
                  <w:r>
                    <w:rPr>
                      <w:rFonts w:ascii="Times New Roman" w:hAnsi="Times New Roman"/>
                      <w:sz w:val="21"/>
                      <w:szCs w:val="21"/>
                      <w:lang w:eastAsia="zh-CN"/>
                    </w:rPr>
                    <w:t>本项目资源利用量小，不会突破当地资源利用上线。</w:t>
                  </w:r>
                </w:p>
              </w:tc>
              <w:tc>
                <w:tcPr>
                  <w:tcW w:w="866" w:type="dxa"/>
                  <w:vAlign w:val="center"/>
                </w:tcPr>
                <w:p w14:paraId="07644221">
                  <w:pPr>
                    <w:snapToGrid w:val="0"/>
                    <w:jc w:val="center"/>
                    <w:rPr>
                      <w:szCs w:val="21"/>
                    </w:rPr>
                  </w:pPr>
                  <w:r>
                    <w:rPr>
                      <w:rFonts w:hint="eastAsia"/>
                      <w:szCs w:val="21"/>
                    </w:rPr>
                    <w:t>符合</w:t>
                  </w:r>
                </w:p>
              </w:tc>
            </w:tr>
            <w:tr w14:paraId="1050F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15" w:type="dxa"/>
                  <w:vMerge w:val="continue"/>
                  <w:vAlign w:val="center"/>
                </w:tcPr>
                <w:p w14:paraId="3C9C66A9">
                  <w:pPr>
                    <w:pStyle w:val="65"/>
                    <w:snapToGrid w:val="0"/>
                    <w:jc w:val="both"/>
                    <w:rPr>
                      <w:rFonts w:ascii="Times New Roman" w:hAnsi="Times New Roman"/>
                      <w:sz w:val="21"/>
                      <w:szCs w:val="21"/>
                    </w:rPr>
                  </w:pPr>
                </w:p>
              </w:tc>
              <w:tc>
                <w:tcPr>
                  <w:tcW w:w="4127" w:type="dxa"/>
                  <w:vAlign w:val="center"/>
                </w:tcPr>
                <w:p w14:paraId="6EC3D7C1">
                  <w:pPr>
                    <w:pStyle w:val="65"/>
                    <w:snapToGrid w:val="0"/>
                    <w:jc w:val="both"/>
                    <w:rPr>
                      <w:rFonts w:ascii="Times New Roman" w:hAnsi="Times New Roman"/>
                      <w:sz w:val="21"/>
                      <w:szCs w:val="21"/>
                      <w:lang w:eastAsia="zh-CN"/>
                    </w:rPr>
                  </w:pPr>
                  <w:r>
                    <w:rPr>
                      <w:rFonts w:ascii="Times New Roman" w:hAnsi="Times New Roman"/>
                      <w:sz w:val="21"/>
                      <w:szCs w:val="21"/>
                      <w:lang w:eastAsia="zh-CN"/>
                    </w:rPr>
                    <w:t>（2）满足单位面积产值、单位产值水耗、用水效率、单位产值能耗等限制性准入要求。</w:t>
                  </w:r>
                </w:p>
              </w:tc>
              <w:tc>
                <w:tcPr>
                  <w:tcW w:w="2411" w:type="dxa"/>
                  <w:vAlign w:val="center"/>
                </w:tcPr>
                <w:p w14:paraId="035B4C85">
                  <w:pPr>
                    <w:pStyle w:val="65"/>
                    <w:snapToGrid w:val="0"/>
                    <w:jc w:val="both"/>
                    <w:rPr>
                      <w:rFonts w:ascii="Times New Roman" w:hAnsi="Times New Roman"/>
                      <w:sz w:val="21"/>
                      <w:szCs w:val="21"/>
                      <w:lang w:eastAsia="zh-CN"/>
                    </w:rPr>
                  </w:pPr>
                  <w:r>
                    <w:rPr>
                      <w:rFonts w:ascii="Times New Roman" w:hAnsi="Times New Roman"/>
                      <w:sz w:val="21"/>
                      <w:szCs w:val="21"/>
                      <w:lang w:eastAsia="zh-CN"/>
                    </w:rPr>
                    <w:t>本项目满足开发区限制性准入要求。</w:t>
                  </w:r>
                </w:p>
              </w:tc>
              <w:tc>
                <w:tcPr>
                  <w:tcW w:w="866" w:type="dxa"/>
                  <w:vAlign w:val="center"/>
                </w:tcPr>
                <w:p w14:paraId="1B4A6B5D">
                  <w:pPr>
                    <w:snapToGrid w:val="0"/>
                    <w:jc w:val="center"/>
                    <w:rPr>
                      <w:szCs w:val="21"/>
                    </w:rPr>
                  </w:pPr>
                  <w:r>
                    <w:rPr>
                      <w:rFonts w:hint="eastAsia"/>
                      <w:szCs w:val="21"/>
                    </w:rPr>
                    <w:t>符合</w:t>
                  </w:r>
                </w:p>
              </w:tc>
            </w:tr>
            <w:tr w14:paraId="7884A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6F4893ED">
                  <w:pPr>
                    <w:pStyle w:val="65"/>
                    <w:snapToGrid w:val="0"/>
                    <w:jc w:val="both"/>
                    <w:rPr>
                      <w:rFonts w:ascii="Times New Roman" w:hAnsi="Times New Roman"/>
                      <w:sz w:val="21"/>
                      <w:szCs w:val="21"/>
                      <w:lang w:eastAsia="zh-CN"/>
                    </w:rPr>
                  </w:pPr>
                </w:p>
              </w:tc>
              <w:tc>
                <w:tcPr>
                  <w:tcW w:w="4127" w:type="dxa"/>
                  <w:vAlign w:val="center"/>
                </w:tcPr>
                <w:p w14:paraId="32668C12">
                  <w:pPr>
                    <w:pStyle w:val="65"/>
                    <w:snapToGrid w:val="0"/>
                    <w:jc w:val="both"/>
                    <w:rPr>
                      <w:rFonts w:ascii="Times New Roman" w:hAnsi="Times New Roman"/>
                      <w:sz w:val="21"/>
                      <w:szCs w:val="21"/>
                      <w:lang w:eastAsia="zh-CN"/>
                    </w:rPr>
                  </w:pPr>
                  <w:r>
                    <w:rPr>
                      <w:rFonts w:ascii="Times New Roman" w:hAnsi="Times New Roman"/>
                      <w:sz w:val="21"/>
                      <w:szCs w:val="21"/>
                      <w:lang w:eastAsia="zh-CN"/>
                    </w:rPr>
                    <w:t>（3）现有高耗水行业水资源消耗强度和污染物排放水平应要达到国内同行先进水平，落后工艺限期进行升级改造。</w:t>
                  </w:r>
                </w:p>
              </w:tc>
              <w:tc>
                <w:tcPr>
                  <w:tcW w:w="2411" w:type="dxa"/>
                  <w:vAlign w:val="center"/>
                </w:tcPr>
                <w:p w14:paraId="4B7FA846">
                  <w:pPr>
                    <w:pStyle w:val="65"/>
                    <w:snapToGrid w:val="0"/>
                    <w:jc w:val="both"/>
                    <w:rPr>
                      <w:rFonts w:ascii="Times New Roman" w:hAnsi="Times New Roman"/>
                      <w:sz w:val="21"/>
                      <w:szCs w:val="21"/>
                      <w:lang w:eastAsia="zh-CN"/>
                    </w:rPr>
                  </w:pPr>
                  <w:r>
                    <w:rPr>
                      <w:rFonts w:ascii="Times New Roman" w:hAnsi="Times New Roman"/>
                      <w:sz w:val="21"/>
                      <w:szCs w:val="21"/>
                      <w:lang w:eastAsia="zh-CN"/>
                    </w:rPr>
                    <w:t>本项目不属于高耗水行业。</w:t>
                  </w:r>
                </w:p>
              </w:tc>
              <w:tc>
                <w:tcPr>
                  <w:tcW w:w="866" w:type="dxa"/>
                  <w:vAlign w:val="center"/>
                </w:tcPr>
                <w:p w14:paraId="54AAC9AB">
                  <w:pPr>
                    <w:snapToGrid w:val="0"/>
                    <w:jc w:val="center"/>
                    <w:rPr>
                      <w:szCs w:val="21"/>
                    </w:rPr>
                  </w:pPr>
                  <w:r>
                    <w:rPr>
                      <w:rFonts w:hint="eastAsia"/>
                      <w:szCs w:val="21"/>
                    </w:rPr>
                    <w:t>符合</w:t>
                  </w:r>
                </w:p>
              </w:tc>
            </w:tr>
            <w:tr w14:paraId="0DCDB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126005B6">
                  <w:pPr>
                    <w:pStyle w:val="65"/>
                    <w:snapToGrid w:val="0"/>
                    <w:jc w:val="both"/>
                    <w:rPr>
                      <w:rFonts w:ascii="Times New Roman" w:hAnsi="Times New Roman"/>
                      <w:sz w:val="21"/>
                      <w:szCs w:val="21"/>
                      <w:lang w:eastAsia="zh-CN"/>
                    </w:rPr>
                  </w:pPr>
                </w:p>
              </w:tc>
              <w:tc>
                <w:tcPr>
                  <w:tcW w:w="4127" w:type="dxa"/>
                  <w:vAlign w:val="center"/>
                </w:tcPr>
                <w:p w14:paraId="0E104693">
                  <w:pPr>
                    <w:pStyle w:val="65"/>
                    <w:snapToGrid w:val="0"/>
                    <w:jc w:val="both"/>
                    <w:rPr>
                      <w:rFonts w:ascii="Times New Roman" w:hAnsi="Times New Roman"/>
                      <w:sz w:val="21"/>
                      <w:szCs w:val="21"/>
                      <w:lang w:eastAsia="zh-CN"/>
                    </w:rPr>
                  </w:pPr>
                  <w:r>
                    <w:rPr>
                      <w:rFonts w:ascii="Times New Roman" w:hAnsi="Times New Roman"/>
                      <w:sz w:val="21"/>
                      <w:szCs w:val="21"/>
                      <w:lang w:eastAsia="zh-CN"/>
                    </w:rPr>
                    <w:t>（4）推进重点企业清洁生产审核。</w:t>
                  </w:r>
                </w:p>
              </w:tc>
              <w:tc>
                <w:tcPr>
                  <w:tcW w:w="2411" w:type="dxa"/>
                  <w:vAlign w:val="center"/>
                </w:tcPr>
                <w:p w14:paraId="305F82DA">
                  <w:pPr>
                    <w:pStyle w:val="65"/>
                    <w:snapToGrid w:val="0"/>
                    <w:jc w:val="both"/>
                    <w:rPr>
                      <w:rFonts w:ascii="Times New Roman" w:hAnsi="Times New Roman"/>
                      <w:sz w:val="21"/>
                      <w:szCs w:val="21"/>
                      <w:lang w:eastAsia="zh-CN"/>
                    </w:rPr>
                  </w:pPr>
                  <w:r>
                    <w:rPr>
                      <w:rFonts w:ascii="Times New Roman" w:hAnsi="Times New Roman"/>
                      <w:sz w:val="21"/>
                      <w:szCs w:val="21"/>
                      <w:lang w:eastAsia="zh-CN"/>
                    </w:rPr>
                    <w:t>本项目运营期实行清洁生产</w:t>
                  </w:r>
                  <w:r>
                    <w:rPr>
                      <w:rFonts w:hint="eastAsia" w:ascii="Times New Roman" w:hAnsi="Times New Roman"/>
                      <w:sz w:val="21"/>
                      <w:szCs w:val="21"/>
                      <w:lang w:eastAsia="zh-CN"/>
                    </w:rPr>
                    <w:t>。</w:t>
                  </w:r>
                </w:p>
              </w:tc>
              <w:tc>
                <w:tcPr>
                  <w:tcW w:w="866" w:type="dxa"/>
                  <w:vAlign w:val="center"/>
                </w:tcPr>
                <w:p w14:paraId="0E9C16FA">
                  <w:pPr>
                    <w:snapToGrid w:val="0"/>
                    <w:jc w:val="center"/>
                    <w:rPr>
                      <w:szCs w:val="21"/>
                    </w:rPr>
                  </w:pPr>
                  <w:r>
                    <w:rPr>
                      <w:rFonts w:hint="eastAsia"/>
                      <w:szCs w:val="21"/>
                    </w:rPr>
                    <w:t>符合</w:t>
                  </w:r>
                </w:p>
              </w:tc>
            </w:tr>
            <w:tr w14:paraId="253BC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15" w:type="dxa"/>
                  <w:vMerge w:val="continue"/>
                  <w:vAlign w:val="center"/>
                </w:tcPr>
                <w:p w14:paraId="2DCA9EA5">
                  <w:pPr>
                    <w:pStyle w:val="65"/>
                    <w:snapToGrid w:val="0"/>
                    <w:jc w:val="both"/>
                    <w:rPr>
                      <w:rFonts w:ascii="Times New Roman" w:hAnsi="Times New Roman"/>
                      <w:sz w:val="21"/>
                      <w:szCs w:val="21"/>
                      <w:lang w:eastAsia="zh-CN"/>
                    </w:rPr>
                  </w:pPr>
                </w:p>
              </w:tc>
              <w:tc>
                <w:tcPr>
                  <w:tcW w:w="4127" w:type="dxa"/>
                  <w:vAlign w:val="center"/>
                </w:tcPr>
                <w:p w14:paraId="444E1947">
                  <w:pPr>
                    <w:pStyle w:val="65"/>
                    <w:snapToGrid w:val="0"/>
                    <w:jc w:val="both"/>
                    <w:rPr>
                      <w:rFonts w:ascii="Times New Roman" w:hAnsi="Times New Roman"/>
                      <w:sz w:val="21"/>
                      <w:szCs w:val="21"/>
                      <w:lang w:eastAsia="zh-CN"/>
                    </w:rPr>
                  </w:pPr>
                  <w:r>
                    <w:rPr>
                      <w:rFonts w:ascii="Times New Roman" w:hAnsi="Times New Roman"/>
                      <w:sz w:val="21"/>
                      <w:szCs w:val="21"/>
                      <w:lang w:eastAsia="zh-CN"/>
                    </w:rPr>
                    <w:t>（5）提高节水型企业比例，提高工业用水重复利用率，提高再生水利用率，降低万元工业增加值新鲜水消耗量。</w:t>
                  </w:r>
                </w:p>
              </w:tc>
              <w:tc>
                <w:tcPr>
                  <w:tcW w:w="2411" w:type="dxa"/>
                  <w:vAlign w:val="center"/>
                </w:tcPr>
                <w:p w14:paraId="1A9158B7">
                  <w:pPr>
                    <w:pStyle w:val="65"/>
                    <w:snapToGrid w:val="0"/>
                    <w:jc w:val="both"/>
                    <w:rPr>
                      <w:rFonts w:ascii="Times New Roman" w:hAnsi="Times New Roman"/>
                      <w:sz w:val="21"/>
                      <w:szCs w:val="21"/>
                      <w:lang w:eastAsia="zh-CN"/>
                    </w:rPr>
                  </w:pPr>
                  <w:r>
                    <w:rPr>
                      <w:rFonts w:hint="eastAsia" w:ascii="Times New Roman" w:hAnsi="Times New Roman"/>
                      <w:sz w:val="21"/>
                      <w:szCs w:val="21"/>
                      <w:lang w:eastAsia="zh-CN"/>
                    </w:rPr>
                    <w:t>本项目</w:t>
                  </w:r>
                  <w:r>
                    <w:rPr>
                      <w:rFonts w:ascii="Times New Roman" w:hAnsi="Times New Roman"/>
                      <w:sz w:val="21"/>
                      <w:szCs w:val="21"/>
                      <w:lang w:eastAsia="zh-CN"/>
                    </w:rPr>
                    <w:t>运营期</w:t>
                  </w:r>
                  <w:r>
                    <w:rPr>
                      <w:rFonts w:hint="eastAsia" w:ascii="Times New Roman" w:hAnsi="Times New Roman"/>
                      <w:sz w:val="21"/>
                      <w:szCs w:val="21"/>
                      <w:lang w:eastAsia="zh-CN"/>
                    </w:rPr>
                    <w:t>无生产废水产生；</w:t>
                  </w:r>
                  <w:r>
                    <w:rPr>
                      <w:rFonts w:hint="eastAsia"/>
                      <w:lang w:eastAsia="zh-CN"/>
                    </w:rPr>
                    <w:t>生活污水经化粪池处理后由环卫部门定期清运，不外排</w:t>
                  </w:r>
                </w:p>
              </w:tc>
              <w:tc>
                <w:tcPr>
                  <w:tcW w:w="866" w:type="dxa"/>
                  <w:vAlign w:val="center"/>
                </w:tcPr>
                <w:p w14:paraId="774A3A4A">
                  <w:pPr>
                    <w:snapToGrid w:val="0"/>
                    <w:jc w:val="center"/>
                    <w:rPr>
                      <w:szCs w:val="21"/>
                    </w:rPr>
                  </w:pPr>
                  <w:r>
                    <w:rPr>
                      <w:rFonts w:hint="eastAsia"/>
                      <w:szCs w:val="21"/>
                    </w:rPr>
                    <w:t>符合</w:t>
                  </w:r>
                </w:p>
              </w:tc>
            </w:tr>
            <w:tr w14:paraId="6A9E3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Merge w:val="continue"/>
                  <w:vAlign w:val="center"/>
                </w:tcPr>
                <w:p w14:paraId="4F2A0F6D">
                  <w:pPr>
                    <w:pStyle w:val="65"/>
                    <w:snapToGrid w:val="0"/>
                    <w:jc w:val="both"/>
                    <w:rPr>
                      <w:rFonts w:ascii="Times New Roman" w:hAnsi="Times New Roman"/>
                      <w:sz w:val="21"/>
                      <w:szCs w:val="21"/>
                      <w:lang w:eastAsia="zh-CN"/>
                    </w:rPr>
                  </w:pPr>
                </w:p>
              </w:tc>
              <w:tc>
                <w:tcPr>
                  <w:tcW w:w="4127" w:type="dxa"/>
                  <w:vAlign w:val="center"/>
                </w:tcPr>
                <w:p w14:paraId="3FB8C72D">
                  <w:pPr>
                    <w:pStyle w:val="65"/>
                    <w:snapToGrid w:val="0"/>
                    <w:jc w:val="both"/>
                    <w:rPr>
                      <w:rFonts w:ascii="Times New Roman" w:hAnsi="Times New Roman"/>
                      <w:sz w:val="21"/>
                      <w:szCs w:val="21"/>
                      <w:lang w:eastAsia="zh-CN"/>
                    </w:rPr>
                  </w:pPr>
                  <w:r>
                    <w:rPr>
                      <w:rFonts w:ascii="Times New Roman" w:hAnsi="Times New Roman"/>
                      <w:sz w:val="21"/>
                      <w:szCs w:val="21"/>
                      <w:lang w:eastAsia="zh-CN"/>
                    </w:rPr>
                    <w:t>（6）符合开展国家生态工业示范园区建设的条件。</w:t>
                  </w:r>
                </w:p>
              </w:tc>
              <w:tc>
                <w:tcPr>
                  <w:tcW w:w="2411" w:type="dxa"/>
                  <w:vAlign w:val="center"/>
                </w:tcPr>
                <w:p w14:paraId="45D62546">
                  <w:pPr>
                    <w:pStyle w:val="65"/>
                    <w:snapToGrid w:val="0"/>
                    <w:jc w:val="both"/>
                    <w:rPr>
                      <w:rFonts w:ascii="Times New Roman" w:hAnsi="Times New Roman"/>
                      <w:sz w:val="21"/>
                      <w:szCs w:val="21"/>
                      <w:lang w:eastAsia="zh-CN"/>
                    </w:rPr>
                  </w:pPr>
                  <w:r>
                    <w:rPr>
                      <w:rFonts w:ascii="Times New Roman" w:hAnsi="Times New Roman"/>
                      <w:sz w:val="21"/>
                      <w:szCs w:val="21"/>
                      <w:lang w:eastAsia="zh-CN"/>
                    </w:rPr>
                    <w:t>项目符合园区准入条件。</w:t>
                  </w:r>
                </w:p>
              </w:tc>
              <w:tc>
                <w:tcPr>
                  <w:tcW w:w="866" w:type="dxa"/>
                  <w:vAlign w:val="center"/>
                </w:tcPr>
                <w:p w14:paraId="0D9E8A04">
                  <w:pPr>
                    <w:snapToGrid w:val="0"/>
                    <w:jc w:val="center"/>
                    <w:rPr>
                      <w:szCs w:val="21"/>
                    </w:rPr>
                  </w:pPr>
                  <w:r>
                    <w:rPr>
                      <w:rFonts w:hint="eastAsia"/>
                      <w:szCs w:val="21"/>
                    </w:rPr>
                    <w:t>符合</w:t>
                  </w:r>
                </w:p>
              </w:tc>
            </w:tr>
          </w:tbl>
          <w:p w14:paraId="0B4C3B84">
            <w:pPr>
              <w:spacing w:before="120" w:beforeLines="50" w:line="360" w:lineRule="auto"/>
              <w:ind w:firstLine="480" w:firstLineChars="200"/>
              <w:contextualSpacing/>
              <w:rPr>
                <w:sz w:val="24"/>
              </w:rPr>
            </w:pPr>
            <w:r>
              <w:rPr>
                <w:sz w:val="24"/>
              </w:rPr>
              <w:t>综上，本项目符合梁山经济开发区</w:t>
            </w:r>
            <w:r>
              <w:rPr>
                <w:bCs/>
                <w:sz w:val="24"/>
              </w:rPr>
              <w:t>规划要求</w:t>
            </w:r>
            <w:r>
              <w:rPr>
                <w:rFonts w:hint="eastAsia"/>
                <w:sz w:val="24"/>
              </w:rPr>
              <w:t>。</w:t>
            </w:r>
          </w:p>
        </w:tc>
      </w:tr>
      <w:tr w14:paraId="28EC0A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14:paraId="7579A5F5">
            <w:pPr>
              <w:autoSpaceDE w:val="0"/>
              <w:autoSpaceDN w:val="0"/>
              <w:jc w:val="center"/>
              <w:rPr>
                <w:kern w:val="0"/>
                <w:sz w:val="24"/>
              </w:rPr>
            </w:pPr>
            <w:r>
              <w:rPr>
                <w:kern w:val="0"/>
                <w:sz w:val="24"/>
              </w:rPr>
              <w:t>其他符合性分析</w:t>
            </w:r>
          </w:p>
        </w:tc>
        <w:tc>
          <w:tcPr>
            <w:tcW w:w="8465" w:type="dxa"/>
            <w:gridSpan w:val="4"/>
            <w:vAlign w:val="center"/>
          </w:tcPr>
          <w:p w14:paraId="535093D0">
            <w:pPr>
              <w:spacing w:line="360" w:lineRule="auto"/>
              <w:ind w:firstLine="482" w:firstLineChars="200"/>
              <w:rPr>
                <w:b/>
                <w:sz w:val="24"/>
              </w:rPr>
            </w:pPr>
            <w:r>
              <w:rPr>
                <w:b/>
                <w:sz w:val="24"/>
                <w:lang w:val="zh-CN"/>
              </w:rPr>
              <w:t>1、</w:t>
            </w:r>
            <w:r>
              <w:rPr>
                <w:b/>
                <w:sz w:val="24"/>
              </w:rPr>
              <w:t>产业政策相符性</w:t>
            </w:r>
          </w:p>
          <w:p w14:paraId="5DF63B4B">
            <w:pPr>
              <w:spacing w:line="360" w:lineRule="auto"/>
              <w:ind w:firstLine="482"/>
              <w:rPr>
                <w:sz w:val="24"/>
              </w:rPr>
            </w:pPr>
            <w:r>
              <w:rPr>
                <w:rFonts w:hint="eastAsia"/>
                <w:sz w:val="24"/>
              </w:rPr>
              <w:t>经查阅</w:t>
            </w:r>
            <w:r>
              <w:rPr>
                <w:sz w:val="24"/>
              </w:rPr>
              <w:t>《产业结构调整指导目录》（2024年本），本项目生产工艺、产品及生产设备</w:t>
            </w:r>
            <w:r>
              <w:rPr>
                <w:rFonts w:hint="eastAsia"/>
                <w:sz w:val="24"/>
              </w:rPr>
              <w:t>均不属于鼓励类、限制类、禁止类范畴，属于</w:t>
            </w:r>
            <w:r>
              <w:rPr>
                <w:sz w:val="24"/>
              </w:rPr>
              <w:t>允许建设项目，符合</w:t>
            </w:r>
            <w:r>
              <w:rPr>
                <w:rFonts w:hint="eastAsia"/>
                <w:sz w:val="24"/>
              </w:rPr>
              <w:t>国家产业政策</w:t>
            </w:r>
            <w:r>
              <w:rPr>
                <w:sz w:val="24"/>
              </w:rPr>
              <w:t>。</w:t>
            </w:r>
            <w:r>
              <w:rPr>
                <w:kern w:val="0"/>
                <w:sz w:val="24"/>
              </w:rPr>
              <w:t>本项目已经在梁山县行政审批服务局备案，</w:t>
            </w:r>
            <w:r>
              <w:rPr>
                <w:rFonts w:hint="eastAsia"/>
                <w:bCs/>
                <w:sz w:val="24"/>
              </w:rPr>
              <w:t>项目代码</w:t>
            </w:r>
            <w:r>
              <w:rPr>
                <w:bCs/>
                <w:sz w:val="24"/>
              </w:rPr>
              <w:t>2411-370832-04-01-436983</w:t>
            </w:r>
            <w:r>
              <w:rPr>
                <w:rFonts w:hint="eastAsia"/>
                <w:bCs/>
                <w:sz w:val="24"/>
              </w:rPr>
              <w:t>。</w:t>
            </w:r>
          </w:p>
          <w:p w14:paraId="2EF93C98">
            <w:pPr>
              <w:spacing w:line="360" w:lineRule="auto"/>
              <w:ind w:firstLine="482" w:firstLineChars="200"/>
              <w:rPr>
                <w:b/>
                <w:sz w:val="24"/>
              </w:rPr>
            </w:pPr>
            <w:r>
              <w:rPr>
                <w:rFonts w:hint="eastAsia"/>
                <w:b/>
                <w:sz w:val="24"/>
                <w:lang w:val="zh-CN"/>
              </w:rPr>
              <w:t>2、</w:t>
            </w:r>
            <w:r>
              <w:rPr>
                <w:b/>
                <w:sz w:val="24"/>
                <w:lang w:val="zh-CN"/>
              </w:rPr>
              <w:t>“三</w:t>
            </w:r>
            <w:r>
              <w:rPr>
                <w:b/>
                <w:sz w:val="24"/>
              </w:rPr>
              <w:t>线一单”控制要求的相符性</w:t>
            </w:r>
          </w:p>
          <w:p w14:paraId="54C53094">
            <w:pPr>
              <w:spacing w:line="360" w:lineRule="auto"/>
              <w:ind w:firstLine="482" w:firstLineChars="200"/>
              <w:rPr>
                <w:b/>
                <w:sz w:val="24"/>
              </w:rPr>
            </w:pPr>
            <w:r>
              <w:rPr>
                <w:b/>
                <w:sz w:val="24"/>
              </w:rPr>
              <w:t>（1）</w:t>
            </w:r>
            <w:r>
              <w:rPr>
                <w:rFonts w:hint="eastAsia"/>
                <w:b/>
                <w:sz w:val="24"/>
              </w:rPr>
              <w:t>与生态保护红线符合性分析</w:t>
            </w:r>
          </w:p>
          <w:p w14:paraId="5FA80CC3">
            <w:pPr>
              <w:spacing w:line="360" w:lineRule="auto"/>
              <w:ind w:firstLine="480" w:firstLineChars="200"/>
              <w:rPr>
                <w:sz w:val="24"/>
              </w:rPr>
            </w:pPr>
            <w:r>
              <w:rPr>
                <w:rFonts w:hint="eastAsia"/>
                <w:sz w:val="24"/>
              </w:rPr>
              <w:t>根据《梁山县国土空间总体规划（2021-2035年》，全县规划期内划定生态保护区范围7</w:t>
            </w:r>
            <w:r>
              <w:rPr>
                <w:sz w:val="24"/>
              </w:rPr>
              <w:t>25.04</w:t>
            </w:r>
            <w:r>
              <w:rPr>
                <w:rFonts w:hint="eastAsia"/>
                <w:sz w:val="24"/>
              </w:rPr>
              <w:t>公顷，主要用途为生态保护红线、包含黄河梁山段、梁济运河北段、梁山运河。</w:t>
            </w:r>
          </w:p>
          <w:p w14:paraId="19126128">
            <w:pPr>
              <w:spacing w:line="360" w:lineRule="auto"/>
              <w:ind w:firstLine="480" w:firstLineChars="200"/>
              <w:rPr>
                <w:sz w:val="24"/>
              </w:rPr>
            </w:pPr>
            <w:r>
              <w:rPr>
                <w:rFonts w:hint="eastAsia"/>
                <w:sz w:val="24"/>
              </w:rPr>
              <w:t>根据《规划》中的&lt;县域生态保护红线图</w:t>
            </w:r>
            <w:r>
              <w:rPr>
                <w:sz w:val="24"/>
              </w:rPr>
              <w:t>&gt;</w:t>
            </w:r>
            <w:r>
              <w:rPr>
                <w:rFonts w:hint="eastAsia"/>
                <w:sz w:val="24"/>
              </w:rPr>
              <w:t>，本项目所在厂区位于城镇开发边界内，不涉及生态保护红线，具体见附图</w:t>
            </w:r>
            <w:r>
              <w:rPr>
                <w:sz w:val="24"/>
              </w:rPr>
              <w:t>9</w:t>
            </w:r>
            <w:r>
              <w:rPr>
                <w:rFonts w:hint="eastAsia"/>
                <w:sz w:val="24"/>
              </w:rPr>
              <w:t>。</w:t>
            </w:r>
          </w:p>
          <w:p w14:paraId="1A11CB9E">
            <w:pPr>
              <w:pStyle w:val="101"/>
              <w:snapToGrid w:val="0"/>
              <w:ind w:firstLine="482"/>
              <w:rPr>
                <w:b/>
              </w:rPr>
            </w:pPr>
            <w:r>
              <w:rPr>
                <w:b/>
              </w:rPr>
              <w:t>（2）与当地环境质量底线的符合性分析</w:t>
            </w:r>
          </w:p>
          <w:p w14:paraId="1F93B118">
            <w:pPr>
              <w:pStyle w:val="101"/>
            </w:pPr>
            <w:r>
              <w:rPr>
                <w:rFonts w:hint="eastAsia"/>
              </w:rPr>
              <w:t>①</w:t>
            </w:r>
            <w:r>
              <w:t>大气环境质量底线</w:t>
            </w:r>
          </w:p>
          <w:p w14:paraId="52AEA62B">
            <w:pPr>
              <w:pStyle w:val="101"/>
            </w:pPr>
            <w:r>
              <w:rPr>
                <w:bCs/>
              </w:rPr>
              <w:t>本项目所在区域为环境空气二类功能区，执行《环境空气质量标准》（GB3095-2012）二级标准。根据济宁市生态环境局梁山县分局发布的2023年梁山县环境空气质量， PM</w:t>
            </w:r>
            <w:r>
              <w:rPr>
                <w:bCs/>
                <w:vertAlign w:val="subscript"/>
              </w:rPr>
              <w:t>2.5</w:t>
            </w:r>
            <w:r>
              <w:rPr>
                <w:rFonts w:hint="eastAsia"/>
                <w:bCs/>
              </w:rPr>
              <w:t>、O</w:t>
            </w:r>
            <w:r>
              <w:rPr>
                <w:bCs/>
                <w:vertAlign w:val="subscript"/>
              </w:rPr>
              <w:t>3</w:t>
            </w:r>
            <w:r>
              <w:rPr>
                <w:bCs/>
              </w:rPr>
              <w:t>不能满足《环境空气质量标准》（GB3095-2012）二级标准要求，区域环境空气质量不达标，项目所在区域为不达标区。</w:t>
            </w:r>
          </w:p>
          <w:p w14:paraId="26F07AF4">
            <w:pPr>
              <w:pStyle w:val="101"/>
              <w:snapToGrid w:val="0"/>
            </w:pPr>
            <w:r>
              <w:rPr>
                <w:rFonts w:hint="eastAsia"/>
              </w:rPr>
              <w:t>②</w:t>
            </w:r>
            <w:r>
              <w:t>水环境质量底线</w:t>
            </w:r>
          </w:p>
          <w:p w14:paraId="4859ED6D">
            <w:pPr>
              <w:pStyle w:val="101"/>
              <w:snapToGrid w:val="0"/>
            </w:pPr>
            <w:r>
              <w:t>本项目所在</w:t>
            </w:r>
            <w:r>
              <w:rPr>
                <w:rFonts w:hint="eastAsia"/>
              </w:rPr>
              <w:t>区域</w:t>
            </w:r>
            <w:r>
              <w:t>主要河流为京杭运河，执行《地表水环境质量标准》（GB3838-2002）Ⅲ类标准</w:t>
            </w:r>
            <w:r>
              <w:rPr>
                <w:rFonts w:hint="eastAsia"/>
              </w:rPr>
              <w:t>。</w:t>
            </w:r>
            <w:r>
              <w:t>根据山东省省控地表水水质状况发布</w:t>
            </w:r>
            <w:r>
              <w:rPr>
                <w:rFonts w:hint="eastAsia"/>
              </w:rPr>
              <w:t>的数据，2024年</w:t>
            </w:r>
            <w:r>
              <w:t>9</w:t>
            </w:r>
            <w:r>
              <w:rPr>
                <w:rFonts w:hint="eastAsia"/>
              </w:rPr>
              <w:t>月京杭运河（梁济运河段）</w:t>
            </w:r>
            <w:r>
              <w:t>邓楼断面水质</w:t>
            </w:r>
            <w:r>
              <w:rPr>
                <w:rFonts w:hint="eastAsia"/>
              </w:rPr>
              <w:t>现状</w:t>
            </w:r>
            <w:r>
              <w:t>为Ⅲ类，能够满足《地表水环境质量标准》（GB3838-2002）中Ⅲ类标准要求</w:t>
            </w:r>
            <w:r>
              <w:rPr>
                <w:rFonts w:hint="eastAsia"/>
              </w:rPr>
              <w:t>。</w:t>
            </w:r>
          </w:p>
          <w:p w14:paraId="063F6884">
            <w:pPr>
              <w:pStyle w:val="101"/>
              <w:snapToGrid w:val="0"/>
            </w:pPr>
            <w:r>
              <w:t>本项目运营过程中会产生一定的污染物，如废气、废水、噪声、固废等，采取相应的污染防治措施后，各类污染物能够做到达标排放或不外排。项目建成后不突破环境质量底线，符合环境质量底线要求。</w:t>
            </w:r>
          </w:p>
          <w:p w14:paraId="4642323E">
            <w:pPr>
              <w:pStyle w:val="101"/>
              <w:snapToGrid w:val="0"/>
              <w:ind w:firstLine="482"/>
              <w:rPr>
                <w:b/>
                <w:kern w:val="0"/>
                <w:szCs w:val="24"/>
              </w:rPr>
            </w:pPr>
            <w:r>
              <w:rPr>
                <w:b/>
                <w:kern w:val="0"/>
                <w:szCs w:val="24"/>
              </w:rPr>
              <w:t>（3）与资源利用上线的符合性分析</w:t>
            </w:r>
          </w:p>
          <w:p w14:paraId="26F94792">
            <w:pPr>
              <w:pStyle w:val="101"/>
            </w:pPr>
            <w:r>
              <w:t>本项目为</w:t>
            </w:r>
            <w:r>
              <w:rPr>
                <w:rFonts w:hint="eastAsia"/>
              </w:rPr>
              <w:t>金属压力容器制造项目</w:t>
            </w:r>
            <w:r>
              <w:t>，项目生产上需要使用电</w:t>
            </w:r>
            <w:r>
              <w:rPr>
                <w:rFonts w:hint="eastAsia"/>
              </w:rPr>
              <w:t>、</w:t>
            </w:r>
            <w:r>
              <w:t>水等资源</w:t>
            </w:r>
            <w:r>
              <w:rPr>
                <w:rFonts w:hint="eastAsia"/>
              </w:rPr>
              <w:t>。</w:t>
            </w:r>
            <w:r>
              <w:t>新鲜水</w:t>
            </w:r>
            <w:r>
              <w:rPr>
                <w:rFonts w:hint="eastAsia"/>
              </w:rPr>
              <w:t>源自</w:t>
            </w:r>
            <w:r>
              <w:t>当地自来水管网</w:t>
            </w:r>
            <w:r>
              <w:rPr>
                <w:rFonts w:hint="eastAsia"/>
              </w:rPr>
              <w:t>，</w:t>
            </w:r>
            <w:r>
              <w:t>不开采地下水</w:t>
            </w:r>
            <w:r>
              <w:rPr>
                <w:rFonts w:hint="eastAsia"/>
              </w:rPr>
              <w:t>；</w:t>
            </w:r>
            <w:r>
              <w:t>本项目建设不会触及当地资源分配的上线，项目建设在资源利用上合理</w:t>
            </w:r>
            <w:r>
              <w:rPr>
                <w:rFonts w:hint="eastAsia"/>
              </w:rPr>
              <w:t>。</w:t>
            </w:r>
          </w:p>
          <w:p w14:paraId="3BA4B052">
            <w:pPr>
              <w:spacing w:line="360" w:lineRule="auto"/>
              <w:ind w:firstLine="482" w:firstLineChars="200"/>
              <w:rPr>
                <w:sz w:val="24"/>
              </w:rPr>
            </w:pPr>
            <w:r>
              <w:rPr>
                <w:b/>
                <w:sz w:val="24"/>
              </w:rPr>
              <w:t>（4）环境准入清单</w:t>
            </w:r>
          </w:p>
          <w:p w14:paraId="62E25F60">
            <w:pPr>
              <w:spacing w:line="360" w:lineRule="auto"/>
              <w:ind w:firstLine="480" w:firstLineChars="200"/>
              <w:rPr>
                <w:sz w:val="24"/>
              </w:rPr>
            </w:pPr>
            <w:r>
              <w:rPr>
                <w:sz w:val="24"/>
              </w:rPr>
              <w:t>本项目与</w:t>
            </w:r>
            <w:r>
              <w:rPr>
                <w:rFonts w:hint="eastAsia"/>
                <w:sz w:val="24"/>
              </w:rPr>
              <w:t>《济宁市人民政府关于印发&lt;济宁市“三线一单”生态环境分区管控方案&gt;的通知》（文号：</w:t>
            </w:r>
            <w:r>
              <w:rPr>
                <w:rFonts w:hint="eastAsia"/>
                <w:bCs/>
                <w:sz w:val="24"/>
              </w:rPr>
              <w:t>济</w:t>
            </w:r>
            <w:r>
              <w:rPr>
                <w:bCs/>
                <w:sz w:val="24"/>
              </w:rPr>
              <w:t>政字[2021]</w:t>
            </w:r>
            <w:r>
              <w:rPr>
                <w:rFonts w:hint="eastAsia"/>
                <w:bCs/>
                <w:sz w:val="24"/>
              </w:rPr>
              <w:t>27</w:t>
            </w:r>
            <w:r>
              <w:rPr>
                <w:bCs/>
                <w:sz w:val="24"/>
              </w:rPr>
              <w:t>号</w:t>
            </w:r>
            <w:r>
              <w:rPr>
                <w:rFonts w:hint="eastAsia"/>
                <w:bCs/>
                <w:sz w:val="24"/>
              </w:rPr>
              <w:t>）</w:t>
            </w:r>
            <w:r>
              <w:rPr>
                <w:bCs/>
                <w:sz w:val="24"/>
              </w:rPr>
              <w:t>，对照《济宁市</w:t>
            </w:r>
            <w:r>
              <w:rPr>
                <w:rFonts w:hint="eastAsia"/>
                <w:bCs/>
                <w:sz w:val="24"/>
              </w:rPr>
              <w:t>生态环境委员会办公室</w:t>
            </w:r>
            <w:r>
              <w:rPr>
                <w:bCs/>
                <w:sz w:val="24"/>
              </w:rPr>
              <w:t>&lt;关于</w:t>
            </w:r>
            <w:r>
              <w:rPr>
                <w:rFonts w:hint="eastAsia"/>
                <w:bCs/>
                <w:sz w:val="24"/>
              </w:rPr>
              <w:t>发布2</w:t>
            </w:r>
            <w:r>
              <w:rPr>
                <w:bCs/>
                <w:sz w:val="24"/>
              </w:rPr>
              <w:t>023</w:t>
            </w:r>
            <w:r>
              <w:rPr>
                <w:rFonts w:hint="eastAsia"/>
                <w:bCs/>
                <w:sz w:val="24"/>
              </w:rPr>
              <w:t>年生态环境分区管控动态更新成果</w:t>
            </w:r>
            <w:r>
              <w:rPr>
                <w:bCs/>
                <w:sz w:val="24"/>
              </w:rPr>
              <w:t>&gt;的通知》（济</w:t>
            </w:r>
            <w:r>
              <w:rPr>
                <w:rFonts w:hint="eastAsia"/>
                <w:bCs/>
                <w:sz w:val="24"/>
              </w:rPr>
              <w:t>环委办</w:t>
            </w:r>
            <w:r>
              <w:rPr>
                <w:bCs/>
                <w:sz w:val="24"/>
              </w:rPr>
              <w:t>[2024]5号）</w:t>
            </w:r>
            <w:r>
              <w:rPr>
                <w:sz w:val="24"/>
              </w:rPr>
              <w:t>的相关分析见表3。</w:t>
            </w:r>
          </w:p>
          <w:p w14:paraId="3A3F04EB">
            <w:pPr>
              <w:spacing w:line="360" w:lineRule="auto"/>
              <w:jc w:val="center"/>
              <w:rPr>
                <w:b/>
                <w:sz w:val="24"/>
              </w:rPr>
            </w:pPr>
            <w:r>
              <w:rPr>
                <w:b/>
                <w:sz w:val="24"/>
              </w:rPr>
              <w:t>表3 项目与</w:t>
            </w:r>
            <w:r>
              <w:rPr>
                <w:b/>
                <w:bCs/>
                <w:sz w:val="24"/>
              </w:rPr>
              <w:t>济</w:t>
            </w:r>
            <w:r>
              <w:rPr>
                <w:rFonts w:hint="eastAsia"/>
                <w:b/>
                <w:bCs/>
                <w:sz w:val="24"/>
              </w:rPr>
              <w:t>环委办</w:t>
            </w:r>
            <w:r>
              <w:rPr>
                <w:b/>
                <w:bCs/>
                <w:sz w:val="24"/>
              </w:rPr>
              <w:t>[2024]5号</w:t>
            </w:r>
            <w:r>
              <w:rPr>
                <w:b/>
                <w:sz w:val="24"/>
              </w:rPr>
              <w:t>符合情况分析表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4174"/>
              <w:gridCol w:w="2277"/>
              <w:gridCol w:w="778"/>
            </w:tblGrid>
            <w:tr w14:paraId="501C1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 w:type="pct"/>
                  <w:vAlign w:val="center"/>
                </w:tcPr>
                <w:p w14:paraId="0AEA270D">
                  <w:pPr>
                    <w:contextualSpacing/>
                    <w:jc w:val="center"/>
                    <w:rPr>
                      <w:szCs w:val="21"/>
                    </w:rPr>
                  </w:pPr>
                  <w:r>
                    <w:rPr>
                      <w:szCs w:val="21"/>
                    </w:rPr>
                    <w:t>一</w:t>
                  </w:r>
                </w:p>
              </w:tc>
              <w:tc>
                <w:tcPr>
                  <w:tcW w:w="2533" w:type="pct"/>
                  <w:vAlign w:val="center"/>
                </w:tcPr>
                <w:p w14:paraId="600B7A9E">
                  <w:pPr>
                    <w:contextualSpacing/>
                    <w:jc w:val="center"/>
                    <w:rPr>
                      <w:szCs w:val="21"/>
                    </w:rPr>
                  </w:pPr>
                  <w:r>
                    <w:rPr>
                      <w:szCs w:val="21"/>
                    </w:rPr>
                    <w:t>文件要求</w:t>
                  </w:r>
                </w:p>
              </w:tc>
              <w:tc>
                <w:tcPr>
                  <w:tcW w:w="1382" w:type="pct"/>
                  <w:vAlign w:val="center"/>
                </w:tcPr>
                <w:p w14:paraId="460C207C">
                  <w:pPr>
                    <w:contextualSpacing/>
                    <w:jc w:val="center"/>
                    <w:rPr>
                      <w:szCs w:val="21"/>
                    </w:rPr>
                  </w:pPr>
                  <w:r>
                    <w:rPr>
                      <w:szCs w:val="21"/>
                    </w:rPr>
                    <w:t>项目情况</w:t>
                  </w:r>
                </w:p>
              </w:tc>
              <w:tc>
                <w:tcPr>
                  <w:tcW w:w="472" w:type="pct"/>
                  <w:vAlign w:val="center"/>
                </w:tcPr>
                <w:p w14:paraId="5BAF96E6">
                  <w:pPr>
                    <w:contextualSpacing/>
                    <w:jc w:val="center"/>
                    <w:rPr>
                      <w:szCs w:val="21"/>
                    </w:rPr>
                  </w:pPr>
                  <w:r>
                    <w:rPr>
                      <w:szCs w:val="21"/>
                    </w:rPr>
                    <w:t>符合性</w:t>
                  </w:r>
                </w:p>
              </w:tc>
            </w:tr>
            <w:tr w14:paraId="41CF6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613" w:type="pct"/>
                  <w:vMerge w:val="restart"/>
                  <w:vAlign w:val="center"/>
                </w:tcPr>
                <w:p w14:paraId="59148826">
                  <w:pPr>
                    <w:contextualSpacing/>
                    <w:jc w:val="center"/>
                    <w:rPr>
                      <w:szCs w:val="21"/>
                    </w:rPr>
                  </w:pPr>
                  <w:r>
                    <w:rPr>
                      <w:szCs w:val="21"/>
                    </w:rPr>
                    <w:t>空间布局约束</w:t>
                  </w:r>
                </w:p>
              </w:tc>
              <w:tc>
                <w:tcPr>
                  <w:tcW w:w="2533" w:type="pct"/>
                  <w:vAlign w:val="center"/>
                </w:tcPr>
                <w:p w14:paraId="3FBF2BF4">
                  <w:pPr>
                    <w:contextualSpacing/>
                    <w:jc w:val="left"/>
                    <w:rPr>
                      <w:szCs w:val="21"/>
                    </w:rPr>
                  </w:pPr>
                  <w:r>
                    <w:rPr>
                      <w:szCs w:val="21"/>
                    </w:rPr>
                    <w:t>1.1</w:t>
                  </w:r>
                  <w:r>
                    <w:rPr>
                      <w:rFonts w:hint="eastAsia"/>
                      <w:szCs w:val="21"/>
                    </w:rPr>
                    <w:t>严把建设项目环境准入关。新建、改建、扩建“两高”项目须符合生态环境保护法律法规和相关法定规划，满足重点污染物排放总量控制、碳排放达峰目标、生态环境准入清单、相关规划环评和相应行业建设项目环境准入条件、环评文件审批原则要求，在地下水污染防治管控类区域内的建设项目还应满足《济宁市地下水污染防治重点区划定方案（试行）》（济环委办〔</w:t>
                  </w:r>
                  <w:r>
                    <w:rPr>
                      <w:szCs w:val="21"/>
                    </w:rPr>
                    <w:t>2022</w:t>
                  </w:r>
                  <w:r>
                    <w:rPr>
                      <w:rFonts w:hint="eastAsia"/>
                      <w:szCs w:val="21"/>
                    </w:rPr>
                    <w:t>〕</w:t>
                  </w:r>
                  <w:r>
                    <w:rPr>
                      <w:szCs w:val="21"/>
                    </w:rPr>
                    <w:t xml:space="preserve">27 </w:t>
                  </w:r>
                  <w:r>
                    <w:rPr>
                      <w:rFonts w:hint="eastAsia"/>
                      <w:szCs w:val="21"/>
                    </w:rPr>
                    <w:t>号）规定的管控类区域管理要求。</w:t>
                  </w:r>
                </w:p>
              </w:tc>
              <w:tc>
                <w:tcPr>
                  <w:tcW w:w="1382" w:type="pct"/>
                  <w:vAlign w:val="center"/>
                </w:tcPr>
                <w:p w14:paraId="44BE32A4">
                  <w:pPr>
                    <w:pStyle w:val="24"/>
                    <w:spacing w:after="0"/>
                    <w:ind w:left="0" w:leftChars="0" w:firstLine="0" w:firstLineChars="0"/>
                    <w:contextualSpacing/>
                    <w:rPr>
                      <w:szCs w:val="21"/>
                    </w:rPr>
                  </w:pPr>
                  <w:r>
                    <w:rPr>
                      <w:rFonts w:hint="eastAsia"/>
                      <w:szCs w:val="21"/>
                    </w:rPr>
                    <w:t>本项目</w:t>
                  </w:r>
                  <w:r>
                    <w:rPr>
                      <w:szCs w:val="21"/>
                    </w:rPr>
                    <w:t>为</w:t>
                  </w:r>
                  <w:r>
                    <w:rPr>
                      <w:rFonts w:hint="eastAsia"/>
                      <w:szCs w:val="21"/>
                    </w:rPr>
                    <w:t>金属压力容器制造</w:t>
                  </w:r>
                  <w:r>
                    <w:rPr>
                      <w:szCs w:val="21"/>
                    </w:rPr>
                    <w:t>，不属于“两高”项目</w:t>
                  </w:r>
                </w:p>
              </w:tc>
              <w:tc>
                <w:tcPr>
                  <w:tcW w:w="472" w:type="pct"/>
                  <w:vAlign w:val="center"/>
                </w:tcPr>
                <w:p w14:paraId="6DC4DC77">
                  <w:pPr>
                    <w:contextualSpacing/>
                    <w:jc w:val="center"/>
                    <w:rPr>
                      <w:szCs w:val="21"/>
                    </w:rPr>
                  </w:pPr>
                  <w:r>
                    <w:rPr>
                      <w:szCs w:val="21"/>
                    </w:rPr>
                    <w:t>符合</w:t>
                  </w:r>
                </w:p>
              </w:tc>
            </w:tr>
            <w:tr w14:paraId="44F50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00" w:hRule="atLeast"/>
                <w:jc w:val="center"/>
              </w:trPr>
              <w:tc>
                <w:tcPr>
                  <w:tcW w:w="613" w:type="pct"/>
                  <w:vMerge w:val="continue"/>
                  <w:vAlign w:val="center"/>
                </w:tcPr>
                <w:p w14:paraId="0A11676B">
                  <w:pPr>
                    <w:contextualSpacing/>
                    <w:jc w:val="center"/>
                    <w:rPr>
                      <w:szCs w:val="21"/>
                    </w:rPr>
                  </w:pPr>
                </w:p>
              </w:tc>
              <w:tc>
                <w:tcPr>
                  <w:tcW w:w="2533" w:type="pct"/>
                  <w:vAlign w:val="center"/>
                </w:tcPr>
                <w:p w14:paraId="6C5B7348">
                  <w:pPr>
                    <w:contextualSpacing/>
                    <w:jc w:val="left"/>
                    <w:rPr>
                      <w:szCs w:val="21"/>
                    </w:rPr>
                  </w:pPr>
                  <w:r>
                    <w:rPr>
                      <w:szCs w:val="21"/>
                    </w:rPr>
                    <w:t>1.2</w:t>
                  </w:r>
                  <w:r>
                    <w:rPr>
                      <w:rFonts w:hint="eastAsia"/>
                      <w:szCs w:val="21"/>
                    </w:rPr>
                    <w:t>严格执行相关行业企业布局选址要求，禁止在居民区、学校、医疗和养老机构等周边新建有色金属冶炼、焦化等行业企业，有序搬迁或依法关闭对土壤造成严重污染的现有企业。</w:t>
                  </w:r>
                </w:p>
              </w:tc>
              <w:tc>
                <w:tcPr>
                  <w:tcW w:w="1382" w:type="pct"/>
                  <w:vAlign w:val="center"/>
                </w:tcPr>
                <w:p w14:paraId="7E7B7AD3">
                  <w:pPr>
                    <w:pStyle w:val="24"/>
                    <w:spacing w:after="0"/>
                    <w:ind w:left="0" w:leftChars="0" w:firstLine="0" w:firstLineChars="0"/>
                    <w:contextualSpacing/>
                    <w:rPr>
                      <w:szCs w:val="21"/>
                    </w:rPr>
                  </w:pPr>
                  <w:r>
                    <w:rPr>
                      <w:rFonts w:hint="eastAsia"/>
                      <w:szCs w:val="21"/>
                    </w:rPr>
                    <w:t>本</w:t>
                  </w:r>
                  <w:r>
                    <w:rPr>
                      <w:szCs w:val="21"/>
                    </w:rPr>
                    <w:t>项目</w:t>
                  </w:r>
                  <w:r>
                    <w:rPr>
                      <w:rFonts w:hint="eastAsia"/>
                      <w:szCs w:val="21"/>
                    </w:rPr>
                    <w:t>不属于</w:t>
                  </w:r>
                  <w:r>
                    <w:rPr>
                      <w:szCs w:val="21"/>
                    </w:rPr>
                    <w:t>有色金属冶炼、焦化等行业</w:t>
                  </w:r>
                </w:p>
              </w:tc>
              <w:tc>
                <w:tcPr>
                  <w:tcW w:w="472" w:type="pct"/>
                  <w:vAlign w:val="center"/>
                </w:tcPr>
                <w:p w14:paraId="7D03234D">
                  <w:pPr>
                    <w:contextualSpacing/>
                    <w:jc w:val="center"/>
                    <w:rPr>
                      <w:szCs w:val="21"/>
                    </w:rPr>
                  </w:pPr>
                  <w:r>
                    <w:rPr>
                      <w:szCs w:val="21"/>
                    </w:rPr>
                    <w:t>符合</w:t>
                  </w:r>
                </w:p>
              </w:tc>
            </w:tr>
            <w:tr w14:paraId="45E54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4" w:hRule="atLeast"/>
                <w:jc w:val="center"/>
              </w:trPr>
              <w:tc>
                <w:tcPr>
                  <w:tcW w:w="613" w:type="pct"/>
                  <w:vMerge w:val="continue"/>
                  <w:vAlign w:val="center"/>
                </w:tcPr>
                <w:p w14:paraId="353006DB">
                  <w:pPr>
                    <w:contextualSpacing/>
                    <w:jc w:val="center"/>
                    <w:rPr>
                      <w:szCs w:val="21"/>
                    </w:rPr>
                  </w:pPr>
                </w:p>
              </w:tc>
              <w:tc>
                <w:tcPr>
                  <w:tcW w:w="2533" w:type="pct"/>
                  <w:vAlign w:val="center"/>
                </w:tcPr>
                <w:p w14:paraId="33BF35FF">
                  <w:pPr>
                    <w:contextualSpacing/>
                    <w:jc w:val="left"/>
                    <w:rPr>
                      <w:szCs w:val="21"/>
                    </w:rPr>
                  </w:pPr>
                  <w:r>
                    <w:rPr>
                      <w:szCs w:val="21"/>
                    </w:rPr>
                    <w:t>1.4</w:t>
                  </w:r>
                  <w:r>
                    <w:rPr>
                      <w:rFonts w:hint="eastAsia"/>
                      <w:szCs w:val="21"/>
                    </w:rPr>
                    <w:t>环境风险较大的企业或新建项目，必须迁入或纳入依法设立、环保基础设施完善并经规划环境影响评价的产业园区。</w:t>
                  </w:r>
                </w:p>
              </w:tc>
              <w:tc>
                <w:tcPr>
                  <w:tcW w:w="1382" w:type="pct"/>
                  <w:vAlign w:val="center"/>
                </w:tcPr>
                <w:p w14:paraId="039DFB73">
                  <w:pPr>
                    <w:pStyle w:val="24"/>
                    <w:spacing w:after="0"/>
                    <w:ind w:left="0" w:leftChars="0" w:firstLine="0" w:firstLineChars="0"/>
                    <w:contextualSpacing/>
                    <w:rPr>
                      <w:szCs w:val="21"/>
                    </w:rPr>
                  </w:pPr>
                  <w:r>
                    <w:rPr>
                      <w:rFonts w:hint="eastAsia"/>
                      <w:szCs w:val="21"/>
                    </w:rPr>
                    <w:t>本</w:t>
                  </w:r>
                  <w:r>
                    <w:rPr>
                      <w:szCs w:val="21"/>
                    </w:rPr>
                    <w:t>项目环境风险较小，位于梁山经济开发区，为合规园区</w:t>
                  </w:r>
                </w:p>
              </w:tc>
              <w:tc>
                <w:tcPr>
                  <w:tcW w:w="472" w:type="pct"/>
                  <w:vAlign w:val="center"/>
                </w:tcPr>
                <w:p w14:paraId="0C5BC772">
                  <w:pPr>
                    <w:contextualSpacing/>
                    <w:jc w:val="center"/>
                    <w:rPr>
                      <w:szCs w:val="21"/>
                    </w:rPr>
                  </w:pPr>
                  <w:r>
                    <w:rPr>
                      <w:szCs w:val="21"/>
                    </w:rPr>
                    <w:t>符合</w:t>
                  </w:r>
                </w:p>
              </w:tc>
            </w:tr>
            <w:tr w14:paraId="4D0F5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7" w:hRule="atLeast"/>
                <w:jc w:val="center"/>
              </w:trPr>
              <w:tc>
                <w:tcPr>
                  <w:tcW w:w="613" w:type="pct"/>
                  <w:vMerge w:val="continue"/>
                  <w:vAlign w:val="center"/>
                </w:tcPr>
                <w:p w14:paraId="69A5DF1E">
                  <w:pPr>
                    <w:contextualSpacing/>
                    <w:jc w:val="center"/>
                    <w:rPr>
                      <w:szCs w:val="21"/>
                    </w:rPr>
                  </w:pPr>
                </w:p>
              </w:tc>
              <w:tc>
                <w:tcPr>
                  <w:tcW w:w="2533" w:type="pct"/>
                  <w:vAlign w:val="center"/>
                </w:tcPr>
                <w:p w14:paraId="548B4556">
                  <w:pPr>
                    <w:contextualSpacing/>
                    <w:jc w:val="left"/>
                    <w:rPr>
                      <w:szCs w:val="21"/>
                    </w:rPr>
                  </w:pPr>
                  <w:r>
                    <w:rPr>
                      <w:szCs w:val="21"/>
                    </w:rPr>
                    <w:t>1.5</w:t>
                  </w:r>
                  <w:r>
                    <w:rPr>
                      <w:rFonts w:hint="eastAsia"/>
                      <w:szCs w:val="21"/>
                    </w:rPr>
                    <w:t>新建工业项目禁止配套建设自备燃煤热电联产项目，严格执行自备电厂火电行业能效、环保标准，逐步推进自备电厂与公用电厂同等管理。新建农林生物质发电项目必须为热电联产项目，严禁掺烧煤炭等化石能源。</w:t>
                  </w:r>
                </w:p>
                <w:p w14:paraId="72325AC3">
                  <w:pPr>
                    <w:contextualSpacing/>
                    <w:jc w:val="left"/>
                    <w:rPr>
                      <w:szCs w:val="21"/>
                    </w:rPr>
                  </w:pPr>
                  <w:r>
                    <w:rPr>
                      <w:szCs w:val="21"/>
                    </w:rPr>
                    <w:t>1.6</w:t>
                  </w:r>
                  <w:r>
                    <w:rPr>
                      <w:rFonts w:hint="eastAsia"/>
                      <w:szCs w:val="21"/>
                    </w:rPr>
                    <w:t>严格实施煤炭消费总量控制，所有新、改、扩建耗煤项目均实行煤炭减量替代，严格落实替代源及替代比例。严格按照国家、省要求做好化解煤炭过剩产能工作，严控煤矿新增产能，确需新建煤矿或新增产能的，一律实行产能置换。</w:t>
                  </w:r>
                </w:p>
              </w:tc>
              <w:tc>
                <w:tcPr>
                  <w:tcW w:w="1382" w:type="pct"/>
                  <w:vAlign w:val="center"/>
                </w:tcPr>
                <w:p w14:paraId="5B59EC81">
                  <w:pPr>
                    <w:pStyle w:val="24"/>
                    <w:spacing w:after="0"/>
                    <w:ind w:left="0" w:leftChars="0" w:firstLine="0" w:firstLineChars="0"/>
                    <w:contextualSpacing/>
                    <w:rPr>
                      <w:szCs w:val="21"/>
                    </w:rPr>
                  </w:pPr>
                  <w:r>
                    <w:rPr>
                      <w:rFonts w:hint="eastAsia"/>
                      <w:szCs w:val="21"/>
                    </w:rPr>
                    <w:t>本</w:t>
                  </w:r>
                  <w:r>
                    <w:rPr>
                      <w:szCs w:val="21"/>
                    </w:rPr>
                    <w:t>项目</w:t>
                  </w:r>
                  <w:r>
                    <w:rPr>
                      <w:rFonts w:hint="eastAsia"/>
                      <w:szCs w:val="21"/>
                    </w:rPr>
                    <w:t>固化工艺使用电加热，</w:t>
                  </w:r>
                  <w:r>
                    <w:rPr>
                      <w:szCs w:val="21"/>
                    </w:rPr>
                    <w:t>不涉及煤炭的使用</w:t>
                  </w:r>
                </w:p>
              </w:tc>
              <w:tc>
                <w:tcPr>
                  <w:tcW w:w="472" w:type="pct"/>
                  <w:vAlign w:val="center"/>
                </w:tcPr>
                <w:p w14:paraId="324FFBE6">
                  <w:pPr>
                    <w:contextualSpacing/>
                    <w:jc w:val="center"/>
                    <w:rPr>
                      <w:szCs w:val="21"/>
                    </w:rPr>
                  </w:pPr>
                  <w:r>
                    <w:rPr>
                      <w:szCs w:val="21"/>
                    </w:rPr>
                    <w:t>符合</w:t>
                  </w:r>
                </w:p>
              </w:tc>
            </w:tr>
            <w:tr w14:paraId="73D7F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1" w:hRule="atLeast"/>
                <w:jc w:val="center"/>
              </w:trPr>
              <w:tc>
                <w:tcPr>
                  <w:tcW w:w="613" w:type="pct"/>
                  <w:vMerge w:val="continue"/>
                  <w:vAlign w:val="center"/>
                </w:tcPr>
                <w:p w14:paraId="08845746">
                  <w:pPr>
                    <w:contextualSpacing/>
                    <w:jc w:val="center"/>
                    <w:rPr>
                      <w:szCs w:val="21"/>
                    </w:rPr>
                  </w:pPr>
                </w:p>
              </w:tc>
              <w:tc>
                <w:tcPr>
                  <w:tcW w:w="2533" w:type="pct"/>
                  <w:vAlign w:val="center"/>
                </w:tcPr>
                <w:p w14:paraId="0B8723F0">
                  <w:pPr>
                    <w:contextualSpacing/>
                    <w:jc w:val="left"/>
                    <w:rPr>
                      <w:szCs w:val="21"/>
                    </w:rPr>
                  </w:pPr>
                  <w:r>
                    <w:rPr>
                      <w:szCs w:val="21"/>
                    </w:rPr>
                    <w:t>1.7</w:t>
                  </w:r>
                  <w:r>
                    <w:rPr>
                      <w:rFonts w:hint="eastAsia"/>
                      <w:szCs w:val="21"/>
                    </w:rPr>
                    <w:t>在饮用水水源保护区内，禁止设置排污口。一级保护区内全面取缔建设项目、各类排污口、畜禽养殖、网箱养殖和旅游设施等污染源以及和供水设施和保护水源无关的构（建）筑物，逐步退出农业种植和经济林等活动，并视情况进行生态修复，禁止新建、改建、扩建与供水设施和保护水源无关的建设项目，禁止从事网箱养殖、旅游、游泳、垂钓或者其他可能污染饮用水水体的活动。二级保护区内全面取缔排污单位、工业和生活排污口、规模化畜禽养殖场等污染点源，强化非点源污染控制和流动源管理措施，完善应急处置设施，禁止新建、改建、扩建排放污染物的建设项目。禁止在饮用水水源准保护区内新建、扩建对水体污染严重的建设项目；改建建设项目，不得增加排污量。准保护区、补给区管理要求按照国家法律法规及《济宁市地下水污染防治重点区划定方案（试行）》（济环委办〔</w:t>
                  </w:r>
                  <w:r>
                    <w:rPr>
                      <w:szCs w:val="21"/>
                    </w:rPr>
                    <w:t>2022</w:t>
                  </w:r>
                  <w:r>
                    <w:rPr>
                      <w:rFonts w:hint="eastAsia"/>
                      <w:szCs w:val="21"/>
                    </w:rPr>
                    <w:t>〕</w:t>
                  </w:r>
                  <w:r>
                    <w:rPr>
                      <w:szCs w:val="21"/>
                    </w:rPr>
                    <w:t xml:space="preserve">27 </w:t>
                  </w:r>
                  <w:r>
                    <w:rPr>
                      <w:rFonts w:hint="eastAsia"/>
                      <w:szCs w:val="21"/>
                    </w:rPr>
                    <w:t>号）中保护类区域管理要求执行。</w:t>
                  </w:r>
                </w:p>
              </w:tc>
              <w:tc>
                <w:tcPr>
                  <w:tcW w:w="1382" w:type="pct"/>
                  <w:vAlign w:val="center"/>
                </w:tcPr>
                <w:p w14:paraId="252E8306">
                  <w:pPr>
                    <w:pStyle w:val="24"/>
                    <w:spacing w:after="0"/>
                    <w:ind w:left="0" w:leftChars="0" w:firstLine="0" w:firstLineChars="0"/>
                    <w:contextualSpacing/>
                    <w:rPr>
                      <w:szCs w:val="21"/>
                    </w:rPr>
                  </w:pPr>
                  <w:r>
                    <w:rPr>
                      <w:rFonts w:hint="eastAsia"/>
                      <w:szCs w:val="21"/>
                    </w:rPr>
                    <w:t>本</w:t>
                  </w:r>
                  <w:r>
                    <w:rPr>
                      <w:szCs w:val="21"/>
                    </w:rPr>
                    <w:t>项目</w:t>
                  </w:r>
                  <w:r>
                    <w:rPr>
                      <w:rFonts w:hint="eastAsia"/>
                      <w:szCs w:val="21"/>
                    </w:rPr>
                    <w:t>不在饮用水水源保护区、饮用水水源准保护区内</w:t>
                  </w:r>
                </w:p>
              </w:tc>
              <w:tc>
                <w:tcPr>
                  <w:tcW w:w="472" w:type="pct"/>
                  <w:vAlign w:val="center"/>
                </w:tcPr>
                <w:p w14:paraId="5D2ECE86">
                  <w:pPr>
                    <w:contextualSpacing/>
                    <w:jc w:val="center"/>
                    <w:rPr>
                      <w:szCs w:val="21"/>
                    </w:rPr>
                  </w:pPr>
                  <w:r>
                    <w:rPr>
                      <w:szCs w:val="21"/>
                    </w:rPr>
                    <w:t>符合</w:t>
                  </w:r>
                </w:p>
              </w:tc>
            </w:tr>
            <w:tr w14:paraId="20324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2" w:hRule="atLeast"/>
                <w:jc w:val="center"/>
              </w:trPr>
              <w:tc>
                <w:tcPr>
                  <w:tcW w:w="613" w:type="pct"/>
                  <w:vMerge w:val="continue"/>
                  <w:vAlign w:val="center"/>
                </w:tcPr>
                <w:p w14:paraId="71F3E344">
                  <w:pPr>
                    <w:contextualSpacing/>
                    <w:jc w:val="center"/>
                    <w:rPr>
                      <w:szCs w:val="21"/>
                    </w:rPr>
                  </w:pPr>
                </w:p>
              </w:tc>
              <w:tc>
                <w:tcPr>
                  <w:tcW w:w="2533" w:type="pct"/>
                  <w:vAlign w:val="center"/>
                </w:tcPr>
                <w:p w14:paraId="5B2BC47F">
                  <w:pPr>
                    <w:contextualSpacing/>
                    <w:jc w:val="left"/>
                    <w:rPr>
                      <w:szCs w:val="21"/>
                    </w:rPr>
                  </w:pPr>
                  <w:r>
                    <w:rPr>
                      <w:szCs w:val="21"/>
                    </w:rPr>
                    <w:t>1.8</w:t>
                  </w:r>
                  <w:r>
                    <w:rPr>
                      <w:rFonts w:hint="eastAsia"/>
                      <w:szCs w:val="21"/>
                    </w:rPr>
                    <w:t>加快城市建成区及重点流域内重污染企业和危险化学品企业搬迁改造或关闭退出。</w:t>
                  </w:r>
                </w:p>
              </w:tc>
              <w:tc>
                <w:tcPr>
                  <w:tcW w:w="1382" w:type="pct"/>
                  <w:vAlign w:val="center"/>
                </w:tcPr>
                <w:p w14:paraId="4B4192CF">
                  <w:pPr>
                    <w:pStyle w:val="24"/>
                    <w:spacing w:after="0"/>
                    <w:ind w:left="0" w:leftChars="0" w:firstLine="0" w:firstLineChars="0"/>
                    <w:contextualSpacing/>
                    <w:rPr>
                      <w:szCs w:val="21"/>
                    </w:rPr>
                  </w:pPr>
                  <w:r>
                    <w:rPr>
                      <w:rFonts w:hint="eastAsia"/>
                      <w:szCs w:val="21"/>
                    </w:rPr>
                    <w:t>本</w:t>
                  </w:r>
                  <w:r>
                    <w:rPr>
                      <w:szCs w:val="21"/>
                    </w:rPr>
                    <w:t>项目</w:t>
                  </w:r>
                  <w:r>
                    <w:rPr>
                      <w:rFonts w:hint="eastAsia"/>
                      <w:szCs w:val="21"/>
                    </w:rPr>
                    <w:t>不属于重污染企业，不属于危险化学品企业</w:t>
                  </w:r>
                </w:p>
              </w:tc>
              <w:tc>
                <w:tcPr>
                  <w:tcW w:w="472" w:type="pct"/>
                  <w:vAlign w:val="center"/>
                </w:tcPr>
                <w:p w14:paraId="1DCF095D">
                  <w:pPr>
                    <w:contextualSpacing/>
                    <w:jc w:val="center"/>
                    <w:rPr>
                      <w:szCs w:val="21"/>
                    </w:rPr>
                  </w:pPr>
                  <w:r>
                    <w:rPr>
                      <w:szCs w:val="21"/>
                    </w:rPr>
                    <w:t>符合</w:t>
                  </w:r>
                </w:p>
              </w:tc>
            </w:tr>
            <w:tr w14:paraId="76845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11" w:hRule="atLeast"/>
                <w:jc w:val="center"/>
              </w:trPr>
              <w:tc>
                <w:tcPr>
                  <w:tcW w:w="613" w:type="pct"/>
                  <w:vMerge w:val="continue"/>
                  <w:vAlign w:val="center"/>
                </w:tcPr>
                <w:p w14:paraId="7C4C4489">
                  <w:pPr>
                    <w:contextualSpacing/>
                    <w:jc w:val="center"/>
                    <w:rPr>
                      <w:szCs w:val="21"/>
                    </w:rPr>
                  </w:pPr>
                </w:p>
              </w:tc>
              <w:tc>
                <w:tcPr>
                  <w:tcW w:w="2533" w:type="pct"/>
                  <w:vAlign w:val="center"/>
                </w:tcPr>
                <w:p w14:paraId="22CB16E0">
                  <w:pPr>
                    <w:contextualSpacing/>
                    <w:jc w:val="left"/>
                    <w:rPr>
                      <w:szCs w:val="21"/>
                    </w:rPr>
                  </w:pPr>
                  <w:r>
                    <w:rPr>
                      <w:szCs w:val="21"/>
                    </w:rPr>
                    <w:t>1.12</w:t>
                  </w:r>
                  <w:r>
                    <w:rPr>
                      <w:rFonts w:hint="eastAsia"/>
                      <w:szCs w:val="21"/>
                    </w:rPr>
                    <w:t>严格用地审批，经评估认定对人体健康有严重影响的污染地块，应当明确修复责任主体并编制治理修复方案，采取措施防止污染扩散，治理达标前不得转为城乡住宅、公共设施用地和农用地等其他建设用地和农用地。</w:t>
                  </w:r>
                </w:p>
              </w:tc>
              <w:tc>
                <w:tcPr>
                  <w:tcW w:w="1382" w:type="pct"/>
                  <w:vAlign w:val="center"/>
                </w:tcPr>
                <w:p w14:paraId="084C632E">
                  <w:pPr>
                    <w:pStyle w:val="24"/>
                    <w:spacing w:after="0"/>
                    <w:ind w:left="0" w:leftChars="0" w:firstLine="0" w:firstLineChars="0"/>
                    <w:contextualSpacing/>
                    <w:rPr>
                      <w:szCs w:val="21"/>
                    </w:rPr>
                  </w:pPr>
                  <w:r>
                    <w:rPr>
                      <w:rFonts w:hint="eastAsia"/>
                      <w:szCs w:val="21"/>
                    </w:rPr>
                    <w:t>本</w:t>
                  </w:r>
                  <w:r>
                    <w:rPr>
                      <w:szCs w:val="21"/>
                    </w:rPr>
                    <w:t>项目</w:t>
                  </w:r>
                  <w:r>
                    <w:rPr>
                      <w:rFonts w:hint="eastAsia"/>
                      <w:szCs w:val="21"/>
                    </w:rPr>
                    <w:t>所在地块规划为工业用地，不属于对人体健康有严重影响的污染地块。</w:t>
                  </w:r>
                </w:p>
              </w:tc>
              <w:tc>
                <w:tcPr>
                  <w:tcW w:w="472" w:type="pct"/>
                  <w:vAlign w:val="center"/>
                </w:tcPr>
                <w:p w14:paraId="21D41C2D">
                  <w:pPr>
                    <w:contextualSpacing/>
                    <w:jc w:val="center"/>
                    <w:rPr>
                      <w:szCs w:val="21"/>
                    </w:rPr>
                  </w:pPr>
                  <w:r>
                    <w:rPr>
                      <w:szCs w:val="21"/>
                    </w:rPr>
                    <w:t>符合</w:t>
                  </w:r>
                </w:p>
              </w:tc>
            </w:tr>
            <w:tr w14:paraId="4217F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89" w:hRule="atLeast"/>
                <w:jc w:val="center"/>
              </w:trPr>
              <w:tc>
                <w:tcPr>
                  <w:tcW w:w="613" w:type="pct"/>
                  <w:vMerge w:val="restart"/>
                  <w:vAlign w:val="center"/>
                </w:tcPr>
                <w:p w14:paraId="30DE218A">
                  <w:pPr>
                    <w:contextualSpacing/>
                    <w:jc w:val="center"/>
                    <w:rPr>
                      <w:szCs w:val="21"/>
                    </w:rPr>
                  </w:pPr>
                  <w:r>
                    <w:rPr>
                      <w:szCs w:val="21"/>
                    </w:rPr>
                    <w:t>污染物排放管控</w:t>
                  </w:r>
                </w:p>
              </w:tc>
              <w:tc>
                <w:tcPr>
                  <w:tcW w:w="2533" w:type="pct"/>
                  <w:vAlign w:val="center"/>
                </w:tcPr>
                <w:p w14:paraId="73748AA6">
                  <w:pPr>
                    <w:contextualSpacing/>
                    <w:jc w:val="left"/>
                    <w:rPr>
                      <w:szCs w:val="21"/>
                    </w:rPr>
                  </w:pPr>
                  <w:r>
                    <w:rPr>
                      <w:szCs w:val="21"/>
                    </w:rPr>
                    <w:t>2.1环境空气质量未达标县（市、区）必须以大气污染物排放量不增为刚性约束。二氧化硫、氮氧化物、颗粒物、挥发性有机物全面执行大气污染物特别排放限值。全面执行《山东省区域性大气污染物综合排放标准》第四时段大气污染物排放浓度限值。</w:t>
                  </w:r>
                </w:p>
              </w:tc>
              <w:tc>
                <w:tcPr>
                  <w:tcW w:w="1382" w:type="pct"/>
                  <w:vAlign w:val="center"/>
                </w:tcPr>
                <w:p w14:paraId="1A4C27EC">
                  <w:pPr>
                    <w:contextualSpacing/>
                    <w:rPr>
                      <w:szCs w:val="21"/>
                    </w:rPr>
                  </w:pPr>
                  <w:r>
                    <w:rPr>
                      <w:szCs w:val="21"/>
                    </w:rPr>
                    <w:t>本项目所在地属于</w:t>
                  </w:r>
                  <w:r>
                    <w:rPr>
                      <w:rFonts w:hint="eastAsia"/>
                      <w:szCs w:val="21"/>
                    </w:rPr>
                    <w:t>环境空气质量</w:t>
                  </w:r>
                  <w:r>
                    <w:rPr>
                      <w:szCs w:val="21"/>
                    </w:rPr>
                    <w:t>不达标区，</w:t>
                  </w:r>
                  <w:r>
                    <w:rPr>
                      <w:rFonts w:hint="eastAsia"/>
                      <w:szCs w:val="21"/>
                    </w:rPr>
                    <w:t>项目排放的颗粒物、挥发性有机物严格申请总量倍量替代，不会增加项目区大气污染物排放量</w:t>
                  </w:r>
                </w:p>
              </w:tc>
              <w:tc>
                <w:tcPr>
                  <w:tcW w:w="472" w:type="pct"/>
                  <w:vAlign w:val="center"/>
                </w:tcPr>
                <w:p w14:paraId="6AA35015">
                  <w:pPr>
                    <w:contextualSpacing/>
                    <w:jc w:val="center"/>
                    <w:rPr>
                      <w:szCs w:val="21"/>
                    </w:rPr>
                  </w:pPr>
                  <w:r>
                    <w:rPr>
                      <w:szCs w:val="21"/>
                    </w:rPr>
                    <w:t>符合</w:t>
                  </w:r>
                </w:p>
              </w:tc>
            </w:tr>
            <w:tr w14:paraId="57D08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89" w:hRule="atLeast"/>
                <w:jc w:val="center"/>
              </w:trPr>
              <w:tc>
                <w:tcPr>
                  <w:tcW w:w="613" w:type="pct"/>
                  <w:vMerge w:val="continue"/>
                  <w:vAlign w:val="center"/>
                </w:tcPr>
                <w:p w14:paraId="63BCAFC1">
                  <w:pPr>
                    <w:contextualSpacing/>
                    <w:jc w:val="center"/>
                    <w:rPr>
                      <w:szCs w:val="21"/>
                    </w:rPr>
                  </w:pPr>
                </w:p>
              </w:tc>
              <w:tc>
                <w:tcPr>
                  <w:tcW w:w="2533" w:type="pct"/>
                  <w:vAlign w:val="center"/>
                </w:tcPr>
                <w:p w14:paraId="083AF9B7">
                  <w:pPr>
                    <w:contextualSpacing/>
                    <w:jc w:val="left"/>
                    <w:rPr>
                      <w:szCs w:val="21"/>
                    </w:rPr>
                  </w:pPr>
                  <w:r>
                    <w:rPr>
                      <w:szCs w:val="21"/>
                    </w:rPr>
                    <w:t>2.4</w:t>
                  </w:r>
                  <w:r>
                    <w:rPr>
                      <w:rFonts w:hint="eastAsia"/>
                      <w:szCs w:val="21"/>
                    </w:rPr>
                    <w:t>加强挥发性有机物专项整治。采取源头削减、过程控制、末端治理全过程防控措施，全面加强</w:t>
                  </w:r>
                  <w:r>
                    <w:rPr>
                      <w:szCs w:val="21"/>
                    </w:rPr>
                    <w:t xml:space="preserve">VOCs </w:t>
                  </w:r>
                  <w:r>
                    <w:rPr>
                      <w:rFonts w:hint="eastAsia"/>
                      <w:szCs w:val="21"/>
                    </w:rPr>
                    <w:t>污染防治。严格落实国家、省制定的石化、化工、工业涂装、包装印刷等</w:t>
                  </w:r>
                  <w:r>
                    <w:rPr>
                      <w:szCs w:val="21"/>
                    </w:rPr>
                    <w:t xml:space="preserve">VOCs </w:t>
                  </w:r>
                  <w:r>
                    <w:rPr>
                      <w:rFonts w:hint="eastAsia"/>
                      <w:szCs w:val="21"/>
                    </w:rPr>
                    <w:t>排放重点行业和油品储运销综合整治方案，执行泄漏检测与修复</w:t>
                  </w:r>
                  <w:r>
                    <w:rPr>
                      <w:szCs w:val="21"/>
                    </w:rPr>
                    <w:t xml:space="preserve">( LDAR) </w:t>
                  </w:r>
                  <w:r>
                    <w:rPr>
                      <w:rFonts w:hint="eastAsia"/>
                      <w:szCs w:val="21"/>
                    </w:rPr>
                    <w:t>标准、</w:t>
                  </w:r>
                  <w:r>
                    <w:rPr>
                      <w:szCs w:val="21"/>
                    </w:rPr>
                    <w:t xml:space="preserve">VOCs </w:t>
                  </w:r>
                  <w:r>
                    <w:rPr>
                      <w:rFonts w:hint="eastAsia"/>
                      <w:szCs w:val="21"/>
                    </w:rPr>
                    <w:t>治理技术指南要求。严格执行涂料、油墨、胶粘剂、清洗剂等产品</w:t>
                  </w:r>
                  <w:r>
                    <w:rPr>
                      <w:szCs w:val="21"/>
                    </w:rPr>
                    <w:t xml:space="preserve">VOCs </w:t>
                  </w:r>
                  <w:r>
                    <w:rPr>
                      <w:rFonts w:hint="eastAsia"/>
                      <w:szCs w:val="21"/>
                    </w:rPr>
                    <w:t>含量限值强制性国家标准。排气口高度超过</w:t>
                  </w:r>
                  <w:r>
                    <w:rPr>
                      <w:szCs w:val="21"/>
                    </w:rPr>
                    <w:t>45</w:t>
                  </w:r>
                  <w:r>
                    <w:rPr>
                      <w:rFonts w:hint="eastAsia"/>
                      <w:szCs w:val="21"/>
                    </w:rPr>
                    <w:t>米的高架源，以及石化、化工、包装印刷、工业涂装等</w:t>
                  </w:r>
                  <w:r>
                    <w:rPr>
                      <w:szCs w:val="21"/>
                    </w:rPr>
                    <w:t xml:space="preserve">VOCs </w:t>
                  </w:r>
                  <w:r>
                    <w:rPr>
                      <w:rFonts w:hint="eastAsia"/>
                      <w:szCs w:val="21"/>
                    </w:rPr>
                    <w:t>排放重点源，要纳入重点排污单位名录，主要排污口要安装污染物排放自动监测设备，并与生态环境部门联网。工业园区应结合园区排放特征，配置</w:t>
                  </w:r>
                  <w:r>
                    <w:rPr>
                      <w:szCs w:val="21"/>
                    </w:rPr>
                    <w:t xml:space="preserve">VOCs </w:t>
                  </w:r>
                  <w:r>
                    <w:rPr>
                      <w:rFonts w:hint="eastAsia"/>
                      <w:szCs w:val="21"/>
                    </w:rPr>
                    <w:t>连续自动采样体系或符合园区排放特征的</w:t>
                  </w:r>
                  <w:r>
                    <w:rPr>
                      <w:szCs w:val="21"/>
                    </w:rPr>
                    <w:t xml:space="preserve">VOCs </w:t>
                  </w:r>
                  <w:r>
                    <w:rPr>
                      <w:rFonts w:hint="eastAsia"/>
                      <w:szCs w:val="21"/>
                    </w:rPr>
                    <w:t>监测监控系统。推进</w:t>
                  </w:r>
                  <w:r>
                    <w:rPr>
                      <w:szCs w:val="21"/>
                    </w:rPr>
                    <w:t>VOCs</w:t>
                  </w:r>
                  <w:r>
                    <w:rPr>
                      <w:rFonts w:hint="eastAsia"/>
                      <w:szCs w:val="21"/>
                    </w:rPr>
                    <w:t>重点排放源厂界监测。</w:t>
                  </w:r>
                </w:p>
              </w:tc>
              <w:tc>
                <w:tcPr>
                  <w:tcW w:w="1382" w:type="pct"/>
                  <w:vAlign w:val="center"/>
                </w:tcPr>
                <w:p w14:paraId="67E9CE6E">
                  <w:pPr>
                    <w:contextualSpacing/>
                    <w:rPr>
                      <w:bCs/>
                      <w:szCs w:val="21"/>
                    </w:rPr>
                  </w:pPr>
                  <w:r>
                    <w:rPr>
                      <w:rFonts w:hint="eastAsia"/>
                      <w:szCs w:val="21"/>
                    </w:rPr>
                    <w:t>本</w:t>
                  </w:r>
                  <w:r>
                    <w:rPr>
                      <w:szCs w:val="21"/>
                    </w:rPr>
                    <w:t>项目</w:t>
                  </w:r>
                  <w:r>
                    <w:rPr>
                      <w:bCs/>
                      <w:szCs w:val="21"/>
                    </w:rPr>
                    <w:t>固化工序产生的</w:t>
                  </w:r>
                  <w:r>
                    <w:rPr>
                      <w:rFonts w:hint="eastAsia"/>
                      <w:bCs/>
                      <w:szCs w:val="21"/>
                    </w:rPr>
                    <w:t>V</w:t>
                  </w:r>
                  <w:r>
                    <w:rPr>
                      <w:bCs/>
                      <w:szCs w:val="21"/>
                    </w:rPr>
                    <w:t>OCs经</w:t>
                  </w:r>
                  <w:r>
                    <w:rPr>
                      <w:rFonts w:hint="eastAsia"/>
                      <w:bCs/>
                      <w:szCs w:val="21"/>
                    </w:rPr>
                    <w:t>二级活性炭吸附装置（T</w:t>
                  </w:r>
                  <w:r>
                    <w:rPr>
                      <w:bCs/>
                      <w:szCs w:val="21"/>
                    </w:rPr>
                    <w:t>A003</w:t>
                  </w:r>
                  <w:r>
                    <w:rPr>
                      <w:rFonts w:hint="eastAsia"/>
                      <w:bCs/>
                      <w:szCs w:val="21"/>
                    </w:rPr>
                    <w:t>）处理处理后经1根1</w:t>
                  </w:r>
                  <w:r>
                    <w:rPr>
                      <w:bCs/>
                      <w:szCs w:val="21"/>
                    </w:rPr>
                    <w:t>5m高排气筒（</w:t>
                  </w:r>
                  <w:r>
                    <w:rPr>
                      <w:rFonts w:hint="eastAsia"/>
                      <w:bCs/>
                      <w:szCs w:val="21"/>
                    </w:rPr>
                    <w:t>D</w:t>
                  </w:r>
                  <w:r>
                    <w:rPr>
                      <w:bCs/>
                      <w:szCs w:val="21"/>
                    </w:rPr>
                    <w:t>A003）</w:t>
                  </w:r>
                  <w:r>
                    <w:rPr>
                      <w:rFonts w:hint="eastAsia"/>
                      <w:bCs/>
                      <w:szCs w:val="21"/>
                    </w:rPr>
                    <w:t>排放</w:t>
                  </w:r>
                  <w:r>
                    <w:rPr>
                      <w:rFonts w:hint="eastAsia"/>
                      <w:szCs w:val="21"/>
                    </w:rPr>
                    <w:t>，可实现达标排放</w:t>
                  </w:r>
                </w:p>
              </w:tc>
              <w:tc>
                <w:tcPr>
                  <w:tcW w:w="472" w:type="pct"/>
                  <w:vAlign w:val="center"/>
                </w:tcPr>
                <w:p w14:paraId="20DEFD3D">
                  <w:pPr>
                    <w:contextualSpacing/>
                    <w:jc w:val="center"/>
                    <w:rPr>
                      <w:szCs w:val="21"/>
                    </w:rPr>
                  </w:pPr>
                  <w:r>
                    <w:rPr>
                      <w:rFonts w:hint="eastAsia"/>
                      <w:szCs w:val="21"/>
                    </w:rPr>
                    <w:t>符合</w:t>
                  </w:r>
                </w:p>
              </w:tc>
            </w:tr>
            <w:tr w14:paraId="78BE6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4" w:hRule="atLeast"/>
                <w:jc w:val="center"/>
              </w:trPr>
              <w:tc>
                <w:tcPr>
                  <w:tcW w:w="613" w:type="pct"/>
                  <w:vMerge w:val="continue"/>
                  <w:vAlign w:val="center"/>
                </w:tcPr>
                <w:p w14:paraId="48FF1EFA">
                  <w:pPr>
                    <w:contextualSpacing/>
                    <w:jc w:val="center"/>
                    <w:rPr>
                      <w:szCs w:val="21"/>
                    </w:rPr>
                  </w:pPr>
                </w:p>
              </w:tc>
              <w:tc>
                <w:tcPr>
                  <w:tcW w:w="2533" w:type="pct"/>
                  <w:vAlign w:val="center"/>
                </w:tcPr>
                <w:p w14:paraId="3F39C0E0">
                  <w:pPr>
                    <w:contextualSpacing/>
                    <w:jc w:val="left"/>
                    <w:rPr>
                      <w:szCs w:val="21"/>
                    </w:rPr>
                  </w:pPr>
                  <w:r>
                    <w:rPr>
                      <w:szCs w:val="21"/>
                    </w:rPr>
                    <w:t>2.5</w:t>
                  </w:r>
                  <w:bookmarkStart w:id="60" w:name="OLE_LINK2"/>
                  <w:bookmarkStart w:id="61" w:name="OLE_LINK3"/>
                  <w:r>
                    <w:rPr>
                      <w:rFonts w:hint="eastAsia"/>
                      <w:szCs w:val="21"/>
                    </w:rPr>
                    <w:t>严格执行国家、省制定的钢铁、焦化、建材、火电等重点行业堆场扬尘污染物排放标准。</w:t>
                  </w:r>
                  <w:bookmarkEnd w:id="60"/>
                  <w:bookmarkEnd w:id="61"/>
                  <w:r>
                    <w:rPr>
                      <w:rFonts w:hint="eastAsia"/>
                      <w:szCs w:val="21"/>
                    </w:rPr>
                    <w:t>建筑施工工地全面落实工地周边围挡、物料堆放覆盖、土方开挖湿法作业、路面硬化、出入车辆清洗、渣土车辆密闭运输等“八个百分之百”，达不到标准的实施停工整治。严格落实施工工地和渣土车的扬尘控制措施。市政、公路、水利等线性工程必须采取扬尘控制措施，拆迁（拆除）工地必须湿法作业。严格落实渣土运输车辆全密闭化措施，规范渣土运输车辆通行的时间和路线，对不符合要求上路行驶的按上限处罚并取消渣土运输资格。</w:t>
                  </w:r>
                </w:p>
              </w:tc>
              <w:tc>
                <w:tcPr>
                  <w:tcW w:w="1382" w:type="pct"/>
                  <w:vAlign w:val="center"/>
                </w:tcPr>
                <w:p w14:paraId="42CD521D">
                  <w:pPr>
                    <w:contextualSpacing/>
                    <w:rPr>
                      <w:szCs w:val="21"/>
                    </w:rPr>
                  </w:pPr>
                  <w:r>
                    <w:rPr>
                      <w:szCs w:val="21"/>
                    </w:rPr>
                    <w:t>本项目</w:t>
                  </w:r>
                  <w:r>
                    <w:rPr>
                      <w:rFonts w:hint="eastAsia"/>
                      <w:szCs w:val="21"/>
                    </w:rPr>
                    <w:t>施工过程产生的污染物均得到妥善处置，不会对周围环境产生较大影响。</w:t>
                  </w:r>
                </w:p>
              </w:tc>
              <w:tc>
                <w:tcPr>
                  <w:tcW w:w="472" w:type="pct"/>
                  <w:vAlign w:val="center"/>
                </w:tcPr>
                <w:p w14:paraId="715A6AA1">
                  <w:pPr>
                    <w:contextualSpacing/>
                    <w:jc w:val="center"/>
                    <w:rPr>
                      <w:szCs w:val="21"/>
                    </w:rPr>
                  </w:pPr>
                  <w:r>
                    <w:rPr>
                      <w:rFonts w:hint="eastAsia"/>
                      <w:szCs w:val="21"/>
                    </w:rPr>
                    <w:t>符合</w:t>
                  </w:r>
                </w:p>
              </w:tc>
            </w:tr>
            <w:tr w14:paraId="7F0F1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24" w:hRule="atLeast"/>
                <w:jc w:val="center"/>
              </w:trPr>
              <w:tc>
                <w:tcPr>
                  <w:tcW w:w="613" w:type="pct"/>
                  <w:vMerge w:val="restart"/>
                  <w:vAlign w:val="center"/>
                </w:tcPr>
                <w:p w14:paraId="410B9541">
                  <w:pPr>
                    <w:contextualSpacing/>
                    <w:jc w:val="center"/>
                    <w:rPr>
                      <w:szCs w:val="21"/>
                    </w:rPr>
                  </w:pPr>
                  <w:r>
                    <w:rPr>
                      <w:szCs w:val="21"/>
                    </w:rPr>
                    <w:t>环境风险防控</w:t>
                  </w:r>
                </w:p>
              </w:tc>
              <w:tc>
                <w:tcPr>
                  <w:tcW w:w="2533" w:type="pct"/>
                  <w:vAlign w:val="center"/>
                </w:tcPr>
                <w:p w14:paraId="63127E48">
                  <w:pPr>
                    <w:contextualSpacing/>
                    <w:jc w:val="left"/>
                    <w:rPr>
                      <w:szCs w:val="21"/>
                    </w:rPr>
                  </w:pPr>
                  <w:r>
                    <w:rPr>
                      <w:szCs w:val="21"/>
                    </w:rPr>
                    <w:t>3.3按国家、省有关规定对排放有毒有害大气污染物的排放口和周边环境进行定期监测，建设环境风险预警体系，排查环境安全隐患，评估和防范环境风险。</w:t>
                  </w:r>
                </w:p>
              </w:tc>
              <w:tc>
                <w:tcPr>
                  <w:tcW w:w="1382" w:type="pct"/>
                  <w:vAlign w:val="center"/>
                </w:tcPr>
                <w:p w14:paraId="5F196A6D">
                  <w:pPr>
                    <w:contextualSpacing/>
                    <w:rPr>
                      <w:szCs w:val="21"/>
                    </w:rPr>
                  </w:pPr>
                  <w:r>
                    <w:rPr>
                      <w:rFonts w:hint="eastAsia"/>
                      <w:szCs w:val="21"/>
                    </w:rPr>
                    <w:t>本</w:t>
                  </w:r>
                  <w:r>
                    <w:rPr>
                      <w:szCs w:val="21"/>
                    </w:rPr>
                    <w:t>项目</w:t>
                  </w:r>
                  <w:r>
                    <w:rPr>
                      <w:rFonts w:hint="eastAsia"/>
                      <w:szCs w:val="21"/>
                    </w:rPr>
                    <w:t>不涉及</w:t>
                  </w:r>
                  <w:r>
                    <w:rPr>
                      <w:szCs w:val="21"/>
                    </w:rPr>
                    <w:t>国家、省有关规定</w:t>
                  </w:r>
                  <w:r>
                    <w:rPr>
                      <w:rFonts w:hint="eastAsia"/>
                      <w:szCs w:val="21"/>
                    </w:rPr>
                    <w:t>的</w:t>
                  </w:r>
                  <w:r>
                    <w:rPr>
                      <w:szCs w:val="21"/>
                    </w:rPr>
                    <w:t>有毒有害大气污染物排放；本项目已制定环境监测计划，并严格落实；</w:t>
                  </w:r>
                  <w:r>
                    <w:rPr>
                      <w:rFonts w:hint="eastAsia"/>
                      <w:szCs w:val="21"/>
                    </w:rPr>
                    <w:t xml:space="preserve"> </w:t>
                  </w:r>
                </w:p>
              </w:tc>
              <w:tc>
                <w:tcPr>
                  <w:tcW w:w="472" w:type="pct"/>
                  <w:vAlign w:val="center"/>
                </w:tcPr>
                <w:p w14:paraId="16A214D6">
                  <w:pPr>
                    <w:contextualSpacing/>
                    <w:jc w:val="center"/>
                    <w:rPr>
                      <w:szCs w:val="21"/>
                    </w:rPr>
                  </w:pPr>
                  <w:r>
                    <w:rPr>
                      <w:szCs w:val="21"/>
                    </w:rPr>
                    <w:t>符合</w:t>
                  </w:r>
                </w:p>
              </w:tc>
            </w:tr>
            <w:tr w14:paraId="7B953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92" w:hRule="atLeast"/>
                <w:jc w:val="center"/>
              </w:trPr>
              <w:tc>
                <w:tcPr>
                  <w:tcW w:w="613" w:type="pct"/>
                  <w:vMerge w:val="continue"/>
                  <w:vAlign w:val="center"/>
                </w:tcPr>
                <w:p w14:paraId="4355FC0C">
                  <w:pPr>
                    <w:contextualSpacing/>
                    <w:jc w:val="center"/>
                    <w:rPr>
                      <w:szCs w:val="21"/>
                    </w:rPr>
                  </w:pPr>
                </w:p>
              </w:tc>
              <w:tc>
                <w:tcPr>
                  <w:tcW w:w="2533" w:type="pct"/>
                  <w:vAlign w:val="center"/>
                </w:tcPr>
                <w:p w14:paraId="723549F6">
                  <w:pPr>
                    <w:ind w:left="-19" w:leftChars="-9"/>
                    <w:contextualSpacing/>
                    <w:jc w:val="left"/>
                    <w:rPr>
                      <w:szCs w:val="21"/>
                    </w:rPr>
                  </w:pPr>
                  <w:r>
                    <w:rPr>
                      <w:szCs w:val="21"/>
                    </w:rPr>
                    <w:t>3.10建立危险废物产生、收集、利用、贮存、运输和处置等全过程监管体系。健全完善固体废物管理信息系统，实现危险废物申报登记、管理计划和应急预案备案、转移联单、经营单位经营记录、日常管理等信息化管理。建立危险废物应急处置区域合作协调机制，提高应急处置能力。对贮存危险废物100吨以上、贮存设施不符合规范、贮存量饱和或超限、贮存的危险废物在省内无相应处置能力的4类企业，要根据贮存条件、危险废物特性、辖区处置能力等因素，制定实施存量清理方案。对危险废物贮存时间超过1年、贮存设施不符合环保要求、贮存量饱和或超限的产废企业以及收集的危险废物贮存时间超过 1年的4类企业，按要求完善贮存场所，切实推动贮存危险废物的处置，防范环境风险。</w:t>
                  </w:r>
                </w:p>
              </w:tc>
              <w:tc>
                <w:tcPr>
                  <w:tcW w:w="1382" w:type="pct"/>
                  <w:vAlign w:val="center"/>
                </w:tcPr>
                <w:p w14:paraId="60AE931A">
                  <w:pPr>
                    <w:contextualSpacing/>
                    <w:rPr>
                      <w:szCs w:val="21"/>
                    </w:rPr>
                  </w:pPr>
                  <w:r>
                    <w:rPr>
                      <w:rFonts w:hint="eastAsia"/>
                      <w:szCs w:val="21"/>
                    </w:rPr>
                    <w:t>本</w:t>
                  </w:r>
                  <w:r>
                    <w:rPr>
                      <w:szCs w:val="21"/>
                    </w:rPr>
                    <w:t>项目</w:t>
                  </w:r>
                  <w:r>
                    <w:rPr>
                      <w:rFonts w:hint="eastAsia"/>
                    </w:rPr>
                    <w:t>危险废物</w:t>
                  </w:r>
                  <w:r>
                    <w:rPr>
                      <w:szCs w:val="21"/>
                    </w:rPr>
                    <w:t>暂存于</w:t>
                  </w:r>
                  <w:r>
                    <w:rPr>
                      <w:rFonts w:hint="eastAsia"/>
                      <w:szCs w:val="21"/>
                    </w:rPr>
                    <w:t>危废</w:t>
                  </w:r>
                  <w:r>
                    <w:rPr>
                      <w:szCs w:val="21"/>
                    </w:rPr>
                    <w:t>暂存间内，委托有资质的单位进行处置</w:t>
                  </w:r>
                  <w:r>
                    <w:rPr>
                      <w:rFonts w:hint="eastAsia"/>
                      <w:szCs w:val="21"/>
                    </w:rPr>
                    <w:t>；项目拟</w:t>
                  </w:r>
                  <w:r>
                    <w:rPr>
                      <w:szCs w:val="21"/>
                    </w:rPr>
                    <w:t>建立危险废物产生、收集、利用、贮存、运输和处置等全过程监管体系</w:t>
                  </w:r>
                  <w:r>
                    <w:rPr>
                      <w:rFonts w:hint="eastAsia"/>
                      <w:szCs w:val="21"/>
                    </w:rPr>
                    <w:t>；</w:t>
                  </w:r>
                  <w:r>
                    <w:rPr>
                      <w:szCs w:val="21"/>
                    </w:rPr>
                    <w:t>健全完善固体废物管理信息系统，实现危险废物申报登记、管理计划和应急预案备案、转移联单、经营单位经营记录、日常管理等信息化管理。</w:t>
                  </w:r>
                </w:p>
              </w:tc>
              <w:tc>
                <w:tcPr>
                  <w:tcW w:w="472" w:type="pct"/>
                  <w:vAlign w:val="center"/>
                </w:tcPr>
                <w:p w14:paraId="7EE60325">
                  <w:pPr>
                    <w:contextualSpacing/>
                    <w:jc w:val="center"/>
                    <w:rPr>
                      <w:szCs w:val="21"/>
                    </w:rPr>
                  </w:pPr>
                  <w:r>
                    <w:rPr>
                      <w:rFonts w:hint="eastAsia"/>
                      <w:szCs w:val="21"/>
                    </w:rPr>
                    <w:t>符合</w:t>
                  </w:r>
                </w:p>
              </w:tc>
            </w:tr>
            <w:tr w14:paraId="1E909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13" w:type="pct"/>
                  <w:vAlign w:val="center"/>
                </w:tcPr>
                <w:p w14:paraId="1E60DED2">
                  <w:pPr>
                    <w:contextualSpacing/>
                    <w:jc w:val="center"/>
                    <w:rPr>
                      <w:szCs w:val="21"/>
                    </w:rPr>
                  </w:pPr>
                  <w:r>
                    <w:rPr>
                      <w:szCs w:val="21"/>
                    </w:rPr>
                    <w:t>资源利用效率要求</w:t>
                  </w:r>
                </w:p>
              </w:tc>
              <w:tc>
                <w:tcPr>
                  <w:tcW w:w="2533" w:type="pct"/>
                  <w:vAlign w:val="center"/>
                </w:tcPr>
                <w:p w14:paraId="58F438EC">
                  <w:pPr>
                    <w:contextualSpacing/>
                    <w:jc w:val="left"/>
                    <w:rPr>
                      <w:szCs w:val="21"/>
                    </w:rPr>
                  </w:pPr>
                  <w:r>
                    <w:rPr>
                      <w:szCs w:val="21"/>
                    </w:rPr>
                    <w:t>4.1 实施能源消费总量和消耗强度“双控制”，全面落实燃煤锅炉节能环保综合改造提升工程，新建耗煤项目实现煤炭减量替代，提高天然气等清洁能源比重。加强高能耗行业能耗管控，有效控制重点行业碳排放。新建耗能项目严格执行节能评估审查制度，加快对现役煤电机组节能改造。</w:t>
                  </w:r>
                </w:p>
                <w:p w14:paraId="1C0A7791">
                  <w:pPr>
                    <w:contextualSpacing/>
                    <w:jc w:val="left"/>
                    <w:rPr>
                      <w:szCs w:val="21"/>
                    </w:rPr>
                  </w:pPr>
                  <w:r>
                    <w:rPr>
                      <w:szCs w:val="21"/>
                    </w:rPr>
                    <w:t>4.8 严控地下水超采。在浅层地下水超采区禁止农业、工业建设服务业新增取用地下水。严格控制开采深层承压水，地热水、矿泉水开发应严格实行取水许可和采矿许可。积极开发南四湖及南水北调地表水源，有序减少地下水开采，合理利用再生水、雨水等非常规水资源，形成多水源向城区供水的格局。煤炭矿区的补充用水、周边地区生产和生态用水应优先使用矿井水。</w:t>
                  </w:r>
                </w:p>
              </w:tc>
              <w:tc>
                <w:tcPr>
                  <w:tcW w:w="1382" w:type="pct"/>
                  <w:vAlign w:val="center"/>
                </w:tcPr>
                <w:p w14:paraId="6429EB8D">
                  <w:pPr>
                    <w:contextualSpacing/>
                    <w:rPr>
                      <w:szCs w:val="21"/>
                    </w:rPr>
                  </w:pPr>
                  <w:r>
                    <w:rPr>
                      <w:rFonts w:hint="eastAsia"/>
                      <w:szCs w:val="21"/>
                    </w:rPr>
                    <w:t>本</w:t>
                  </w:r>
                  <w:r>
                    <w:rPr>
                      <w:szCs w:val="21"/>
                    </w:rPr>
                    <w:t>项目</w:t>
                  </w:r>
                  <w:r>
                    <w:rPr>
                      <w:rFonts w:hint="eastAsia"/>
                      <w:szCs w:val="21"/>
                    </w:rPr>
                    <w:t>不涉及燃煤锅炉，不使用天然气，不属于高耗能行业；本</w:t>
                  </w:r>
                  <w:r>
                    <w:rPr>
                      <w:szCs w:val="21"/>
                    </w:rPr>
                    <w:t>项目</w:t>
                  </w:r>
                  <w:r>
                    <w:rPr>
                      <w:rFonts w:hint="eastAsia"/>
                      <w:szCs w:val="21"/>
                    </w:rPr>
                    <w:t>固化工序采用电加热；本项目</w:t>
                  </w:r>
                  <w:r>
                    <w:rPr>
                      <w:szCs w:val="21"/>
                    </w:rPr>
                    <w:t>不属于高耗水项目；本项目用水由当地供水管网提供，不开采地下水</w:t>
                  </w:r>
                  <w:r>
                    <w:rPr>
                      <w:rFonts w:hint="eastAsia"/>
                      <w:szCs w:val="21"/>
                    </w:rPr>
                    <w:t>。</w:t>
                  </w:r>
                </w:p>
              </w:tc>
              <w:tc>
                <w:tcPr>
                  <w:tcW w:w="472" w:type="pct"/>
                  <w:vAlign w:val="center"/>
                </w:tcPr>
                <w:p w14:paraId="4496DE85">
                  <w:pPr>
                    <w:contextualSpacing/>
                    <w:jc w:val="center"/>
                    <w:rPr>
                      <w:szCs w:val="21"/>
                    </w:rPr>
                  </w:pPr>
                  <w:r>
                    <w:rPr>
                      <w:szCs w:val="21"/>
                    </w:rPr>
                    <w:t>符合</w:t>
                  </w:r>
                </w:p>
              </w:tc>
            </w:tr>
          </w:tbl>
          <w:p w14:paraId="5F8C03E9">
            <w:pPr>
              <w:spacing w:line="360" w:lineRule="auto"/>
              <w:ind w:firstLine="480" w:firstLineChars="200"/>
              <w:rPr>
                <w:sz w:val="24"/>
              </w:rPr>
            </w:pPr>
            <w:r>
              <w:rPr>
                <w:bCs/>
                <w:sz w:val="24"/>
              </w:rPr>
              <w:t>对照《济宁市</w:t>
            </w:r>
            <w:r>
              <w:rPr>
                <w:rFonts w:hint="eastAsia"/>
                <w:bCs/>
                <w:sz w:val="24"/>
              </w:rPr>
              <w:t>生态环境委员会办公室</w:t>
            </w:r>
            <w:r>
              <w:rPr>
                <w:bCs/>
                <w:sz w:val="24"/>
              </w:rPr>
              <w:t>&lt;关于</w:t>
            </w:r>
            <w:r>
              <w:rPr>
                <w:rFonts w:hint="eastAsia"/>
                <w:bCs/>
                <w:sz w:val="24"/>
              </w:rPr>
              <w:t>发布2</w:t>
            </w:r>
            <w:r>
              <w:rPr>
                <w:bCs/>
                <w:sz w:val="24"/>
              </w:rPr>
              <w:t>023</w:t>
            </w:r>
            <w:r>
              <w:rPr>
                <w:rFonts w:hint="eastAsia"/>
                <w:bCs/>
                <w:sz w:val="24"/>
              </w:rPr>
              <w:t>年生态环境分区管控动态更新成果</w:t>
            </w:r>
            <w:r>
              <w:rPr>
                <w:bCs/>
                <w:sz w:val="24"/>
              </w:rPr>
              <w:t>&gt;的通知》（济</w:t>
            </w:r>
            <w:r>
              <w:rPr>
                <w:rFonts w:hint="eastAsia"/>
                <w:bCs/>
                <w:sz w:val="24"/>
              </w:rPr>
              <w:t>环委办</w:t>
            </w:r>
            <w:r>
              <w:rPr>
                <w:bCs/>
                <w:sz w:val="24"/>
              </w:rPr>
              <w:t>[2024]5号）</w:t>
            </w:r>
            <w:r>
              <w:rPr>
                <w:rFonts w:hint="eastAsia"/>
                <w:sz w:val="24"/>
              </w:rPr>
              <w:t>，</w:t>
            </w:r>
            <w:r>
              <w:rPr>
                <w:sz w:val="24"/>
              </w:rPr>
              <w:t>本项目所在区域为</w:t>
            </w:r>
            <w:r>
              <w:rPr>
                <w:rFonts w:hint="eastAsia"/>
                <w:sz w:val="24"/>
              </w:rPr>
              <w:t>梁山经济开发区</w:t>
            </w:r>
            <w:r>
              <w:rPr>
                <w:sz w:val="24"/>
              </w:rPr>
              <w:t>，属于重点管控单元</w:t>
            </w:r>
            <w:r>
              <w:rPr>
                <w:rFonts w:hint="eastAsia"/>
                <w:sz w:val="24"/>
              </w:rPr>
              <w:t>，环境管控单元编码为ZH37083220006。</w:t>
            </w:r>
            <w:r>
              <w:rPr>
                <w:sz w:val="24"/>
              </w:rPr>
              <w:t>项目与</w:t>
            </w:r>
            <w:r>
              <w:rPr>
                <w:bCs/>
                <w:sz w:val="24"/>
              </w:rPr>
              <w:t>济</w:t>
            </w:r>
            <w:r>
              <w:rPr>
                <w:rFonts w:hint="eastAsia"/>
                <w:bCs/>
                <w:sz w:val="24"/>
              </w:rPr>
              <w:t>环委办</w:t>
            </w:r>
            <w:r>
              <w:rPr>
                <w:bCs/>
                <w:sz w:val="24"/>
              </w:rPr>
              <w:t>[2024]5号</w:t>
            </w:r>
            <w:r>
              <w:rPr>
                <w:rFonts w:hint="eastAsia"/>
                <w:bCs/>
                <w:sz w:val="24"/>
              </w:rPr>
              <w:t>文的</w:t>
            </w:r>
            <w:r>
              <w:rPr>
                <w:sz w:val="24"/>
              </w:rPr>
              <w:t>符合性分析见下表。</w:t>
            </w:r>
          </w:p>
          <w:p w14:paraId="754AE14E">
            <w:pPr>
              <w:spacing w:line="360" w:lineRule="auto"/>
              <w:jc w:val="center"/>
              <w:rPr>
                <w:sz w:val="24"/>
              </w:rPr>
            </w:pPr>
            <w:r>
              <w:rPr>
                <w:b/>
                <w:sz w:val="24"/>
              </w:rPr>
              <w:t>表4与</w:t>
            </w:r>
            <w:r>
              <w:rPr>
                <w:b/>
                <w:bCs/>
                <w:sz w:val="24"/>
              </w:rPr>
              <w:t>济</w:t>
            </w:r>
            <w:r>
              <w:rPr>
                <w:rFonts w:hint="eastAsia"/>
                <w:b/>
                <w:bCs/>
                <w:sz w:val="24"/>
              </w:rPr>
              <w:t>环委办</w:t>
            </w:r>
            <w:r>
              <w:rPr>
                <w:b/>
                <w:bCs/>
                <w:sz w:val="24"/>
              </w:rPr>
              <w:t>[2024]5号</w:t>
            </w:r>
            <w:r>
              <w:rPr>
                <w:rFonts w:hint="eastAsia"/>
                <w:b/>
                <w:bCs/>
                <w:sz w:val="24"/>
              </w:rPr>
              <w:t>文的</w:t>
            </w:r>
            <w:r>
              <w:rPr>
                <w:rFonts w:hint="eastAsia"/>
                <w:b/>
                <w:sz w:val="24"/>
              </w:rPr>
              <w:t>符合性分析一览表</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7" w:type="dxa"/>
                <w:bottom w:w="0" w:type="dxa"/>
                <w:right w:w="57" w:type="dxa"/>
              </w:tblCellMar>
            </w:tblPr>
            <w:tblGrid>
              <w:gridCol w:w="600"/>
              <w:gridCol w:w="599"/>
              <w:gridCol w:w="601"/>
              <w:gridCol w:w="4003"/>
              <w:gridCol w:w="1918"/>
              <w:gridCol w:w="512"/>
            </w:tblGrid>
            <w:tr w14:paraId="6A5ED7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4" w:type="pct"/>
                  <w:vAlign w:val="center"/>
                </w:tcPr>
                <w:p w14:paraId="686368BF">
                  <w:pPr>
                    <w:jc w:val="center"/>
                    <w:rPr>
                      <w:b/>
                      <w:szCs w:val="21"/>
                      <w:lang w:bidi="ar"/>
                    </w:rPr>
                  </w:pPr>
                  <w:r>
                    <w:rPr>
                      <w:b/>
                      <w:szCs w:val="21"/>
                      <w:lang w:bidi="ar"/>
                    </w:rPr>
                    <w:t>环境管控单元名称</w:t>
                  </w:r>
                </w:p>
              </w:tc>
              <w:tc>
                <w:tcPr>
                  <w:tcW w:w="364" w:type="pct"/>
                  <w:vAlign w:val="center"/>
                </w:tcPr>
                <w:p w14:paraId="43B2B5FB">
                  <w:pPr>
                    <w:jc w:val="center"/>
                    <w:rPr>
                      <w:b/>
                      <w:szCs w:val="21"/>
                      <w:lang w:bidi="ar"/>
                    </w:rPr>
                  </w:pPr>
                  <w:r>
                    <w:rPr>
                      <w:b/>
                      <w:szCs w:val="21"/>
                      <w:lang w:bidi="ar"/>
                    </w:rPr>
                    <w:t>管控单元分类</w:t>
                  </w:r>
                </w:p>
              </w:tc>
              <w:tc>
                <w:tcPr>
                  <w:tcW w:w="365" w:type="pct"/>
                  <w:vAlign w:val="center"/>
                </w:tcPr>
                <w:p w14:paraId="6EBFAF32">
                  <w:pPr>
                    <w:jc w:val="center"/>
                    <w:rPr>
                      <w:b/>
                      <w:szCs w:val="21"/>
                    </w:rPr>
                  </w:pPr>
                  <w:r>
                    <w:rPr>
                      <w:b/>
                      <w:szCs w:val="21"/>
                      <w:lang w:bidi="ar"/>
                    </w:rPr>
                    <w:t>类别</w:t>
                  </w:r>
                </w:p>
              </w:tc>
              <w:tc>
                <w:tcPr>
                  <w:tcW w:w="2431" w:type="pct"/>
                  <w:vAlign w:val="center"/>
                </w:tcPr>
                <w:p w14:paraId="79900582">
                  <w:pPr>
                    <w:jc w:val="center"/>
                    <w:rPr>
                      <w:b/>
                      <w:szCs w:val="21"/>
                    </w:rPr>
                  </w:pPr>
                  <w:r>
                    <w:rPr>
                      <w:b/>
                      <w:szCs w:val="21"/>
                      <w:lang w:bidi="ar"/>
                    </w:rPr>
                    <w:t>负面清单内容</w:t>
                  </w:r>
                </w:p>
              </w:tc>
              <w:tc>
                <w:tcPr>
                  <w:tcW w:w="1165" w:type="pct"/>
                  <w:vAlign w:val="center"/>
                </w:tcPr>
                <w:p w14:paraId="1F794A22">
                  <w:pPr>
                    <w:jc w:val="center"/>
                    <w:rPr>
                      <w:b/>
                      <w:szCs w:val="21"/>
                    </w:rPr>
                  </w:pPr>
                  <w:r>
                    <w:rPr>
                      <w:b/>
                      <w:szCs w:val="21"/>
                      <w:lang w:bidi="ar"/>
                    </w:rPr>
                    <w:t>本项目情况</w:t>
                  </w:r>
                </w:p>
              </w:tc>
              <w:tc>
                <w:tcPr>
                  <w:tcW w:w="311" w:type="pct"/>
                  <w:vAlign w:val="center"/>
                </w:tcPr>
                <w:p w14:paraId="0A8677F3">
                  <w:pPr>
                    <w:jc w:val="center"/>
                    <w:rPr>
                      <w:b/>
                      <w:szCs w:val="21"/>
                      <w:lang w:bidi="ar"/>
                    </w:rPr>
                  </w:pPr>
                  <w:r>
                    <w:rPr>
                      <w:b/>
                      <w:szCs w:val="21"/>
                      <w:lang w:bidi="ar"/>
                    </w:rPr>
                    <w:t>符合性</w:t>
                  </w:r>
                </w:p>
              </w:tc>
            </w:tr>
            <w:tr w14:paraId="1D1B0B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4" w:type="pct"/>
                  <w:vMerge w:val="restart"/>
                  <w:vAlign w:val="center"/>
                </w:tcPr>
                <w:p w14:paraId="1DF292D6">
                  <w:pPr>
                    <w:jc w:val="center"/>
                    <w:rPr>
                      <w:szCs w:val="21"/>
                      <w:lang w:bidi="ar"/>
                    </w:rPr>
                  </w:pPr>
                  <w:r>
                    <w:rPr>
                      <w:rFonts w:hint="eastAsia"/>
                      <w:szCs w:val="21"/>
                      <w:lang w:bidi="ar"/>
                    </w:rPr>
                    <w:t>梁山经济开发区</w:t>
                  </w:r>
                </w:p>
              </w:tc>
              <w:tc>
                <w:tcPr>
                  <w:tcW w:w="364" w:type="pct"/>
                  <w:vMerge w:val="restart"/>
                  <w:vAlign w:val="center"/>
                </w:tcPr>
                <w:p w14:paraId="538D5102">
                  <w:pPr>
                    <w:jc w:val="center"/>
                    <w:rPr>
                      <w:szCs w:val="21"/>
                      <w:lang w:bidi="ar"/>
                    </w:rPr>
                  </w:pPr>
                  <w:r>
                    <w:rPr>
                      <w:szCs w:val="21"/>
                      <w:lang w:bidi="ar"/>
                    </w:rPr>
                    <w:t>重点</w:t>
                  </w:r>
                  <w:r>
                    <w:rPr>
                      <w:rFonts w:hint="eastAsia"/>
                      <w:szCs w:val="21"/>
                      <w:lang w:bidi="ar"/>
                    </w:rPr>
                    <w:t>管控单元</w:t>
                  </w:r>
                </w:p>
              </w:tc>
              <w:tc>
                <w:tcPr>
                  <w:tcW w:w="365" w:type="pct"/>
                  <w:vAlign w:val="center"/>
                </w:tcPr>
                <w:p w14:paraId="22D78978">
                  <w:pPr>
                    <w:jc w:val="center"/>
                    <w:rPr>
                      <w:szCs w:val="21"/>
                    </w:rPr>
                  </w:pPr>
                  <w:r>
                    <w:rPr>
                      <w:szCs w:val="21"/>
                    </w:rPr>
                    <w:t>空间布局约束</w:t>
                  </w:r>
                </w:p>
              </w:tc>
              <w:tc>
                <w:tcPr>
                  <w:tcW w:w="2431" w:type="pct"/>
                  <w:vAlign w:val="center"/>
                </w:tcPr>
                <w:p w14:paraId="68FF3550">
                  <w:pPr>
                    <w:jc w:val="left"/>
                  </w:pPr>
                  <w:r>
                    <w:rPr>
                      <w:rFonts w:hint="eastAsia"/>
                    </w:rPr>
                    <w:t>1.入区企业应该符合开发区产业定位并应为《产业结构调整指导目录》中鼓励类产业和允许类产业；对与主导产业关联性不强的项目、生产工艺落后项目等禁入。加快推动专用汽车、教育服务等主导产业、优势产业向集群化、园区化、基地化、高端化发展。</w:t>
                  </w:r>
                </w:p>
                <w:p w14:paraId="7AC4AE37">
                  <w:pPr>
                    <w:jc w:val="left"/>
                    <w:rPr>
                      <w:szCs w:val="21"/>
                    </w:rPr>
                  </w:pPr>
                  <w:r>
                    <w:rPr>
                      <w:rFonts w:hint="eastAsia"/>
                    </w:rPr>
                    <w:t>2.坚决淘汰污染严重的不符合国家产业政策的工艺和设备，对新、改、扩建设项目要严格执行环境影响评价制度和“三同时”制度，保证“三同时”验收合格并稳定达标排放，杜绝超标排放工业污染源产生。</w:t>
                  </w:r>
                </w:p>
              </w:tc>
              <w:tc>
                <w:tcPr>
                  <w:tcW w:w="1165" w:type="pct"/>
                  <w:vAlign w:val="center"/>
                </w:tcPr>
                <w:p w14:paraId="32357A09">
                  <w:pPr>
                    <w:jc w:val="center"/>
                    <w:rPr>
                      <w:szCs w:val="21"/>
                    </w:rPr>
                  </w:pPr>
                  <w:r>
                    <w:rPr>
                      <w:rFonts w:hint="eastAsia"/>
                    </w:rPr>
                    <w:t>根据《产业结构调整指导目录》，本项目属于允许建设项目，属于开发区东部板块主导产业，属于优先准入，符合开发区产业定位。本项目不使用落后的工艺、设备。项目的建设严格执行“三同时”制度，确保各污染物稳定达标排放或不外排。</w:t>
                  </w:r>
                </w:p>
              </w:tc>
              <w:tc>
                <w:tcPr>
                  <w:tcW w:w="311" w:type="pct"/>
                  <w:vAlign w:val="center"/>
                </w:tcPr>
                <w:p w14:paraId="0F331724">
                  <w:pPr>
                    <w:jc w:val="center"/>
                    <w:rPr>
                      <w:szCs w:val="21"/>
                    </w:rPr>
                  </w:pPr>
                  <w:r>
                    <w:rPr>
                      <w:rFonts w:hint="eastAsia"/>
                      <w:szCs w:val="21"/>
                    </w:rPr>
                    <w:t>符合</w:t>
                  </w:r>
                </w:p>
              </w:tc>
            </w:tr>
            <w:tr w14:paraId="287F0E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4" w:type="pct"/>
                  <w:vMerge w:val="continue"/>
                  <w:vAlign w:val="center"/>
                </w:tcPr>
                <w:p w14:paraId="22473E7A">
                  <w:pPr>
                    <w:jc w:val="center"/>
                    <w:rPr>
                      <w:szCs w:val="21"/>
                      <w:lang w:bidi="ar"/>
                    </w:rPr>
                  </w:pPr>
                </w:p>
              </w:tc>
              <w:tc>
                <w:tcPr>
                  <w:tcW w:w="364" w:type="pct"/>
                  <w:vMerge w:val="continue"/>
                  <w:vAlign w:val="center"/>
                </w:tcPr>
                <w:p w14:paraId="6AD60A62">
                  <w:pPr>
                    <w:jc w:val="center"/>
                    <w:rPr>
                      <w:szCs w:val="21"/>
                      <w:lang w:bidi="ar"/>
                    </w:rPr>
                  </w:pPr>
                </w:p>
              </w:tc>
              <w:tc>
                <w:tcPr>
                  <w:tcW w:w="365" w:type="pct"/>
                  <w:vAlign w:val="center"/>
                </w:tcPr>
                <w:p w14:paraId="36AF5A7A">
                  <w:pPr>
                    <w:jc w:val="center"/>
                    <w:rPr>
                      <w:szCs w:val="21"/>
                    </w:rPr>
                  </w:pPr>
                  <w:r>
                    <w:rPr>
                      <w:szCs w:val="21"/>
                    </w:rPr>
                    <w:t>污染物排放管控</w:t>
                  </w:r>
                </w:p>
              </w:tc>
              <w:tc>
                <w:tcPr>
                  <w:tcW w:w="2431" w:type="pct"/>
                  <w:vAlign w:val="center"/>
                </w:tcPr>
                <w:p w14:paraId="5CCB1DDE">
                  <w:pPr>
                    <w:jc w:val="left"/>
                  </w:pPr>
                  <w:r>
                    <w:rPr>
                      <w:rFonts w:hint="eastAsia"/>
                    </w:rPr>
                    <w:t xml:space="preserve">1.工业聚集区内工业废水必须经预处理达到集中处理要求，方可进入污水集中处理设施。新建、升级工业聚集区应同步规划、建设污水集中处理等污染治理设施。 </w:t>
                  </w:r>
                </w:p>
                <w:p w14:paraId="454ED995">
                  <w:pPr>
                    <w:jc w:val="left"/>
                  </w:pPr>
                  <w:r>
                    <w:rPr>
                      <w:rFonts w:hint="eastAsia"/>
                    </w:rPr>
                    <w:t xml:space="preserve">2.集中治理工业聚集区水污染，各类工业聚集区全面实现污水集中处理并安装自动在线监控装置。 </w:t>
                  </w:r>
                </w:p>
                <w:p w14:paraId="42D539E0">
                  <w:pPr>
                    <w:jc w:val="left"/>
                    <w:rPr>
                      <w:szCs w:val="21"/>
                    </w:rPr>
                  </w:pPr>
                  <w:r>
                    <w:rPr>
                      <w:rFonts w:hint="eastAsia"/>
                    </w:rPr>
                    <w:t>3.严格落实大气污染物达标排放、总量控制、环保设施“三同时”、在线监测、排污许可等环保制度；工业企业严格执行山东省《区域性大气污染物综合排放标准》（DB37/2376-2019）相应时段的排放要求；加强移动源污染防治，逐步淘汰高排放的老旧车、船，严格控制柴油货车污染排放；推进非道路移动机械污染治理，提升非道路移动新机械准入门槛，加快高排放老旧机械淘汰，鼓励机械“油改电”；加强城镇生活源污染防治，餐饮服务业提高油烟和VOCs协同净化效率，汽修、干洗等行业加强挥发性有机物治理，推广使用低挥发性有机涂料和溶剂；严格控制城市扬尘污染。</w:t>
                  </w:r>
                </w:p>
              </w:tc>
              <w:tc>
                <w:tcPr>
                  <w:tcW w:w="1165" w:type="pct"/>
                  <w:vAlign w:val="center"/>
                </w:tcPr>
                <w:p w14:paraId="192A99E4">
                  <w:pPr>
                    <w:jc w:val="center"/>
                    <w:rPr>
                      <w:szCs w:val="21"/>
                    </w:rPr>
                  </w:pPr>
                  <w:r>
                    <w:rPr>
                      <w:rFonts w:hint="eastAsia"/>
                    </w:rPr>
                    <w:t>本项目无生产废水产生，</w:t>
                  </w:r>
                  <w:r>
                    <w:rPr>
                      <w:rFonts w:hint="eastAsia"/>
                      <w:szCs w:val="21"/>
                      <w:lang w:val="zh-CN" w:bidi="zh-CN"/>
                    </w:rPr>
                    <w:t>生活污水经化粪池处理后委托</w:t>
                  </w:r>
                  <w:r>
                    <w:rPr>
                      <w:rFonts w:hint="eastAsia"/>
                      <w:szCs w:val="21"/>
                      <w:lang w:bidi="zh-CN"/>
                    </w:rPr>
                    <w:t>当地</w:t>
                  </w:r>
                  <w:r>
                    <w:rPr>
                      <w:rFonts w:hint="eastAsia"/>
                      <w:szCs w:val="21"/>
                      <w:lang w:val="zh-CN" w:bidi="zh-CN"/>
                    </w:rPr>
                    <w:t>环卫部门清运，</w:t>
                  </w:r>
                  <w:r>
                    <w:rPr>
                      <w:rFonts w:hint="eastAsia"/>
                      <w:szCs w:val="21"/>
                      <w:lang w:bidi="zh-CN"/>
                    </w:rPr>
                    <w:t>不外排</w:t>
                  </w:r>
                  <w:r>
                    <w:rPr>
                      <w:rFonts w:hint="eastAsia"/>
                    </w:rPr>
                    <w:t>；项目废气主要为颗粒物、挥发性有机物经收集处理后达标排放；</w:t>
                  </w:r>
                  <w:r>
                    <w:t>项目运营期废气排放严格执行排放要求，并申请总量倍量替代。</w:t>
                  </w:r>
                </w:p>
              </w:tc>
              <w:tc>
                <w:tcPr>
                  <w:tcW w:w="311" w:type="pct"/>
                  <w:vAlign w:val="center"/>
                </w:tcPr>
                <w:p w14:paraId="6D2648D5">
                  <w:pPr>
                    <w:jc w:val="center"/>
                    <w:rPr>
                      <w:bCs/>
                      <w:szCs w:val="21"/>
                    </w:rPr>
                  </w:pPr>
                  <w:r>
                    <w:rPr>
                      <w:bCs/>
                      <w:szCs w:val="21"/>
                    </w:rPr>
                    <w:t>符合</w:t>
                  </w:r>
                </w:p>
              </w:tc>
            </w:tr>
            <w:tr w14:paraId="2E77DA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4" w:type="pct"/>
                  <w:vMerge w:val="continue"/>
                  <w:vAlign w:val="center"/>
                </w:tcPr>
                <w:p w14:paraId="4F697549">
                  <w:pPr>
                    <w:jc w:val="center"/>
                    <w:rPr>
                      <w:szCs w:val="21"/>
                      <w:lang w:bidi="ar"/>
                    </w:rPr>
                  </w:pPr>
                </w:p>
              </w:tc>
              <w:tc>
                <w:tcPr>
                  <w:tcW w:w="364" w:type="pct"/>
                  <w:vMerge w:val="continue"/>
                  <w:vAlign w:val="center"/>
                </w:tcPr>
                <w:p w14:paraId="43543C91">
                  <w:pPr>
                    <w:jc w:val="center"/>
                    <w:rPr>
                      <w:szCs w:val="21"/>
                      <w:lang w:bidi="ar"/>
                    </w:rPr>
                  </w:pPr>
                </w:p>
              </w:tc>
              <w:tc>
                <w:tcPr>
                  <w:tcW w:w="365" w:type="pct"/>
                  <w:vAlign w:val="center"/>
                </w:tcPr>
                <w:p w14:paraId="6EFEAB29">
                  <w:pPr>
                    <w:jc w:val="center"/>
                    <w:rPr>
                      <w:szCs w:val="21"/>
                    </w:rPr>
                  </w:pPr>
                  <w:r>
                    <w:rPr>
                      <w:szCs w:val="21"/>
                    </w:rPr>
                    <w:t>环境风险管控</w:t>
                  </w:r>
                </w:p>
              </w:tc>
              <w:tc>
                <w:tcPr>
                  <w:tcW w:w="2431" w:type="pct"/>
                  <w:vAlign w:val="center"/>
                </w:tcPr>
                <w:p w14:paraId="19B2B88C">
                  <w:pPr>
                    <w:autoSpaceDE w:val="0"/>
                    <w:autoSpaceDN w:val="0"/>
                    <w:adjustRightInd w:val="0"/>
                    <w:snapToGrid w:val="0"/>
                    <w:jc w:val="left"/>
                  </w:pPr>
                  <w:r>
                    <w:rPr>
                      <w:rFonts w:hint="eastAsia"/>
                    </w:rPr>
                    <w:t>1.加强开发区环境风险防范，落实开发区环境风险防范要求及应急处理措施。一旦发生事故，应立即启动事故环境风险防范及环境安全突发事故应急处理方案，并采取有效保护措施，最大限度减轻污染危害。2.当预测到区域将出现重污染天气时，</w:t>
                  </w:r>
                </w:p>
                <w:p w14:paraId="26441FF8">
                  <w:pPr>
                    <w:autoSpaceDE w:val="0"/>
                    <w:autoSpaceDN w:val="0"/>
                    <w:adjustRightInd w:val="0"/>
                    <w:snapToGrid w:val="0"/>
                    <w:jc w:val="left"/>
                  </w:pPr>
                  <w:r>
                    <w:rPr>
                      <w:rFonts w:hint="eastAsia"/>
                    </w:rPr>
                    <w:t>根据预警发布，按级别启动应急响应，落实各项应急减排措施。</w:t>
                  </w:r>
                </w:p>
                <w:p w14:paraId="50689D7B">
                  <w:pPr>
                    <w:autoSpaceDE w:val="0"/>
                    <w:autoSpaceDN w:val="0"/>
                    <w:adjustRightInd w:val="0"/>
                    <w:snapToGrid w:val="0"/>
                    <w:jc w:val="left"/>
                  </w:pPr>
                  <w:r>
                    <w:rPr>
                      <w:rFonts w:hint="eastAsia"/>
                    </w:rPr>
                    <w:t>3.加强对区内企业的风险管理，定期对已建企业进行风险排查，对在建企业进行监督和指导。</w:t>
                  </w:r>
                </w:p>
              </w:tc>
              <w:tc>
                <w:tcPr>
                  <w:tcW w:w="1165" w:type="pct"/>
                  <w:vAlign w:val="center"/>
                </w:tcPr>
                <w:p w14:paraId="677BAEB4">
                  <w:pPr>
                    <w:jc w:val="center"/>
                    <w:rPr>
                      <w:rFonts w:ascii="宋体" w:hAnsi="宋体" w:cs="宋体"/>
                      <w:snapToGrid w:val="0"/>
                      <w:spacing w:val="-2"/>
                      <w:kern w:val="0"/>
                      <w:szCs w:val="21"/>
                    </w:rPr>
                  </w:pPr>
                  <w:r>
                    <w:rPr>
                      <w:rFonts w:hint="eastAsia"/>
                    </w:rPr>
                    <w:t>项目建成后，建设单位</w:t>
                  </w:r>
                  <w:r>
                    <w:rPr>
                      <w:rFonts w:ascii="宋体" w:hAnsi="宋体" w:cs="宋体"/>
                      <w:snapToGrid w:val="0"/>
                      <w:kern w:val="0"/>
                      <w:szCs w:val="21"/>
                    </w:rPr>
                    <w:t>定期开展应急演练，防止发</w:t>
                  </w:r>
                  <w:r>
                    <w:rPr>
                      <w:rFonts w:ascii="宋体" w:hAnsi="宋体" w:cs="宋体"/>
                      <w:snapToGrid w:val="0"/>
                      <w:spacing w:val="-7"/>
                      <w:kern w:val="0"/>
                      <w:szCs w:val="21"/>
                    </w:rPr>
                    <w:t>生意</w:t>
                  </w:r>
                  <w:r>
                    <w:rPr>
                      <w:rFonts w:ascii="宋体" w:hAnsi="宋体" w:cs="宋体"/>
                      <w:snapToGrid w:val="0"/>
                      <w:spacing w:val="-2"/>
                      <w:kern w:val="0"/>
                      <w:szCs w:val="21"/>
                    </w:rPr>
                    <w:t>外事故</w:t>
                  </w:r>
                  <w:r>
                    <w:rPr>
                      <w:rFonts w:hint="eastAsia" w:ascii="宋体" w:hAnsi="宋体" w:cs="宋体"/>
                      <w:snapToGrid w:val="0"/>
                      <w:spacing w:val="-2"/>
                      <w:kern w:val="0"/>
                      <w:szCs w:val="21"/>
                    </w:rPr>
                    <w:t>；</w:t>
                  </w:r>
                  <w:r>
                    <w:rPr>
                      <w:rFonts w:hint="eastAsia"/>
                    </w:rPr>
                    <w:t>本项目运营后根据主管部门要求，严格执行重污染天气应急措施。</w:t>
                  </w:r>
                </w:p>
              </w:tc>
              <w:tc>
                <w:tcPr>
                  <w:tcW w:w="311" w:type="pct"/>
                  <w:vAlign w:val="center"/>
                </w:tcPr>
                <w:p w14:paraId="0007E98D">
                  <w:pPr>
                    <w:jc w:val="center"/>
                    <w:rPr>
                      <w:szCs w:val="21"/>
                    </w:rPr>
                  </w:pPr>
                  <w:r>
                    <w:rPr>
                      <w:rFonts w:hint="eastAsia"/>
                      <w:szCs w:val="21"/>
                    </w:rPr>
                    <w:t>符合</w:t>
                  </w:r>
                </w:p>
              </w:tc>
            </w:tr>
            <w:tr w14:paraId="322068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364" w:type="pct"/>
                  <w:vMerge w:val="continue"/>
                  <w:vAlign w:val="center"/>
                </w:tcPr>
                <w:p w14:paraId="121BA4F0">
                  <w:pPr>
                    <w:jc w:val="center"/>
                    <w:rPr>
                      <w:szCs w:val="21"/>
                      <w:lang w:bidi="ar"/>
                    </w:rPr>
                  </w:pPr>
                </w:p>
              </w:tc>
              <w:tc>
                <w:tcPr>
                  <w:tcW w:w="364" w:type="pct"/>
                  <w:vMerge w:val="continue"/>
                  <w:vAlign w:val="center"/>
                </w:tcPr>
                <w:p w14:paraId="1F43F75A">
                  <w:pPr>
                    <w:jc w:val="center"/>
                    <w:rPr>
                      <w:szCs w:val="21"/>
                      <w:lang w:bidi="ar"/>
                    </w:rPr>
                  </w:pPr>
                </w:p>
              </w:tc>
              <w:tc>
                <w:tcPr>
                  <w:tcW w:w="365" w:type="pct"/>
                  <w:vAlign w:val="center"/>
                </w:tcPr>
                <w:p w14:paraId="12B10397">
                  <w:pPr>
                    <w:jc w:val="center"/>
                    <w:rPr>
                      <w:szCs w:val="21"/>
                    </w:rPr>
                  </w:pPr>
                  <w:r>
                    <w:rPr>
                      <w:szCs w:val="21"/>
                    </w:rPr>
                    <w:t>资源开发效率要求</w:t>
                  </w:r>
                </w:p>
              </w:tc>
              <w:tc>
                <w:tcPr>
                  <w:tcW w:w="2431" w:type="pct"/>
                  <w:vAlign w:val="center"/>
                </w:tcPr>
                <w:p w14:paraId="668D58EE">
                  <w:pPr>
                    <w:jc w:val="left"/>
                  </w:pPr>
                  <w:r>
                    <w:rPr>
                      <w:rFonts w:hint="eastAsia"/>
                    </w:rPr>
                    <w:t xml:space="preserve">1.强化用水总量控制、用水效率控制、水功能区限制纳污“三条红线”管理制度，实行水资源消耗总量和强度双控；加强区域水资源利用管理。降低单位工业增加值新鲜水耗，提高工业用水重复利用率。 </w:t>
                  </w:r>
                </w:p>
                <w:p w14:paraId="443A85B8">
                  <w:pPr>
                    <w:jc w:val="left"/>
                    <w:rPr>
                      <w:szCs w:val="21"/>
                    </w:rPr>
                  </w:pPr>
                  <w:r>
                    <w:rPr>
                      <w:rFonts w:hint="eastAsia"/>
                    </w:rPr>
                    <w:t>2.新建高耗能项目能耗要达到相关要求。产生大气污染物的工业企业应持续开展节能减排，持续降低单位GDP能耗及煤耗水平；推广使用清洁能源的车辆；因地制宜推进冬季清洁取暖。</w:t>
                  </w:r>
                </w:p>
              </w:tc>
              <w:tc>
                <w:tcPr>
                  <w:tcW w:w="1165" w:type="pct"/>
                  <w:vAlign w:val="center"/>
                </w:tcPr>
                <w:p w14:paraId="699BD754">
                  <w:pPr>
                    <w:jc w:val="center"/>
                    <w:rPr>
                      <w:szCs w:val="21"/>
                    </w:rPr>
                  </w:pPr>
                  <w:r>
                    <w:rPr>
                      <w:rFonts w:hint="eastAsia"/>
                    </w:rPr>
                    <w:t>本项目用水来自梁山经济开发区供水管网；生产过程中固化工序采用电加热，办公使用空调取暖。</w:t>
                  </w:r>
                </w:p>
              </w:tc>
              <w:tc>
                <w:tcPr>
                  <w:tcW w:w="311" w:type="pct"/>
                  <w:vAlign w:val="center"/>
                </w:tcPr>
                <w:p w14:paraId="17D3053E">
                  <w:pPr>
                    <w:jc w:val="center"/>
                    <w:rPr>
                      <w:szCs w:val="21"/>
                    </w:rPr>
                  </w:pPr>
                  <w:r>
                    <w:rPr>
                      <w:rFonts w:hint="eastAsia"/>
                      <w:szCs w:val="21"/>
                    </w:rPr>
                    <w:t>符合</w:t>
                  </w:r>
                </w:p>
              </w:tc>
            </w:tr>
          </w:tbl>
          <w:p w14:paraId="2446890D">
            <w:pPr>
              <w:spacing w:line="360" w:lineRule="auto"/>
              <w:ind w:firstLine="480" w:firstLineChars="200"/>
              <w:rPr>
                <w:sz w:val="24"/>
              </w:rPr>
            </w:pPr>
            <w:r>
              <w:rPr>
                <w:rFonts w:hint="eastAsia"/>
                <w:sz w:val="24"/>
              </w:rPr>
              <w:t>综上所述，本项目不在济宁市生态保护红线范围内，项目建设不触及环境质量底线和资源利用上线。因此，项目建设符合“三线一单”及分区管控方案要求。</w:t>
            </w:r>
          </w:p>
          <w:p w14:paraId="13C60323">
            <w:pPr>
              <w:keepNext/>
              <w:spacing w:line="360" w:lineRule="auto"/>
              <w:ind w:firstLine="482" w:firstLineChars="200"/>
              <w:outlineLvl w:val="2"/>
              <w:rPr>
                <w:rFonts w:eastAsia="新宋体"/>
                <w:b/>
                <w:sz w:val="24"/>
              </w:rPr>
            </w:pPr>
            <w:r>
              <w:rPr>
                <w:b/>
                <w:sz w:val="24"/>
              </w:rPr>
              <w:t>3、</w:t>
            </w:r>
            <w:r>
              <w:rPr>
                <w:rFonts w:eastAsia="新宋体"/>
                <w:b/>
                <w:sz w:val="24"/>
              </w:rPr>
              <w:t>与南水北调工程的关系分析</w:t>
            </w:r>
          </w:p>
          <w:p w14:paraId="37EB3F83">
            <w:pPr>
              <w:spacing w:line="360" w:lineRule="auto"/>
              <w:ind w:firstLine="480"/>
              <w:rPr>
                <w:sz w:val="24"/>
              </w:rPr>
            </w:pPr>
            <w:r>
              <w:rPr>
                <w:sz w:val="24"/>
              </w:rPr>
              <w:t>本项目区距离南水北调济宁段最近距离约6.14km，位于山东省南水北调沿线</w:t>
            </w:r>
            <w:r>
              <w:rPr>
                <w:rFonts w:hint="eastAsia"/>
                <w:sz w:val="24"/>
              </w:rPr>
              <w:t>重点</w:t>
            </w:r>
            <w:r>
              <w:rPr>
                <w:sz w:val="24"/>
              </w:rPr>
              <w:t>保护区域内，济宁市</w:t>
            </w:r>
            <w:r>
              <w:rPr>
                <w:rFonts w:hint="eastAsia"/>
                <w:sz w:val="24"/>
              </w:rPr>
              <w:t>梁山经济开发区</w:t>
            </w:r>
            <w:r>
              <w:rPr>
                <w:sz w:val="24"/>
              </w:rPr>
              <w:t>属于重点保护区域，因此本项目位于山东省南水北调沿线重点保护区域内。本项目</w:t>
            </w:r>
            <w:r>
              <w:rPr>
                <w:rFonts w:hint="eastAsia"/>
                <w:sz w:val="24"/>
              </w:rPr>
              <w:t>无生产废水产生，</w:t>
            </w:r>
            <w:r>
              <w:rPr>
                <w:sz w:val="24"/>
              </w:rPr>
              <w:t>生活污水经化粪池处理后委托环卫部门定期清运</w:t>
            </w:r>
            <w:r>
              <w:rPr>
                <w:rFonts w:hint="eastAsia"/>
                <w:sz w:val="24"/>
              </w:rPr>
              <w:t>，不外排。</w:t>
            </w:r>
            <w:r>
              <w:rPr>
                <w:sz w:val="24"/>
              </w:rPr>
              <w:t>因此，拟建项目对南水北调工程影响很小。南水北调东线工程线路图见附图4</w:t>
            </w:r>
            <w:r>
              <w:rPr>
                <w:rFonts w:hint="eastAsia"/>
                <w:sz w:val="24"/>
              </w:rPr>
              <w:t>。</w:t>
            </w:r>
          </w:p>
          <w:p w14:paraId="014D38FC">
            <w:pPr>
              <w:spacing w:line="360" w:lineRule="auto"/>
              <w:ind w:firstLine="480"/>
              <w:rPr>
                <w:rFonts w:eastAsia="新宋体"/>
                <w:sz w:val="24"/>
              </w:rPr>
            </w:pPr>
            <w:r>
              <w:rPr>
                <w:b/>
                <w:sz w:val="24"/>
              </w:rPr>
              <w:t>4</w:t>
            </w:r>
            <w:r>
              <w:rPr>
                <w:b/>
                <w:sz w:val="24"/>
                <w:lang w:val="zh-CN"/>
              </w:rPr>
              <w:t>、</w:t>
            </w:r>
            <w:r>
              <w:rPr>
                <w:b/>
                <w:sz w:val="24"/>
              </w:rPr>
              <w:t>与《&lt;山东省深入打好蓝天保卫战行动计划（2021-2025年）、山东省深入打好碧水保卫战行动计划（2021-2025年）、山东省深入打好净土保卫战行动计划（2021-2025年）&gt;的通知》（鲁环委办[2021]30号）的符合性分析</w:t>
            </w:r>
          </w:p>
          <w:p w14:paraId="3705AFB5">
            <w:pPr>
              <w:spacing w:line="360" w:lineRule="auto"/>
              <w:jc w:val="center"/>
              <w:rPr>
                <w:b/>
                <w:sz w:val="24"/>
              </w:rPr>
            </w:pPr>
            <w:r>
              <w:rPr>
                <w:b/>
                <w:kern w:val="0"/>
                <w:sz w:val="24"/>
              </w:rPr>
              <w:t xml:space="preserve">表5 </w:t>
            </w:r>
            <w:r>
              <w:rPr>
                <w:b/>
                <w:sz w:val="24"/>
              </w:rPr>
              <w:t>项目与鲁环委办[2021]30号的符合性分析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4199"/>
              <w:gridCol w:w="2122"/>
              <w:gridCol w:w="938"/>
            </w:tblGrid>
            <w:tr w14:paraId="52D1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5" w:type="pct"/>
                  <w:vAlign w:val="center"/>
                </w:tcPr>
                <w:p w14:paraId="773DE3FB">
                  <w:pPr>
                    <w:adjustRightInd w:val="0"/>
                    <w:snapToGrid w:val="0"/>
                    <w:jc w:val="center"/>
                    <w:rPr>
                      <w:snapToGrid w:val="0"/>
                      <w:kern w:val="0"/>
                      <w:szCs w:val="21"/>
                    </w:rPr>
                  </w:pPr>
                  <w:r>
                    <w:rPr>
                      <w:snapToGrid w:val="0"/>
                      <w:kern w:val="0"/>
                      <w:szCs w:val="21"/>
                    </w:rPr>
                    <w:t>文件</w:t>
                  </w:r>
                </w:p>
              </w:tc>
              <w:tc>
                <w:tcPr>
                  <w:tcW w:w="2548" w:type="pct"/>
                  <w:vAlign w:val="center"/>
                </w:tcPr>
                <w:p w14:paraId="2D1A3BBF">
                  <w:pPr>
                    <w:adjustRightInd w:val="0"/>
                    <w:snapToGrid w:val="0"/>
                    <w:jc w:val="center"/>
                    <w:rPr>
                      <w:snapToGrid w:val="0"/>
                      <w:kern w:val="0"/>
                      <w:szCs w:val="21"/>
                    </w:rPr>
                  </w:pPr>
                  <w:r>
                    <w:rPr>
                      <w:snapToGrid w:val="0"/>
                      <w:kern w:val="0"/>
                      <w:szCs w:val="21"/>
                    </w:rPr>
                    <w:t>要  求</w:t>
                  </w:r>
                </w:p>
              </w:tc>
              <w:tc>
                <w:tcPr>
                  <w:tcW w:w="1288" w:type="pct"/>
                  <w:vAlign w:val="center"/>
                </w:tcPr>
                <w:p w14:paraId="32CDD5F6">
                  <w:pPr>
                    <w:jc w:val="center"/>
                    <w:rPr>
                      <w:kern w:val="0"/>
                      <w:szCs w:val="21"/>
                    </w:rPr>
                  </w:pPr>
                  <w:r>
                    <w:rPr>
                      <w:rFonts w:hint="eastAsia"/>
                      <w:kern w:val="0"/>
                      <w:szCs w:val="21"/>
                    </w:rPr>
                    <w:t>本</w:t>
                  </w:r>
                  <w:r>
                    <w:rPr>
                      <w:kern w:val="0"/>
                      <w:szCs w:val="21"/>
                    </w:rPr>
                    <w:t>项目</w:t>
                  </w:r>
                  <w:r>
                    <w:rPr>
                      <w:rFonts w:hint="eastAsia"/>
                      <w:kern w:val="0"/>
                      <w:szCs w:val="21"/>
                    </w:rPr>
                    <w:t>情况</w:t>
                  </w:r>
                </w:p>
              </w:tc>
              <w:tc>
                <w:tcPr>
                  <w:tcW w:w="570" w:type="pct"/>
                  <w:vAlign w:val="center"/>
                </w:tcPr>
                <w:p w14:paraId="514FC996">
                  <w:pPr>
                    <w:jc w:val="center"/>
                    <w:rPr>
                      <w:kern w:val="0"/>
                      <w:szCs w:val="21"/>
                    </w:rPr>
                  </w:pPr>
                  <w:r>
                    <w:rPr>
                      <w:kern w:val="0"/>
                      <w:szCs w:val="21"/>
                    </w:rPr>
                    <w:t>符合性</w:t>
                  </w:r>
                </w:p>
              </w:tc>
            </w:tr>
            <w:tr w14:paraId="19A63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jc w:val="center"/>
              </w:trPr>
              <w:tc>
                <w:tcPr>
                  <w:tcW w:w="595" w:type="pct"/>
                  <w:vMerge w:val="restart"/>
                  <w:vAlign w:val="center"/>
                </w:tcPr>
                <w:p w14:paraId="552877FF">
                  <w:pPr>
                    <w:adjustRightInd w:val="0"/>
                    <w:snapToGrid w:val="0"/>
                    <w:jc w:val="center"/>
                    <w:rPr>
                      <w:snapToGrid w:val="0"/>
                      <w:kern w:val="0"/>
                      <w:szCs w:val="21"/>
                    </w:rPr>
                  </w:pPr>
                  <w:r>
                    <w:rPr>
                      <w:snapToGrid w:val="0"/>
                      <w:kern w:val="0"/>
                      <w:szCs w:val="21"/>
                    </w:rPr>
                    <w:t>碧水保卫战行动计划</w:t>
                  </w:r>
                </w:p>
              </w:tc>
              <w:tc>
                <w:tcPr>
                  <w:tcW w:w="2548" w:type="pct"/>
                  <w:vAlign w:val="center"/>
                </w:tcPr>
                <w:p w14:paraId="1ABC19BD">
                  <w:pPr>
                    <w:adjustRightInd w:val="0"/>
                    <w:snapToGrid w:val="0"/>
                    <w:rPr>
                      <w:snapToGrid w:val="0"/>
                      <w:kern w:val="0"/>
                      <w:szCs w:val="21"/>
                    </w:rPr>
                  </w:pPr>
                  <w:r>
                    <w:rPr>
                      <w:snapToGrid w:val="0"/>
                      <w:kern w:val="0"/>
                      <w:szCs w:val="21"/>
                    </w:rPr>
                    <w:t>继续推进化工、有色金属、农副食品加工、印染、制革、原料药制造、电镀、冶金等行业退城入园，提高工业园区集聚水平。指导工业园区对污水实施科学收集、分类处理，梯级循环利用工业废水。逐步推进园区纳管企业废水“一企一管、明管输送、实时监控，统一调度”，第一时间锁定园区集中污水处理设施超标来水源头，及时有效处理处置。大力推进生态工业园区建设，对获得国家和省级命名的生态工业园区给予政策支持。鼓励有条件的园区引进“环保管家”服务，提供定制化、全产业链的第三方环保服务，实现园区污水精细化、专业化管理</w:t>
                  </w:r>
                </w:p>
              </w:tc>
              <w:tc>
                <w:tcPr>
                  <w:tcW w:w="1288" w:type="pct"/>
                  <w:vAlign w:val="center"/>
                </w:tcPr>
                <w:p w14:paraId="3F548235">
                  <w:pPr>
                    <w:adjustRightInd w:val="0"/>
                    <w:snapToGrid w:val="0"/>
                    <w:jc w:val="center"/>
                    <w:rPr>
                      <w:snapToGrid w:val="0"/>
                      <w:kern w:val="0"/>
                      <w:szCs w:val="21"/>
                    </w:rPr>
                  </w:pPr>
                  <w:r>
                    <w:rPr>
                      <w:rFonts w:hint="eastAsia"/>
                      <w:kern w:val="0"/>
                      <w:szCs w:val="21"/>
                    </w:rPr>
                    <w:t>本</w:t>
                  </w:r>
                  <w:r>
                    <w:rPr>
                      <w:kern w:val="0"/>
                      <w:szCs w:val="21"/>
                    </w:rPr>
                    <w:t>项目位于</w:t>
                  </w:r>
                  <w:r>
                    <w:rPr>
                      <w:rFonts w:hint="eastAsia"/>
                      <w:kern w:val="0"/>
                      <w:szCs w:val="21"/>
                    </w:rPr>
                    <w:t>山东省济宁市梁山经济开发区三利路南、东王村北180m处</w:t>
                  </w:r>
                  <w:r>
                    <w:rPr>
                      <w:kern w:val="0"/>
                      <w:szCs w:val="21"/>
                    </w:rPr>
                    <w:t>，无生产废水产生</w:t>
                  </w:r>
                  <w:r>
                    <w:rPr>
                      <w:rFonts w:hint="eastAsia"/>
                      <w:kern w:val="0"/>
                      <w:szCs w:val="21"/>
                    </w:rPr>
                    <w:t>，</w:t>
                  </w:r>
                  <w:r>
                    <w:rPr>
                      <w:bCs/>
                      <w:kern w:val="0"/>
                      <w:szCs w:val="21"/>
                    </w:rPr>
                    <w:t>生活污水</w:t>
                  </w:r>
                  <w:r>
                    <w:rPr>
                      <w:rFonts w:hint="eastAsia"/>
                      <w:bCs/>
                      <w:kern w:val="0"/>
                      <w:szCs w:val="21"/>
                    </w:rPr>
                    <w:t>经</w:t>
                  </w:r>
                  <w:r>
                    <w:rPr>
                      <w:bCs/>
                      <w:kern w:val="0"/>
                      <w:szCs w:val="21"/>
                    </w:rPr>
                    <w:t>化粪池处理后委托环卫部门清运处理</w:t>
                  </w:r>
                  <w:r>
                    <w:rPr>
                      <w:rFonts w:hint="eastAsia"/>
                      <w:bCs/>
                      <w:kern w:val="0"/>
                      <w:szCs w:val="21"/>
                    </w:rPr>
                    <w:t>，不外排</w:t>
                  </w:r>
                </w:p>
              </w:tc>
              <w:tc>
                <w:tcPr>
                  <w:tcW w:w="570" w:type="pct"/>
                  <w:vAlign w:val="center"/>
                </w:tcPr>
                <w:p w14:paraId="45BCABF1">
                  <w:pPr>
                    <w:adjustRightInd w:val="0"/>
                    <w:snapToGrid w:val="0"/>
                    <w:jc w:val="center"/>
                    <w:rPr>
                      <w:snapToGrid w:val="0"/>
                      <w:kern w:val="0"/>
                      <w:szCs w:val="21"/>
                    </w:rPr>
                  </w:pPr>
                  <w:r>
                    <w:rPr>
                      <w:snapToGrid w:val="0"/>
                      <w:kern w:val="0"/>
                      <w:szCs w:val="21"/>
                    </w:rPr>
                    <w:t>符合</w:t>
                  </w:r>
                </w:p>
              </w:tc>
            </w:tr>
            <w:tr w14:paraId="1AD23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5" w:type="pct"/>
                  <w:vMerge w:val="continue"/>
                  <w:vAlign w:val="center"/>
                </w:tcPr>
                <w:p w14:paraId="7E8828B3">
                  <w:pPr>
                    <w:adjustRightInd w:val="0"/>
                    <w:snapToGrid w:val="0"/>
                    <w:jc w:val="center"/>
                    <w:rPr>
                      <w:snapToGrid w:val="0"/>
                      <w:kern w:val="0"/>
                      <w:szCs w:val="21"/>
                    </w:rPr>
                  </w:pPr>
                </w:p>
              </w:tc>
              <w:tc>
                <w:tcPr>
                  <w:tcW w:w="2548" w:type="pct"/>
                  <w:vAlign w:val="center"/>
                </w:tcPr>
                <w:p w14:paraId="3441E4D8">
                  <w:pPr>
                    <w:adjustRightInd w:val="0"/>
                    <w:snapToGrid w:val="0"/>
                    <w:rPr>
                      <w:snapToGrid w:val="0"/>
                      <w:kern w:val="0"/>
                      <w:szCs w:val="21"/>
                    </w:rPr>
                  </w:pPr>
                  <w:r>
                    <w:rPr>
                      <w:snapToGrid w:val="0"/>
                      <w:kern w:val="0"/>
                      <w:szCs w:val="21"/>
                    </w:rPr>
                    <w:t>加强国控地下水考核点位水质达标提升，2022年年底前，摸清点位周边地下水环境状况并排查污染成因。对人为污染导致未达到水质目标要求的，或地下水质量为Ⅴ类的，市政府应逐一制定实施地下水质量达标（保持或改善）方案。（省生态环境厅、省自然资源厅按职责分工负责）</w:t>
                  </w:r>
                </w:p>
              </w:tc>
              <w:tc>
                <w:tcPr>
                  <w:tcW w:w="1288" w:type="pct"/>
                  <w:vAlign w:val="center"/>
                </w:tcPr>
                <w:p w14:paraId="55692E1F">
                  <w:pPr>
                    <w:adjustRightInd w:val="0"/>
                    <w:snapToGrid w:val="0"/>
                    <w:jc w:val="center"/>
                  </w:pPr>
                  <w:r>
                    <w:rPr>
                      <w:kern w:val="0"/>
                      <w:szCs w:val="21"/>
                    </w:rPr>
                    <w:t>本项目无生产废水产生</w:t>
                  </w:r>
                  <w:r>
                    <w:rPr>
                      <w:rFonts w:hint="eastAsia"/>
                      <w:kern w:val="0"/>
                      <w:szCs w:val="21"/>
                    </w:rPr>
                    <w:t>；</w:t>
                  </w:r>
                  <w:r>
                    <w:rPr>
                      <w:bCs/>
                      <w:kern w:val="0"/>
                      <w:szCs w:val="21"/>
                    </w:rPr>
                    <w:t>生活污水</w:t>
                  </w:r>
                  <w:r>
                    <w:rPr>
                      <w:rFonts w:hint="eastAsia"/>
                      <w:bCs/>
                      <w:kern w:val="0"/>
                      <w:szCs w:val="21"/>
                    </w:rPr>
                    <w:t>经</w:t>
                  </w:r>
                  <w:r>
                    <w:rPr>
                      <w:bCs/>
                      <w:kern w:val="0"/>
                      <w:szCs w:val="21"/>
                    </w:rPr>
                    <w:t>化粪池处理后委托环卫部门清运处理</w:t>
                  </w:r>
                  <w:r>
                    <w:rPr>
                      <w:rFonts w:hint="eastAsia"/>
                      <w:bCs/>
                      <w:kern w:val="0"/>
                      <w:szCs w:val="21"/>
                    </w:rPr>
                    <w:t>，不外排</w:t>
                  </w:r>
                </w:p>
              </w:tc>
              <w:tc>
                <w:tcPr>
                  <w:tcW w:w="570" w:type="pct"/>
                  <w:vAlign w:val="center"/>
                </w:tcPr>
                <w:p w14:paraId="5D3BA043">
                  <w:pPr>
                    <w:adjustRightInd w:val="0"/>
                    <w:snapToGrid w:val="0"/>
                    <w:jc w:val="center"/>
                    <w:rPr>
                      <w:snapToGrid w:val="0"/>
                      <w:kern w:val="0"/>
                      <w:szCs w:val="21"/>
                    </w:rPr>
                  </w:pPr>
                  <w:r>
                    <w:rPr>
                      <w:kern w:val="0"/>
                      <w:szCs w:val="21"/>
                    </w:rPr>
                    <w:t>符 合</w:t>
                  </w:r>
                </w:p>
              </w:tc>
            </w:tr>
            <w:tr w14:paraId="4B975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5" w:type="pct"/>
                  <w:vMerge w:val="restart"/>
                  <w:vAlign w:val="center"/>
                </w:tcPr>
                <w:p w14:paraId="4146ED67">
                  <w:pPr>
                    <w:adjustRightInd w:val="0"/>
                    <w:snapToGrid w:val="0"/>
                    <w:jc w:val="center"/>
                    <w:rPr>
                      <w:snapToGrid w:val="0"/>
                      <w:kern w:val="0"/>
                      <w:szCs w:val="21"/>
                    </w:rPr>
                  </w:pPr>
                  <w:r>
                    <w:rPr>
                      <w:snapToGrid w:val="0"/>
                      <w:kern w:val="0"/>
                      <w:szCs w:val="21"/>
                    </w:rPr>
                    <w:t>净土保卫战行动计划</w:t>
                  </w:r>
                </w:p>
              </w:tc>
              <w:tc>
                <w:tcPr>
                  <w:tcW w:w="2548" w:type="pct"/>
                  <w:vAlign w:val="center"/>
                </w:tcPr>
                <w:p w14:paraId="7B9114AF">
                  <w:pPr>
                    <w:adjustRightInd w:val="0"/>
                    <w:snapToGrid w:val="0"/>
                    <w:rPr>
                      <w:snapToGrid w:val="0"/>
                      <w:kern w:val="0"/>
                      <w:szCs w:val="21"/>
                    </w:rPr>
                  </w:pPr>
                  <w:r>
                    <w:rPr>
                      <w:snapToGrid w:val="0"/>
                      <w:kern w:val="0"/>
                      <w:szCs w:val="21"/>
                    </w:rPr>
                    <w:t>基于耕地土壤环境质量类别划分成果，2021年启动组织对高风险区域和农产品污染物含量超标等重点区域耕地进行深入调查和重点监测</w:t>
                  </w:r>
                </w:p>
              </w:tc>
              <w:tc>
                <w:tcPr>
                  <w:tcW w:w="1288" w:type="pct"/>
                  <w:vAlign w:val="center"/>
                </w:tcPr>
                <w:p w14:paraId="75435B29">
                  <w:pPr>
                    <w:adjustRightInd w:val="0"/>
                    <w:snapToGrid w:val="0"/>
                    <w:jc w:val="center"/>
                    <w:rPr>
                      <w:snapToGrid w:val="0"/>
                      <w:kern w:val="0"/>
                      <w:szCs w:val="21"/>
                    </w:rPr>
                  </w:pPr>
                  <w:bookmarkStart w:id="62" w:name="OLE_LINK66"/>
                  <w:bookmarkStart w:id="63" w:name="OLE_LINK65"/>
                  <w:r>
                    <w:rPr>
                      <w:rFonts w:hint="eastAsia"/>
                      <w:snapToGrid w:val="0"/>
                      <w:kern w:val="0"/>
                      <w:szCs w:val="21"/>
                    </w:rPr>
                    <w:t>本</w:t>
                  </w:r>
                  <w:bookmarkEnd w:id="62"/>
                  <w:bookmarkEnd w:id="63"/>
                  <w:r>
                    <w:rPr>
                      <w:snapToGrid w:val="0"/>
                      <w:kern w:val="0"/>
                      <w:szCs w:val="21"/>
                    </w:rPr>
                    <w:t>项目不属于高风险区域</w:t>
                  </w:r>
                </w:p>
              </w:tc>
              <w:tc>
                <w:tcPr>
                  <w:tcW w:w="570" w:type="pct"/>
                  <w:vAlign w:val="center"/>
                </w:tcPr>
                <w:p w14:paraId="5F7AD771">
                  <w:pPr>
                    <w:adjustRightInd w:val="0"/>
                    <w:snapToGrid w:val="0"/>
                    <w:jc w:val="center"/>
                    <w:rPr>
                      <w:snapToGrid w:val="0"/>
                      <w:kern w:val="0"/>
                      <w:szCs w:val="21"/>
                    </w:rPr>
                  </w:pPr>
                  <w:r>
                    <w:rPr>
                      <w:kern w:val="0"/>
                      <w:szCs w:val="21"/>
                    </w:rPr>
                    <w:t>符 合</w:t>
                  </w:r>
                </w:p>
              </w:tc>
            </w:tr>
            <w:tr w14:paraId="30EE9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5" w:type="pct"/>
                  <w:vMerge w:val="continue"/>
                  <w:vAlign w:val="center"/>
                </w:tcPr>
                <w:p w14:paraId="641A5CA0">
                  <w:pPr>
                    <w:adjustRightInd w:val="0"/>
                    <w:snapToGrid w:val="0"/>
                    <w:jc w:val="center"/>
                    <w:rPr>
                      <w:snapToGrid w:val="0"/>
                      <w:kern w:val="0"/>
                      <w:szCs w:val="21"/>
                    </w:rPr>
                  </w:pPr>
                </w:p>
              </w:tc>
              <w:tc>
                <w:tcPr>
                  <w:tcW w:w="2548" w:type="pct"/>
                  <w:vAlign w:val="center"/>
                </w:tcPr>
                <w:p w14:paraId="6D6B8184">
                  <w:pPr>
                    <w:adjustRightInd w:val="0"/>
                    <w:snapToGrid w:val="0"/>
                    <w:rPr>
                      <w:snapToGrid w:val="0"/>
                      <w:kern w:val="0"/>
                      <w:szCs w:val="21"/>
                    </w:rPr>
                  </w:pPr>
                  <w:r>
                    <w:rPr>
                      <w:bCs/>
                      <w:snapToGrid w:val="0"/>
                      <w:kern w:val="0"/>
                      <w:szCs w:val="21"/>
                    </w:rPr>
                    <w:t>总结威海市试点经验，选择1—3个试点城市深入开展“无废城市”建设。</w:t>
                  </w:r>
                  <w:r>
                    <w:rPr>
                      <w:snapToGrid w:val="0"/>
                      <w:kern w:val="0"/>
                      <w:szCs w:val="21"/>
                    </w:rPr>
                    <w:t>以</w:t>
                  </w:r>
                  <w:r>
                    <w:rPr>
                      <w:bCs/>
                      <w:snapToGrid w:val="0"/>
                      <w:kern w:val="0"/>
                      <w:szCs w:val="21"/>
                    </w:rPr>
                    <w:t>赤泥、尾矿和共伴生矿、煤矸石、粉煤灰、建筑垃圾等为重点</w:t>
                  </w:r>
                  <w:r>
                    <w:rPr>
                      <w:snapToGrid w:val="0"/>
                      <w:kern w:val="0"/>
                      <w:szCs w:val="21"/>
                    </w:rPr>
                    <w:t>，推动大宗工业固体废物贮存处置总量趋零增长。推动赤泥在生产透水砖、砂石等方面的综合利用。</w:t>
                  </w:r>
                  <w:r>
                    <w:rPr>
                      <w:bCs/>
                      <w:snapToGrid w:val="0"/>
                      <w:kern w:val="0"/>
                      <w:szCs w:val="21"/>
                    </w:rPr>
                    <w:t>加快黄金冶炼尾渣综合处理技术研发进程，以烟台等市为重点加强推广应用</w:t>
                  </w:r>
                  <w:r>
                    <w:rPr>
                      <w:snapToGrid w:val="0"/>
                      <w:kern w:val="0"/>
                      <w:szCs w:val="21"/>
                    </w:rPr>
                    <w:t>。开展非正规固体废物堆存场所排查整治。构建集污水、垃圾、固废、危废、医废处理处置设施和监测监管能力于一体的环境基础设施体系，形成由城市向建制镇和乡村延伸覆盖的环境基础设施网络。</w:t>
                  </w:r>
                  <w:r>
                    <w:rPr>
                      <w:bCs/>
                      <w:snapToGrid w:val="0"/>
                      <w:kern w:val="0"/>
                      <w:szCs w:val="21"/>
                    </w:rPr>
                    <w:t>到2025年，试点城市建立起“无废城市”建设综合管理制度和监管体系</w:t>
                  </w:r>
                </w:p>
              </w:tc>
              <w:tc>
                <w:tcPr>
                  <w:tcW w:w="1288" w:type="pct"/>
                  <w:vAlign w:val="center"/>
                </w:tcPr>
                <w:p w14:paraId="11CC38F5">
                  <w:pPr>
                    <w:adjustRightInd w:val="0"/>
                    <w:snapToGrid w:val="0"/>
                    <w:jc w:val="center"/>
                    <w:rPr>
                      <w:snapToGrid w:val="0"/>
                      <w:kern w:val="0"/>
                      <w:szCs w:val="21"/>
                    </w:rPr>
                  </w:pPr>
                  <w:r>
                    <w:rPr>
                      <w:rFonts w:hint="eastAsia"/>
                      <w:snapToGrid w:val="0"/>
                      <w:kern w:val="0"/>
                      <w:szCs w:val="21"/>
                    </w:rPr>
                    <w:t>本</w:t>
                  </w:r>
                  <w:r>
                    <w:rPr>
                      <w:snapToGrid w:val="0"/>
                      <w:kern w:val="0"/>
                      <w:szCs w:val="21"/>
                    </w:rPr>
                    <w:t>项目不涉及赤泥、尾矿和煤矸石等固废，本项目产生的固废均进行了妥善处理</w:t>
                  </w:r>
                </w:p>
              </w:tc>
              <w:tc>
                <w:tcPr>
                  <w:tcW w:w="570" w:type="pct"/>
                  <w:vAlign w:val="center"/>
                </w:tcPr>
                <w:p w14:paraId="49125DC3">
                  <w:pPr>
                    <w:adjustRightInd w:val="0"/>
                    <w:snapToGrid w:val="0"/>
                    <w:jc w:val="center"/>
                    <w:rPr>
                      <w:kern w:val="0"/>
                      <w:szCs w:val="21"/>
                    </w:rPr>
                  </w:pPr>
                  <w:r>
                    <w:rPr>
                      <w:kern w:val="0"/>
                      <w:szCs w:val="21"/>
                    </w:rPr>
                    <w:t>符合</w:t>
                  </w:r>
                </w:p>
              </w:tc>
            </w:tr>
            <w:tr w14:paraId="58B02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5" w:type="pct"/>
                  <w:vMerge w:val="restart"/>
                  <w:vAlign w:val="center"/>
                </w:tcPr>
                <w:p w14:paraId="47D01392">
                  <w:pPr>
                    <w:adjustRightInd w:val="0"/>
                    <w:snapToGrid w:val="0"/>
                    <w:jc w:val="center"/>
                    <w:rPr>
                      <w:snapToGrid w:val="0"/>
                      <w:kern w:val="0"/>
                      <w:szCs w:val="21"/>
                    </w:rPr>
                  </w:pPr>
                  <w:r>
                    <w:rPr>
                      <w:snapToGrid w:val="0"/>
                      <w:kern w:val="0"/>
                      <w:szCs w:val="21"/>
                    </w:rPr>
                    <w:t>蓝天保卫战行动计划</w:t>
                  </w:r>
                </w:p>
              </w:tc>
              <w:tc>
                <w:tcPr>
                  <w:tcW w:w="2548" w:type="pct"/>
                  <w:vAlign w:val="center"/>
                </w:tcPr>
                <w:p w14:paraId="611BDFC4">
                  <w:pPr>
                    <w:adjustRightInd w:val="0"/>
                    <w:snapToGrid w:val="0"/>
                    <w:rPr>
                      <w:snapToGrid w:val="0"/>
                      <w:kern w:val="0"/>
                      <w:szCs w:val="21"/>
                    </w:rPr>
                  </w:pPr>
                  <w:r>
                    <w:rPr>
                      <w:bCs/>
                      <w:snapToGrid w:val="0"/>
                      <w:kern w:val="0"/>
                      <w:szCs w:val="21"/>
                    </w:rPr>
                    <w:t>聚焦钢铁、地炼、焦化、煤电、水泥、轮胎、煤炭、化工8个重点行业，加快淘汰低效落后产能。严格执行质量、环保、能耗、安全等法规标准，按照《产业结构调整指导目录》，对“淘汰类”落后生产工艺装备和落后产品全部淘汰出清。各市聚焦“高耗能、高污染、高排放、高风险”等行业，分类组织实施转移、压减、整合、关停任务。到2025年，传输通道城市和胶济铁路沿线地区的钢铁产能应退尽退，沿海地区钢铁产能占比提升到70%以上；提高地炼行业的区域集中度和规模集约化程度，在布局新的大型炼化一体化项目基础上，将500万吨及以下未实现炼化一体化的地炼企业炼油产能分批分步进行整合转移；全省焦化企业户数压减到20家以内，单厂区焦化产能100万吨/年以下的全部退出；除特种水泥熟料和化工配套水泥熟料生产线外，2500吨/日以下的水泥熟料生产线全部整合退出</w:t>
                  </w:r>
                </w:p>
              </w:tc>
              <w:tc>
                <w:tcPr>
                  <w:tcW w:w="1288" w:type="pct"/>
                  <w:vAlign w:val="center"/>
                </w:tcPr>
                <w:p w14:paraId="42D9AABA">
                  <w:pPr>
                    <w:adjustRightInd w:val="0"/>
                    <w:snapToGrid w:val="0"/>
                    <w:jc w:val="center"/>
                    <w:rPr>
                      <w:snapToGrid w:val="0"/>
                      <w:kern w:val="0"/>
                      <w:szCs w:val="21"/>
                    </w:rPr>
                  </w:pPr>
                  <w:r>
                    <w:rPr>
                      <w:rFonts w:hint="eastAsia"/>
                      <w:snapToGrid w:val="0"/>
                      <w:kern w:val="0"/>
                      <w:szCs w:val="21"/>
                    </w:rPr>
                    <w:t>本</w:t>
                  </w:r>
                  <w:r>
                    <w:rPr>
                      <w:snapToGrid w:val="0"/>
                      <w:kern w:val="0"/>
                      <w:szCs w:val="21"/>
                    </w:rPr>
                    <w:t>项目不属于左列8个重点行业，不使用落后工艺设备</w:t>
                  </w:r>
                </w:p>
              </w:tc>
              <w:tc>
                <w:tcPr>
                  <w:tcW w:w="570" w:type="pct"/>
                  <w:vAlign w:val="center"/>
                </w:tcPr>
                <w:p w14:paraId="147B314E">
                  <w:pPr>
                    <w:adjustRightInd w:val="0"/>
                    <w:snapToGrid w:val="0"/>
                    <w:jc w:val="center"/>
                    <w:rPr>
                      <w:kern w:val="0"/>
                      <w:szCs w:val="21"/>
                    </w:rPr>
                  </w:pPr>
                  <w:r>
                    <w:rPr>
                      <w:kern w:val="0"/>
                      <w:szCs w:val="21"/>
                    </w:rPr>
                    <w:t>符合</w:t>
                  </w:r>
                </w:p>
              </w:tc>
            </w:tr>
            <w:tr w14:paraId="3D01C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5" w:type="pct"/>
                  <w:vMerge w:val="continue"/>
                  <w:vAlign w:val="center"/>
                </w:tcPr>
                <w:p w14:paraId="2733C396">
                  <w:pPr>
                    <w:adjustRightInd w:val="0"/>
                    <w:snapToGrid w:val="0"/>
                    <w:jc w:val="center"/>
                    <w:rPr>
                      <w:snapToGrid w:val="0"/>
                      <w:kern w:val="0"/>
                      <w:szCs w:val="21"/>
                    </w:rPr>
                  </w:pPr>
                </w:p>
              </w:tc>
              <w:tc>
                <w:tcPr>
                  <w:tcW w:w="2548" w:type="pct"/>
                  <w:vAlign w:val="center"/>
                </w:tcPr>
                <w:p w14:paraId="242BF0A0">
                  <w:pPr>
                    <w:adjustRightInd w:val="0"/>
                    <w:snapToGrid w:val="0"/>
                    <w:rPr>
                      <w:snapToGrid w:val="0"/>
                      <w:kern w:val="0"/>
                      <w:szCs w:val="21"/>
                    </w:rPr>
                  </w:pPr>
                  <w:r>
                    <w:rPr>
                      <w:bCs/>
                      <w:snapToGrid w:val="0"/>
                      <w:kern w:val="0"/>
                      <w:szCs w:val="21"/>
                    </w:rPr>
                    <w:t>持续压减煤炭消费总量，“十四五”期间，全省煤炭消费总量下降10%，控制在3.5亿吨左右</w:t>
                  </w:r>
                </w:p>
              </w:tc>
              <w:tc>
                <w:tcPr>
                  <w:tcW w:w="1288" w:type="pct"/>
                  <w:vAlign w:val="center"/>
                </w:tcPr>
                <w:p w14:paraId="7D5F48CF">
                  <w:pPr>
                    <w:adjustRightInd w:val="0"/>
                    <w:snapToGrid w:val="0"/>
                    <w:jc w:val="center"/>
                    <w:rPr>
                      <w:snapToGrid w:val="0"/>
                      <w:kern w:val="0"/>
                      <w:szCs w:val="21"/>
                    </w:rPr>
                  </w:pPr>
                  <w:r>
                    <w:rPr>
                      <w:rFonts w:hint="eastAsia"/>
                      <w:snapToGrid w:val="0"/>
                      <w:kern w:val="0"/>
                      <w:szCs w:val="21"/>
                    </w:rPr>
                    <w:t>本</w:t>
                  </w:r>
                  <w:r>
                    <w:rPr>
                      <w:snapToGrid w:val="0"/>
                      <w:kern w:val="0"/>
                      <w:szCs w:val="21"/>
                    </w:rPr>
                    <w:t>项目生产过程不涉及天然气、煤炭使用</w:t>
                  </w:r>
                </w:p>
              </w:tc>
              <w:tc>
                <w:tcPr>
                  <w:tcW w:w="570" w:type="pct"/>
                  <w:vAlign w:val="center"/>
                </w:tcPr>
                <w:p w14:paraId="004748F0">
                  <w:pPr>
                    <w:adjustRightInd w:val="0"/>
                    <w:snapToGrid w:val="0"/>
                    <w:jc w:val="center"/>
                    <w:rPr>
                      <w:kern w:val="0"/>
                      <w:szCs w:val="21"/>
                    </w:rPr>
                  </w:pPr>
                  <w:r>
                    <w:rPr>
                      <w:kern w:val="0"/>
                      <w:szCs w:val="21"/>
                    </w:rPr>
                    <w:t>符合</w:t>
                  </w:r>
                </w:p>
              </w:tc>
            </w:tr>
            <w:tr w14:paraId="69E52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5" w:type="pct"/>
                  <w:vMerge w:val="continue"/>
                  <w:vAlign w:val="center"/>
                </w:tcPr>
                <w:p w14:paraId="3235B49E">
                  <w:pPr>
                    <w:adjustRightInd w:val="0"/>
                    <w:snapToGrid w:val="0"/>
                    <w:jc w:val="center"/>
                    <w:rPr>
                      <w:snapToGrid w:val="0"/>
                      <w:kern w:val="0"/>
                      <w:szCs w:val="21"/>
                    </w:rPr>
                  </w:pPr>
                </w:p>
              </w:tc>
              <w:tc>
                <w:tcPr>
                  <w:tcW w:w="2548" w:type="pct"/>
                  <w:vAlign w:val="center"/>
                </w:tcPr>
                <w:p w14:paraId="339345E1">
                  <w:pPr>
                    <w:adjustRightInd w:val="0"/>
                    <w:snapToGrid w:val="0"/>
                    <w:rPr>
                      <w:bCs/>
                      <w:snapToGrid w:val="0"/>
                      <w:kern w:val="0"/>
                      <w:szCs w:val="21"/>
                    </w:rPr>
                  </w:pPr>
                  <w:r>
                    <w:rPr>
                      <w:bCs/>
                      <w:snapToGrid w:val="0"/>
                      <w:kern w:val="0"/>
                      <w:szCs w:val="21"/>
                    </w:rPr>
                    <w:t>实施低VOCs含量工业涂料、油墨、胶粘剂、清洗剂等原辅料使用替代。新、改、扩建工业涂装、包装印刷等含VOCs原辅材料使用的项目，原则上使用低（无）VOCs含量产品。2025年年底前，各市至少建立30个替代试点项目，全省溶剂型工业涂料、溶剂型油墨使用比例分别降低20、15个百分点，溶剂型胶粘剂使用量下降20%</w:t>
                  </w:r>
                </w:p>
              </w:tc>
              <w:tc>
                <w:tcPr>
                  <w:tcW w:w="1288" w:type="pct"/>
                  <w:vAlign w:val="center"/>
                </w:tcPr>
                <w:p w14:paraId="5EF75B30">
                  <w:pPr>
                    <w:adjustRightInd w:val="0"/>
                    <w:snapToGrid w:val="0"/>
                    <w:jc w:val="center"/>
                    <w:rPr>
                      <w:snapToGrid w:val="0"/>
                      <w:kern w:val="0"/>
                      <w:szCs w:val="21"/>
                    </w:rPr>
                  </w:pPr>
                  <w:r>
                    <w:rPr>
                      <w:rFonts w:hint="eastAsia"/>
                      <w:snapToGrid w:val="0"/>
                      <w:kern w:val="0"/>
                      <w:szCs w:val="21"/>
                    </w:rPr>
                    <w:t>本项目喷塑工序使用低</w:t>
                  </w:r>
                  <w:r>
                    <w:rPr>
                      <w:snapToGrid w:val="0"/>
                      <w:kern w:val="0"/>
                      <w:szCs w:val="21"/>
                    </w:rPr>
                    <w:t>VOCs含量</w:t>
                  </w:r>
                  <w:r>
                    <w:rPr>
                      <w:rFonts w:hint="eastAsia"/>
                      <w:snapToGrid w:val="0"/>
                      <w:kern w:val="0"/>
                      <w:szCs w:val="21"/>
                    </w:rPr>
                    <w:t>工业涂料、油墨、胶粘剂、清洗剂等原辅料</w:t>
                  </w:r>
                </w:p>
              </w:tc>
              <w:tc>
                <w:tcPr>
                  <w:tcW w:w="570" w:type="pct"/>
                  <w:vAlign w:val="center"/>
                </w:tcPr>
                <w:p w14:paraId="3B0CEAD4">
                  <w:pPr>
                    <w:adjustRightInd w:val="0"/>
                    <w:snapToGrid w:val="0"/>
                    <w:jc w:val="center"/>
                    <w:rPr>
                      <w:kern w:val="0"/>
                      <w:szCs w:val="21"/>
                    </w:rPr>
                  </w:pPr>
                  <w:r>
                    <w:rPr>
                      <w:kern w:val="0"/>
                      <w:szCs w:val="21"/>
                    </w:rPr>
                    <w:t>符合</w:t>
                  </w:r>
                </w:p>
              </w:tc>
            </w:tr>
          </w:tbl>
          <w:p w14:paraId="6B7191C7">
            <w:pPr>
              <w:spacing w:line="360" w:lineRule="auto"/>
              <w:ind w:firstLine="482" w:firstLineChars="200"/>
              <w:rPr>
                <w:b/>
                <w:bCs/>
                <w:sz w:val="24"/>
              </w:rPr>
            </w:pPr>
            <w:r>
              <w:rPr>
                <w:rFonts w:hint="eastAsia"/>
                <w:b/>
                <w:sz w:val="24"/>
                <w:lang w:val="zh-CN"/>
              </w:rPr>
              <w:t>5、</w:t>
            </w:r>
            <w:r>
              <w:rPr>
                <w:b/>
                <w:bCs/>
                <w:sz w:val="24"/>
              </w:rPr>
              <w:t>与《山东省环境保护条例》的符合性分析</w:t>
            </w:r>
          </w:p>
          <w:p w14:paraId="1594D9F4">
            <w:pPr>
              <w:adjustRightInd w:val="0"/>
              <w:spacing w:line="360" w:lineRule="auto"/>
              <w:ind w:firstLine="482" w:firstLineChars="200"/>
              <w:contextualSpacing/>
              <w:jc w:val="center"/>
              <w:rPr>
                <w:b/>
                <w:sz w:val="24"/>
              </w:rPr>
            </w:pPr>
            <w:r>
              <w:rPr>
                <w:b/>
                <w:sz w:val="24"/>
              </w:rPr>
              <w:t>表6 本项目与</w:t>
            </w:r>
            <w:r>
              <w:rPr>
                <w:rFonts w:hint="eastAsia"/>
                <w:b/>
                <w:sz w:val="24"/>
              </w:rPr>
              <w:t>《</w:t>
            </w:r>
            <w:r>
              <w:rPr>
                <w:b/>
                <w:sz w:val="24"/>
              </w:rPr>
              <w:t>山东省环境保护条例</w:t>
            </w:r>
            <w:r>
              <w:rPr>
                <w:rFonts w:hint="eastAsia"/>
                <w:b/>
                <w:sz w:val="24"/>
              </w:rPr>
              <w:t>》</w:t>
            </w:r>
            <w:r>
              <w:rPr>
                <w:b/>
                <w:sz w:val="24"/>
              </w:rPr>
              <w:t>的符合性分析</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4846"/>
              <w:gridCol w:w="2503"/>
              <w:gridCol w:w="884"/>
            </w:tblGrid>
            <w:tr w14:paraId="34585F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2943" w:type="pct"/>
                  <w:tcMar>
                    <w:left w:w="57" w:type="dxa"/>
                    <w:right w:w="57" w:type="dxa"/>
                  </w:tcMar>
                  <w:vAlign w:val="center"/>
                </w:tcPr>
                <w:p w14:paraId="396D8567">
                  <w:pPr>
                    <w:jc w:val="center"/>
                    <w:rPr>
                      <w:szCs w:val="21"/>
                    </w:rPr>
                  </w:pPr>
                  <w:r>
                    <w:rPr>
                      <w:rFonts w:hint="eastAsia"/>
                      <w:szCs w:val="21"/>
                    </w:rPr>
                    <w:t>《</w:t>
                  </w:r>
                  <w:r>
                    <w:rPr>
                      <w:szCs w:val="21"/>
                    </w:rPr>
                    <w:t>山东省环境保护条例</w:t>
                  </w:r>
                  <w:r>
                    <w:rPr>
                      <w:rFonts w:hint="eastAsia"/>
                      <w:szCs w:val="21"/>
                    </w:rPr>
                    <w:t>》</w:t>
                  </w:r>
                </w:p>
              </w:tc>
              <w:tc>
                <w:tcPr>
                  <w:tcW w:w="1520" w:type="pct"/>
                  <w:tcMar>
                    <w:left w:w="57" w:type="dxa"/>
                    <w:right w:w="57" w:type="dxa"/>
                  </w:tcMar>
                  <w:vAlign w:val="center"/>
                </w:tcPr>
                <w:p w14:paraId="7729D0D7">
                  <w:pPr>
                    <w:jc w:val="center"/>
                    <w:rPr>
                      <w:szCs w:val="21"/>
                    </w:rPr>
                  </w:pPr>
                  <w:r>
                    <w:rPr>
                      <w:rFonts w:hint="eastAsia"/>
                      <w:szCs w:val="21"/>
                    </w:rPr>
                    <w:t>项目情况</w:t>
                  </w:r>
                </w:p>
              </w:tc>
              <w:tc>
                <w:tcPr>
                  <w:tcW w:w="537" w:type="pct"/>
                  <w:tcMar>
                    <w:left w:w="57" w:type="dxa"/>
                    <w:right w:w="57" w:type="dxa"/>
                  </w:tcMar>
                  <w:vAlign w:val="center"/>
                </w:tcPr>
                <w:p w14:paraId="748E2B8E">
                  <w:pPr>
                    <w:jc w:val="center"/>
                    <w:rPr>
                      <w:szCs w:val="21"/>
                    </w:rPr>
                  </w:pPr>
                  <w:r>
                    <w:rPr>
                      <w:szCs w:val="21"/>
                    </w:rPr>
                    <w:t>符合性</w:t>
                  </w:r>
                </w:p>
              </w:tc>
            </w:tr>
            <w:tr w14:paraId="242800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943" w:type="pct"/>
                  <w:tcMar>
                    <w:left w:w="57" w:type="dxa"/>
                    <w:right w:w="57" w:type="dxa"/>
                  </w:tcMar>
                  <w:vAlign w:val="center"/>
                </w:tcPr>
                <w:p w14:paraId="593C27C1">
                  <w:pPr>
                    <w:adjustRightInd w:val="0"/>
                    <w:snapToGrid w:val="0"/>
                    <w:jc w:val="center"/>
                    <w:rPr>
                      <w:szCs w:val="21"/>
                    </w:rPr>
                  </w:pPr>
                  <w:r>
                    <w:rPr>
                      <w:szCs w:val="21"/>
                    </w:rPr>
                    <w:t>第十五条 禁止建设不符合国家和省产业政策的小型造纸、制革、印染、炼焦、炼硫、炼砷、炼汞、炼油、电镀、农药、石棉、水泥、玻璃、钢铁、火电以及其他严重污染环境的生产项目</w:t>
                  </w:r>
                </w:p>
              </w:tc>
              <w:tc>
                <w:tcPr>
                  <w:tcW w:w="1520" w:type="pct"/>
                  <w:tcMar>
                    <w:left w:w="57" w:type="dxa"/>
                    <w:right w:w="57" w:type="dxa"/>
                  </w:tcMar>
                  <w:vAlign w:val="center"/>
                </w:tcPr>
                <w:p w14:paraId="16C6593F">
                  <w:pPr>
                    <w:adjustRightInd w:val="0"/>
                    <w:snapToGrid w:val="0"/>
                    <w:jc w:val="center"/>
                    <w:rPr>
                      <w:bCs/>
                      <w:szCs w:val="21"/>
                    </w:rPr>
                  </w:pPr>
                  <w:r>
                    <w:rPr>
                      <w:rFonts w:hint="eastAsia"/>
                      <w:bCs/>
                      <w:szCs w:val="21"/>
                    </w:rPr>
                    <w:t>本项目为金属压力容器制造，</w:t>
                  </w:r>
                  <w:r>
                    <w:rPr>
                      <w:bCs/>
                      <w:szCs w:val="21"/>
                    </w:rPr>
                    <w:t>不在</w:t>
                  </w:r>
                  <w:r>
                    <w:rPr>
                      <w:rFonts w:hint="eastAsia"/>
                      <w:bCs/>
                      <w:szCs w:val="21"/>
                    </w:rPr>
                    <w:t>左列</w:t>
                  </w:r>
                  <w:r>
                    <w:rPr>
                      <w:bCs/>
                      <w:szCs w:val="21"/>
                    </w:rPr>
                    <w:t>项目内</w:t>
                  </w:r>
                </w:p>
              </w:tc>
              <w:tc>
                <w:tcPr>
                  <w:tcW w:w="537" w:type="pct"/>
                  <w:tcMar>
                    <w:left w:w="57" w:type="dxa"/>
                    <w:right w:w="57" w:type="dxa"/>
                  </w:tcMar>
                  <w:vAlign w:val="center"/>
                </w:tcPr>
                <w:p w14:paraId="3AE9E699">
                  <w:pPr>
                    <w:adjustRightInd w:val="0"/>
                    <w:snapToGrid w:val="0"/>
                    <w:jc w:val="center"/>
                    <w:rPr>
                      <w:szCs w:val="21"/>
                    </w:rPr>
                  </w:pPr>
                  <w:r>
                    <w:rPr>
                      <w:rFonts w:hint="eastAsia"/>
                      <w:szCs w:val="21"/>
                    </w:rPr>
                    <w:t>符合</w:t>
                  </w:r>
                </w:p>
              </w:tc>
            </w:tr>
            <w:tr w14:paraId="36A7A3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943" w:type="pct"/>
                  <w:tcMar>
                    <w:left w:w="57" w:type="dxa"/>
                    <w:right w:w="57" w:type="dxa"/>
                  </w:tcMar>
                  <w:vAlign w:val="center"/>
                </w:tcPr>
                <w:p w14:paraId="7FACCBBB">
                  <w:pPr>
                    <w:adjustRightInd w:val="0"/>
                    <w:snapToGrid w:val="0"/>
                    <w:rPr>
                      <w:szCs w:val="21"/>
                    </w:rPr>
                  </w:pPr>
                  <w:r>
                    <w:rPr>
                      <w:szCs w:val="21"/>
                    </w:rPr>
                    <w:t>第四十三条 各级人民政府应当推进绿色低碳发展，制定循环经济、清洁生产、环境综合治理、废弃物资源化等政策措施，加强重点区域、</w:t>
                  </w:r>
                  <w:r>
                    <w:rPr>
                      <w:szCs w:val="21"/>
                    </w:rPr>
                    <w:cr/>
                  </w:r>
                  <w:r>
                    <w:rPr>
                      <w:szCs w:val="21"/>
                    </w:rPr>
                    <w:t>点流域、重点行业污染控制，鼓励、支持无污染或者低污染产业发展，提高资源利用效率，减少污染排放</w:t>
                  </w:r>
                </w:p>
              </w:tc>
              <w:tc>
                <w:tcPr>
                  <w:tcW w:w="1520" w:type="pct"/>
                  <w:tcMar>
                    <w:left w:w="57" w:type="dxa"/>
                    <w:right w:w="57" w:type="dxa"/>
                  </w:tcMar>
                  <w:vAlign w:val="center"/>
                </w:tcPr>
                <w:p w14:paraId="50A9ED81">
                  <w:pPr>
                    <w:autoSpaceDE w:val="0"/>
                    <w:autoSpaceDN w:val="0"/>
                    <w:adjustRightInd w:val="0"/>
                    <w:jc w:val="center"/>
                    <w:rPr>
                      <w:szCs w:val="21"/>
                    </w:rPr>
                  </w:pPr>
                  <w:r>
                    <w:rPr>
                      <w:rFonts w:hint="eastAsia"/>
                      <w:bCs/>
                      <w:szCs w:val="21"/>
                    </w:rPr>
                    <w:t>本项目</w:t>
                  </w:r>
                  <w:r>
                    <w:rPr>
                      <w:szCs w:val="21"/>
                    </w:rPr>
                    <w:t>污染物产生量较少，采取合理有效的环保措施后对环境影响较小</w:t>
                  </w:r>
                </w:p>
              </w:tc>
              <w:tc>
                <w:tcPr>
                  <w:tcW w:w="537" w:type="pct"/>
                  <w:tcMar>
                    <w:left w:w="57" w:type="dxa"/>
                    <w:right w:w="57" w:type="dxa"/>
                  </w:tcMar>
                  <w:vAlign w:val="center"/>
                </w:tcPr>
                <w:p w14:paraId="1DD2B955">
                  <w:pPr>
                    <w:adjustRightInd w:val="0"/>
                    <w:snapToGrid w:val="0"/>
                    <w:jc w:val="center"/>
                    <w:rPr>
                      <w:szCs w:val="21"/>
                    </w:rPr>
                  </w:pPr>
                  <w:r>
                    <w:rPr>
                      <w:rFonts w:hint="eastAsia"/>
                      <w:szCs w:val="21"/>
                    </w:rPr>
                    <w:t>符合</w:t>
                  </w:r>
                </w:p>
              </w:tc>
            </w:tr>
            <w:tr w14:paraId="37B28E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231" w:hRule="atLeast"/>
                <w:jc w:val="center"/>
              </w:trPr>
              <w:tc>
                <w:tcPr>
                  <w:tcW w:w="2943" w:type="pct"/>
                  <w:tcMar>
                    <w:left w:w="57" w:type="dxa"/>
                    <w:right w:w="57" w:type="dxa"/>
                  </w:tcMar>
                  <w:vAlign w:val="center"/>
                </w:tcPr>
                <w:p w14:paraId="1915E4B6">
                  <w:pPr>
                    <w:adjustRightInd w:val="0"/>
                    <w:snapToGrid w:val="0"/>
                    <w:rPr>
                      <w:szCs w:val="21"/>
                    </w:rPr>
                  </w:pPr>
                  <w:r>
                    <w:rPr>
                      <w:szCs w:val="21"/>
                    </w:rPr>
                    <w:t>第四十四条 各级人民政府及其有关部门、园区管理机构应当做好</w:t>
                  </w:r>
                  <w:r>
                    <w:rPr>
                      <w:szCs w:val="21"/>
                    </w:rPr>
                    <w:cr/>
                  </w:r>
                  <w:r>
                    <w:rPr>
                      <w:szCs w:val="21"/>
                    </w:rPr>
                    <w:cr/>
                  </w:r>
                  <w:r>
                    <w:rPr>
                      <w:szCs w:val="21"/>
                    </w:rPr>
                    <w:t>基础设施规划，配套建设污水处理设施及配套管网、固体废物的收集处置设施、危险废物集中处置设施以及其他环境基础设施，建立环境基础设施的运行、维护制度，并保障其正常运行。县级以上人民政府应当根据产业结构调整和产业布局优化的</w:t>
                  </w:r>
                  <w:r>
                    <w:rPr>
                      <w:szCs w:val="21"/>
                    </w:rPr>
                    <w:cr/>
                  </w:r>
                  <w:r>
                    <w:rPr>
                      <w:szCs w:val="21"/>
                    </w:rPr>
                    <w:t>求，引导工业企业入驻工业园区；新建有污染物排放的工业项目，除在安</w:t>
                  </w:r>
                  <w:r>
                    <w:rPr>
                      <w:szCs w:val="21"/>
                    </w:rPr>
                    <w:cr/>
                  </w:r>
                  <w:r>
                    <w:rPr>
                      <w:szCs w:val="21"/>
                    </w:rPr>
                    <w:t>生产等方面有特殊要求的以外，应当进入工业园区或者工业集聚区</w:t>
                  </w:r>
                </w:p>
              </w:tc>
              <w:tc>
                <w:tcPr>
                  <w:tcW w:w="1520" w:type="pct"/>
                  <w:tcMar>
                    <w:left w:w="57" w:type="dxa"/>
                    <w:right w:w="57" w:type="dxa"/>
                  </w:tcMar>
                  <w:vAlign w:val="center"/>
                </w:tcPr>
                <w:p w14:paraId="6A9D29C4">
                  <w:pPr>
                    <w:autoSpaceDE w:val="0"/>
                    <w:autoSpaceDN w:val="0"/>
                    <w:adjustRightInd w:val="0"/>
                    <w:jc w:val="center"/>
                    <w:rPr>
                      <w:bCs/>
                      <w:szCs w:val="21"/>
                    </w:rPr>
                  </w:pPr>
                  <w:r>
                    <w:rPr>
                      <w:szCs w:val="21"/>
                    </w:rPr>
                    <w:t>本项目为</w:t>
                  </w:r>
                  <w:r>
                    <w:rPr>
                      <w:rFonts w:hint="eastAsia"/>
                      <w:szCs w:val="21"/>
                    </w:rPr>
                    <w:t>新建</w:t>
                  </w:r>
                  <w:r>
                    <w:rPr>
                      <w:szCs w:val="21"/>
                    </w:rPr>
                    <w:t>项目</w:t>
                  </w:r>
                  <w:r>
                    <w:rPr>
                      <w:rFonts w:hint="eastAsia"/>
                      <w:szCs w:val="21"/>
                    </w:rPr>
                    <w:t>，位于梁山经济开发区内，用地属于工业用地，符合《梁山经济开发区发展规划》</w:t>
                  </w:r>
                  <w:r>
                    <w:rPr>
                      <w:szCs w:val="21"/>
                    </w:rPr>
                    <w:t>（2022-2035年）土地利用规划</w:t>
                  </w:r>
                </w:p>
              </w:tc>
              <w:tc>
                <w:tcPr>
                  <w:tcW w:w="537" w:type="pct"/>
                  <w:tcMar>
                    <w:left w:w="57" w:type="dxa"/>
                    <w:right w:w="57" w:type="dxa"/>
                  </w:tcMar>
                  <w:vAlign w:val="center"/>
                </w:tcPr>
                <w:p w14:paraId="5417CEC3">
                  <w:pPr>
                    <w:adjustRightInd w:val="0"/>
                    <w:snapToGrid w:val="0"/>
                    <w:jc w:val="center"/>
                    <w:rPr>
                      <w:szCs w:val="21"/>
                    </w:rPr>
                  </w:pPr>
                  <w:r>
                    <w:rPr>
                      <w:rFonts w:hint="eastAsia"/>
                      <w:szCs w:val="21"/>
                    </w:rPr>
                    <w:t>符合</w:t>
                  </w:r>
                </w:p>
              </w:tc>
            </w:tr>
            <w:tr w14:paraId="6064E0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85" w:hRule="atLeast"/>
                <w:jc w:val="center"/>
              </w:trPr>
              <w:tc>
                <w:tcPr>
                  <w:tcW w:w="2943" w:type="pct"/>
                  <w:tcMar>
                    <w:left w:w="57" w:type="dxa"/>
                    <w:right w:w="57" w:type="dxa"/>
                  </w:tcMar>
                  <w:vAlign w:val="center"/>
                </w:tcPr>
                <w:p w14:paraId="266925D8">
                  <w:pPr>
                    <w:adjustRightInd w:val="0"/>
                    <w:snapToGrid w:val="0"/>
                    <w:rPr>
                      <w:szCs w:val="21"/>
                    </w:rPr>
                  </w:pPr>
                  <w:r>
                    <w:rPr>
                      <w:szCs w:val="21"/>
                    </w:rPr>
                    <w:t>第四十五条 排污单位应当采取</w:t>
                  </w:r>
                  <w:r>
                    <w:rPr>
                      <w:rFonts w:hint="eastAsia"/>
                      <w:szCs w:val="21"/>
                    </w:rPr>
                    <w:t>措施</w:t>
                  </w:r>
                  <w:r>
                    <w:rPr>
                      <w:szCs w:val="21"/>
                    </w:rPr>
                    <w:t>，防治在生产建设或者其他活动中产生的废气、废水、废渣、医疗废物、粉尘、恶</w:t>
                  </w:r>
                  <w:r>
                    <w:rPr>
                      <w:szCs w:val="21"/>
                    </w:rPr>
                    <w:cr/>
                  </w:r>
                  <w:r>
                    <w:rPr>
                      <w:szCs w:val="21"/>
                    </w:rPr>
                    <w:cr/>
                  </w:r>
                  <w:r>
                    <w:rPr>
                      <w:szCs w:val="21"/>
                    </w:rPr>
                    <w:t>气体、放射性物质以及噪声、振动、光辐射、电磁辐射等对环境的污染和危害，其污染排放不得超过排放标准和重点污染物排放总量控制指标。实行排污许可管理的排污单位，应当按照排污许可证规定的污染物种类、浓度、排放去向和许可排放量等要求排放污染物</w:t>
                  </w:r>
                </w:p>
              </w:tc>
              <w:tc>
                <w:tcPr>
                  <w:tcW w:w="1520" w:type="pct"/>
                  <w:tcMar>
                    <w:left w:w="57" w:type="dxa"/>
                    <w:right w:w="57" w:type="dxa"/>
                  </w:tcMar>
                  <w:vAlign w:val="center"/>
                </w:tcPr>
                <w:p w14:paraId="4FFBBEB2">
                  <w:pPr>
                    <w:autoSpaceDE w:val="0"/>
                    <w:autoSpaceDN w:val="0"/>
                    <w:adjustRightInd w:val="0"/>
                    <w:jc w:val="center"/>
                    <w:rPr>
                      <w:szCs w:val="21"/>
                    </w:rPr>
                  </w:pPr>
                  <w:r>
                    <w:rPr>
                      <w:rFonts w:hint="eastAsia"/>
                      <w:szCs w:val="21"/>
                    </w:rPr>
                    <w:t>项目建设单位</w:t>
                  </w:r>
                  <w:r>
                    <w:rPr>
                      <w:szCs w:val="21"/>
                    </w:rPr>
                    <w:t>在建设期和运营期严格落实本报告提出的废气、废水、固废和噪声的环保治理措施</w:t>
                  </w:r>
                  <w:r>
                    <w:rPr>
                      <w:rFonts w:hint="eastAsia"/>
                      <w:szCs w:val="21"/>
                    </w:rPr>
                    <w:t>，污染物达标排放或不外排；项目颗粒物、挥发性有机物申请总量控制指标；项目实行排污许可登记管理，投入运行前应取得登记回执</w:t>
                  </w:r>
                </w:p>
              </w:tc>
              <w:tc>
                <w:tcPr>
                  <w:tcW w:w="537" w:type="pct"/>
                  <w:tcMar>
                    <w:left w:w="57" w:type="dxa"/>
                    <w:right w:w="57" w:type="dxa"/>
                  </w:tcMar>
                  <w:vAlign w:val="center"/>
                </w:tcPr>
                <w:p w14:paraId="50956DD9">
                  <w:pPr>
                    <w:adjustRightInd w:val="0"/>
                    <w:snapToGrid w:val="0"/>
                    <w:jc w:val="center"/>
                    <w:rPr>
                      <w:szCs w:val="21"/>
                    </w:rPr>
                  </w:pPr>
                  <w:r>
                    <w:rPr>
                      <w:rFonts w:hint="eastAsia"/>
                      <w:szCs w:val="21"/>
                    </w:rPr>
                    <w:t>符合</w:t>
                  </w:r>
                </w:p>
              </w:tc>
            </w:tr>
            <w:tr w14:paraId="25281A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413" w:hRule="atLeast"/>
                <w:jc w:val="center"/>
              </w:trPr>
              <w:tc>
                <w:tcPr>
                  <w:tcW w:w="2943" w:type="pct"/>
                  <w:tcMar>
                    <w:left w:w="57" w:type="dxa"/>
                    <w:right w:w="57" w:type="dxa"/>
                  </w:tcMar>
                  <w:vAlign w:val="center"/>
                </w:tcPr>
                <w:p w14:paraId="367DC1F9">
                  <w:pPr>
                    <w:adjustRightInd w:val="0"/>
                    <w:snapToGrid w:val="0"/>
                    <w:rPr>
                      <w:szCs w:val="21"/>
                    </w:rPr>
                  </w:pPr>
                  <w:r>
                    <w:rPr>
                      <w:szCs w:val="21"/>
                    </w:rPr>
                    <w:t>第四十六条 新建、改建、扩建建设项目，应当根据环境影响评价文件以及生态环境主管部门</w:t>
                  </w:r>
                  <w:r>
                    <w:rPr>
                      <w:szCs w:val="21"/>
                    </w:rPr>
                    <w:cr/>
                  </w:r>
                  <w:r>
                    <w:rPr>
                      <w:szCs w:val="21"/>
                    </w:rPr>
                    <w:t>批决定的要求建设环境保护设施、落实环境保护措施。环境保护设施应当与主体工程同时设计、同时施工、同时投产使用</w:t>
                  </w:r>
                </w:p>
              </w:tc>
              <w:tc>
                <w:tcPr>
                  <w:tcW w:w="1520" w:type="pct"/>
                  <w:tcMar>
                    <w:left w:w="57" w:type="dxa"/>
                    <w:right w:w="57" w:type="dxa"/>
                  </w:tcMar>
                  <w:vAlign w:val="center"/>
                </w:tcPr>
                <w:p w14:paraId="27F52A08">
                  <w:pPr>
                    <w:autoSpaceDE w:val="0"/>
                    <w:autoSpaceDN w:val="0"/>
                    <w:adjustRightInd w:val="0"/>
                    <w:jc w:val="center"/>
                    <w:rPr>
                      <w:szCs w:val="21"/>
                    </w:rPr>
                  </w:pPr>
                  <w:r>
                    <w:rPr>
                      <w:rFonts w:hint="eastAsia"/>
                      <w:bCs/>
                      <w:szCs w:val="21"/>
                    </w:rPr>
                    <w:t>本</w:t>
                  </w:r>
                  <w:r>
                    <w:rPr>
                      <w:szCs w:val="21"/>
                    </w:rPr>
                    <w:t>项目建成后要</w:t>
                  </w:r>
                  <w:r>
                    <w:rPr>
                      <w:rFonts w:hint="eastAsia"/>
                      <w:szCs w:val="21"/>
                    </w:rPr>
                    <w:t>严格</w:t>
                  </w:r>
                  <w:r>
                    <w:rPr>
                      <w:szCs w:val="21"/>
                    </w:rPr>
                    <w:t>按照环保要求建设环境保护设施、落实环境保护</w:t>
                  </w:r>
                  <w:r>
                    <w:rPr>
                      <w:rFonts w:hint="eastAsia"/>
                      <w:szCs w:val="21"/>
                    </w:rPr>
                    <w:t>措施</w:t>
                  </w:r>
                  <w:r>
                    <w:rPr>
                      <w:szCs w:val="21"/>
                    </w:rPr>
                    <w:t>。环境保护设施应当与主体工程同时设计、同时施工、同时投产使用</w:t>
                  </w:r>
                </w:p>
              </w:tc>
              <w:tc>
                <w:tcPr>
                  <w:tcW w:w="537" w:type="pct"/>
                  <w:tcMar>
                    <w:left w:w="57" w:type="dxa"/>
                    <w:right w:w="57" w:type="dxa"/>
                  </w:tcMar>
                  <w:vAlign w:val="center"/>
                </w:tcPr>
                <w:p w14:paraId="3B012542">
                  <w:pPr>
                    <w:adjustRightInd w:val="0"/>
                    <w:snapToGrid w:val="0"/>
                    <w:jc w:val="center"/>
                    <w:rPr>
                      <w:szCs w:val="21"/>
                    </w:rPr>
                  </w:pPr>
                  <w:r>
                    <w:rPr>
                      <w:rFonts w:hint="eastAsia"/>
                      <w:szCs w:val="21"/>
                    </w:rPr>
                    <w:t>符合</w:t>
                  </w:r>
                </w:p>
              </w:tc>
            </w:tr>
          </w:tbl>
          <w:p w14:paraId="632198B7">
            <w:pPr>
              <w:autoSpaceDE w:val="0"/>
              <w:autoSpaceDN w:val="0"/>
              <w:adjustRightInd w:val="0"/>
              <w:snapToGrid w:val="0"/>
              <w:spacing w:line="360" w:lineRule="auto"/>
              <w:ind w:firstLine="482" w:firstLineChars="200"/>
              <w:jc w:val="left"/>
              <w:rPr>
                <w:b/>
                <w:kern w:val="21"/>
                <w:sz w:val="24"/>
              </w:rPr>
            </w:pPr>
            <w:r>
              <w:rPr>
                <w:rFonts w:hint="eastAsia"/>
                <w:b/>
                <w:kern w:val="21"/>
                <w:sz w:val="24"/>
              </w:rPr>
              <w:t>6、与《关于严格项目审批工作坚决防止新上“散乱污”项目的通知》（鲁环字【2021】58号）符合性分析</w:t>
            </w:r>
          </w:p>
          <w:p w14:paraId="40C262A5">
            <w:pPr>
              <w:autoSpaceDE w:val="0"/>
              <w:autoSpaceDN w:val="0"/>
              <w:adjustRightInd w:val="0"/>
              <w:snapToGrid w:val="0"/>
              <w:spacing w:line="360" w:lineRule="auto"/>
              <w:ind w:firstLine="482" w:firstLineChars="200"/>
              <w:jc w:val="center"/>
              <w:rPr>
                <w:b/>
                <w:bCs/>
                <w:kern w:val="21"/>
                <w:sz w:val="24"/>
              </w:rPr>
            </w:pPr>
            <w:r>
              <w:rPr>
                <w:rFonts w:hint="eastAsia"/>
                <w:b/>
                <w:bCs/>
                <w:kern w:val="21"/>
                <w:sz w:val="24"/>
              </w:rPr>
              <w:t>表</w:t>
            </w:r>
            <w:r>
              <w:rPr>
                <w:b/>
                <w:bCs/>
                <w:kern w:val="21"/>
                <w:sz w:val="24"/>
              </w:rPr>
              <w:t xml:space="preserve">7 </w:t>
            </w:r>
            <w:r>
              <w:rPr>
                <w:rFonts w:hint="eastAsia"/>
                <w:b/>
                <w:bCs/>
                <w:kern w:val="21"/>
                <w:sz w:val="24"/>
              </w:rPr>
              <w:t>项目与鲁环字【2021】58号文的符合性分析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1"/>
              <w:gridCol w:w="4368"/>
              <w:gridCol w:w="2141"/>
              <w:gridCol w:w="1149"/>
            </w:tblGrid>
            <w:tr w14:paraId="2A69A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 w:type="dxa"/>
                  <w:vAlign w:val="center"/>
                </w:tcPr>
                <w:p w14:paraId="4BE3DD5F">
                  <w:pPr>
                    <w:widowControl/>
                    <w:snapToGrid w:val="0"/>
                    <w:jc w:val="center"/>
                    <w:rPr>
                      <w:bCs/>
                      <w:spacing w:val="8"/>
                      <w:kern w:val="0"/>
                      <w:szCs w:val="21"/>
                      <w:shd w:val="clear" w:color="auto" w:fill="FFFFFF"/>
                    </w:rPr>
                  </w:pPr>
                  <w:r>
                    <w:rPr>
                      <w:bCs/>
                      <w:spacing w:val="8"/>
                      <w:kern w:val="0"/>
                      <w:szCs w:val="21"/>
                      <w:shd w:val="clear" w:color="auto" w:fill="FFFFFF"/>
                    </w:rPr>
                    <w:t>序号</w:t>
                  </w:r>
                </w:p>
              </w:tc>
              <w:tc>
                <w:tcPr>
                  <w:tcW w:w="3908" w:type="dxa"/>
                  <w:vAlign w:val="center"/>
                </w:tcPr>
                <w:p w14:paraId="615E85B2">
                  <w:pPr>
                    <w:pStyle w:val="7"/>
                    <w:jc w:val="center"/>
                    <w:rPr>
                      <w:bCs/>
                      <w:spacing w:val="8"/>
                      <w:sz w:val="21"/>
                      <w:szCs w:val="21"/>
                      <w:shd w:val="clear" w:color="auto" w:fill="FFFFFF"/>
                    </w:rPr>
                  </w:pPr>
                  <w:r>
                    <w:rPr>
                      <w:rFonts w:hint="eastAsia"/>
                      <w:bCs/>
                      <w:spacing w:val="8"/>
                      <w:sz w:val="21"/>
                      <w:szCs w:val="21"/>
                      <w:shd w:val="clear" w:color="auto" w:fill="FFFFFF"/>
                    </w:rPr>
                    <w:t>通知要求</w:t>
                  </w:r>
                </w:p>
                <w:p w14:paraId="7E211C1A">
                  <w:pPr>
                    <w:widowControl/>
                    <w:snapToGrid w:val="0"/>
                    <w:jc w:val="center"/>
                    <w:rPr>
                      <w:bCs/>
                      <w:spacing w:val="8"/>
                      <w:kern w:val="0"/>
                      <w:szCs w:val="21"/>
                      <w:shd w:val="clear" w:color="auto" w:fill="FFFFFF"/>
                    </w:rPr>
                  </w:pPr>
                </w:p>
              </w:tc>
              <w:tc>
                <w:tcPr>
                  <w:tcW w:w="1915" w:type="dxa"/>
                  <w:vAlign w:val="center"/>
                </w:tcPr>
                <w:p w14:paraId="7BB57AEF">
                  <w:pPr>
                    <w:widowControl/>
                    <w:snapToGrid w:val="0"/>
                    <w:jc w:val="center"/>
                    <w:rPr>
                      <w:bCs/>
                      <w:spacing w:val="8"/>
                      <w:kern w:val="0"/>
                      <w:szCs w:val="21"/>
                      <w:shd w:val="clear" w:color="auto" w:fill="FFFFFF"/>
                    </w:rPr>
                  </w:pPr>
                  <w:r>
                    <w:rPr>
                      <w:rFonts w:hint="eastAsia"/>
                      <w:bCs/>
                      <w:spacing w:val="8"/>
                      <w:kern w:val="0"/>
                      <w:szCs w:val="21"/>
                      <w:shd w:val="clear" w:color="auto" w:fill="FFFFFF"/>
                    </w:rPr>
                    <w:t>项目情况</w:t>
                  </w:r>
                </w:p>
              </w:tc>
              <w:tc>
                <w:tcPr>
                  <w:tcW w:w="1028" w:type="dxa"/>
                  <w:vAlign w:val="center"/>
                </w:tcPr>
                <w:p w14:paraId="071A7D7D">
                  <w:pPr>
                    <w:widowControl/>
                    <w:snapToGrid w:val="0"/>
                    <w:jc w:val="center"/>
                    <w:rPr>
                      <w:bCs/>
                      <w:spacing w:val="8"/>
                      <w:kern w:val="0"/>
                      <w:szCs w:val="21"/>
                      <w:shd w:val="clear" w:color="auto" w:fill="FFFFFF"/>
                    </w:rPr>
                  </w:pPr>
                  <w:r>
                    <w:rPr>
                      <w:bCs/>
                      <w:spacing w:val="8"/>
                      <w:kern w:val="0"/>
                      <w:szCs w:val="21"/>
                      <w:shd w:val="clear" w:color="auto" w:fill="FFFFFF"/>
                    </w:rPr>
                    <w:t>符合性</w:t>
                  </w:r>
                </w:p>
              </w:tc>
            </w:tr>
            <w:tr w14:paraId="79E35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 w:type="dxa"/>
                  <w:vAlign w:val="center"/>
                </w:tcPr>
                <w:p w14:paraId="2BC9174C">
                  <w:pPr>
                    <w:widowControl/>
                    <w:snapToGrid w:val="0"/>
                    <w:jc w:val="center"/>
                    <w:rPr>
                      <w:bCs/>
                      <w:spacing w:val="8"/>
                      <w:kern w:val="0"/>
                      <w:szCs w:val="21"/>
                      <w:shd w:val="clear" w:color="auto" w:fill="FFFFFF"/>
                    </w:rPr>
                  </w:pPr>
                  <w:r>
                    <w:rPr>
                      <w:bCs/>
                      <w:spacing w:val="8"/>
                      <w:kern w:val="0"/>
                      <w:szCs w:val="21"/>
                      <w:shd w:val="clear" w:color="auto" w:fill="FFFFFF"/>
                    </w:rPr>
                    <w:t>1</w:t>
                  </w:r>
                </w:p>
              </w:tc>
              <w:tc>
                <w:tcPr>
                  <w:tcW w:w="3908" w:type="dxa"/>
                  <w:vAlign w:val="center"/>
                </w:tcPr>
                <w:p w14:paraId="1D28FA3B">
                  <w:pPr>
                    <w:widowControl/>
                    <w:snapToGrid w:val="0"/>
                    <w:jc w:val="center"/>
                    <w:rPr>
                      <w:spacing w:val="8"/>
                      <w:kern w:val="0"/>
                      <w:szCs w:val="21"/>
                      <w:shd w:val="clear" w:color="auto" w:fill="FFFFFF"/>
                    </w:rPr>
                  </w:pPr>
                  <w:r>
                    <w:rPr>
                      <w:rFonts w:hint="eastAsia"/>
                      <w:spacing w:val="8"/>
                      <w:kern w:val="0"/>
                      <w:szCs w:val="21"/>
                      <w:shd w:val="clear" w:color="auto" w:fill="FFFFFF"/>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915" w:type="dxa"/>
                  <w:vAlign w:val="center"/>
                </w:tcPr>
                <w:p w14:paraId="1158FA4A">
                  <w:pPr>
                    <w:widowControl/>
                    <w:snapToGrid w:val="0"/>
                    <w:jc w:val="center"/>
                    <w:rPr>
                      <w:spacing w:val="8"/>
                      <w:kern w:val="0"/>
                      <w:szCs w:val="21"/>
                      <w:shd w:val="clear" w:color="auto" w:fill="FFFFFF"/>
                    </w:rPr>
                  </w:pPr>
                  <w:r>
                    <w:rPr>
                      <w:rFonts w:hint="eastAsia"/>
                      <w:spacing w:val="8"/>
                      <w:kern w:val="0"/>
                      <w:szCs w:val="21"/>
                      <w:shd w:val="clear" w:color="auto" w:fill="FFFFFF"/>
                    </w:rPr>
                    <w:t>本</w:t>
                  </w:r>
                  <w:r>
                    <w:rPr>
                      <w:spacing w:val="8"/>
                      <w:kern w:val="0"/>
                      <w:szCs w:val="21"/>
                      <w:shd w:val="clear" w:color="auto" w:fill="FFFFFF"/>
                    </w:rPr>
                    <w:t>项目不属于《产业结构调整指导目录（2024年</w:t>
                  </w:r>
                  <w:r>
                    <w:rPr>
                      <w:rFonts w:hint="eastAsia"/>
                      <w:spacing w:val="8"/>
                      <w:kern w:val="0"/>
                      <w:szCs w:val="21"/>
                      <w:shd w:val="clear" w:color="auto" w:fill="FFFFFF"/>
                    </w:rPr>
                    <w:t>本</w:t>
                  </w:r>
                  <w:r>
                    <w:rPr>
                      <w:spacing w:val="8"/>
                      <w:kern w:val="0"/>
                      <w:szCs w:val="21"/>
                      <w:shd w:val="clear" w:color="auto" w:fill="FFFFFF"/>
                    </w:rPr>
                    <w:t>）》中</w:t>
                  </w:r>
                  <w:r>
                    <w:rPr>
                      <w:rFonts w:hint="eastAsia"/>
                      <w:spacing w:val="8"/>
                      <w:kern w:val="0"/>
                      <w:szCs w:val="21"/>
                      <w:shd w:val="clear" w:color="auto" w:fill="FFFFFF"/>
                    </w:rPr>
                    <w:t>鼓励类、</w:t>
                  </w:r>
                  <w:r>
                    <w:rPr>
                      <w:spacing w:val="8"/>
                      <w:kern w:val="0"/>
                      <w:szCs w:val="21"/>
                      <w:shd w:val="clear" w:color="auto" w:fill="FFFFFF"/>
                    </w:rPr>
                    <w:t>限制类和淘汰类的项目</w:t>
                  </w:r>
                  <w:r>
                    <w:rPr>
                      <w:rFonts w:hint="eastAsia"/>
                      <w:spacing w:val="8"/>
                      <w:kern w:val="0"/>
                      <w:szCs w:val="21"/>
                      <w:shd w:val="clear" w:color="auto" w:fill="FFFFFF"/>
                    </w:rPr>
                    <w:t>，</w:t>
                  </w:r>
                  <w:r>
                    <w:rPr>
                      <w:spacing w:val="8"/>
                      <w:kern w:val="0"/>
                      <w:szCs w:val="21"/>
                      <w:shd w:val="clear" w:color="auto" w:fill="FFFFFF"/>
                    </w:rPr>
                    <w:t>属于允许建设项目</w:t>
                  </w:r>
                  <w:r>
                    <w:rPr>
                      <w:rFonts w:hint="eastAsia"/>
                      <w:spacing w:val="8"/>
                      <w:kern w:val="0"/>
                      <w:szCs w:val="21"/>
                      <w:shd w:val="clear" w:color="auto" w:fill="FFFFFF"/>
                    </w:rPr>
                    <w:t>，符合国家产业政策</w:t>
                  </w:r>
                </w:p>
              </w:tc>
              <w:tc>
                <w:tcPr>
                  <w:tcW w:w="1028" w:type="dxa"/>
                  <w:vAlign w:val="center"/>
                </w:tcPr>
                <w:p w14:paraId="7964A971">
                  <w:pPr>
                    <w:widowControl/>
                    <w:snapToGrid w:val="0"/>
                    <w:jc w:val="center"/>
                    <w:rPr>
                      <w:spacing w:val="8"/>
                      <w:kern w:val="0"/>
                      <w:szCs w:val="21"/>
                      <w:shd w:val="clear" w:color="auto" w:fill="FFFFFF"/>
                    </w:rPr>
                  </w:pPr>
                  <w:r>
                    <w:rPr>
                      <w:spacing w:val="8"/>
                      <w:kern w:val="0"/>
                      <w:szCs w:val="21"/>
                      <w:shd w:val="clear" w:color="auto" w:fill="FFFFFF"/>
                    </w:rPr>
                    <w:t>符合</w:t>
                  </w:r>
                </w:p>
              </w:tc>
            </w:tr>
            <w:tr w14:paraId="2A3C4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 w:type="dxa"/>
                  <w:vAlign w:val="center"/>
                </w:tcPr>
                <w:p w14:paraId="310A1154">
                  <w:pPr>
                    <w:widowControl/>
                    <w:snapToGrid w:val="0"/>
                    <w:jc w:val="center"/>
                    <w:rPr>
                      <w:kern w:val="0"/>
                      <w:szCs w:val="21"/>
                    </w:rPr>
                  </w:pPr>
                  <w:r>
                    <w:rPr>
                      <w:rFonts w:hint="eastAsia"/>
                      <w:kern w:val="0"/>
                      <w:szCs w:val="21"/>
                    </w:rPr>
                    <w:t>2</w:t>
                  </w:r>
                </w:p>
              </w:tc>
              <w:tc>
                <w:tcPr>
                  <w:tcW w:w="3908" w:type="dxa"/>
                  <w:vAlign w:val="center"/>
                </w:tcPr>
                <w:p w14:paraId="6A58E80E">
                  <w:pPr>
                    <w:widowControl/>
                    <w:snapToGrid w:val="0"/>
                    <w:rPr>
                      <w:rFonts w:ascii="宋体" w:hAnsi="宋体"/>
                      <w:kern w:val="0"/>
                      <w:szCs w:val="21"/>
                    </w:rPr>
                  </w:pPr>
                  <w:r>
                    <w:rPr>
                      <w:rFonts w:hint="eastAsia" w:ascii="宋体" w:hAnsi="宋体"/>
                      <w:kern w:val="0"/>
                      <w:szCs w:val="21"/>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r>
                    <w:rPr>
                      <w:rFonts w:ascii="宋体" w:hAnsi="宋体"/>
                      <w:spacing w:val="8"/>
                      <w:kern w:val="0"/>
                      <w:szCs w:val="21"/>
                      <w:shd w:val="clear" w:color="auto" w:fill="FFFFFF"/>
                    </w:rPr>
                    <w:t>。</w:t>
                  </w:r>
                </w:p>
              </w:tc>
              <w:tc>
                <w:tcPr>
                  <w:tcW w:w="1915" w:type="dxa"/>
                  <w:vAlign w:val="center"/>
                </w:tcPr>
                <w:p w14:paraId="3EDBD9C6">
                  <w:pPr>
                    <w:widowControl/>
                    <w:snapToGrid w:val="0"/>
                    <w:jc w:val="center"/>
                  </w:pPr>
                  <w:r>
                    <w:rPr>
                      <w:rFonts w:hint="eastAsia"/>
                      <w:bCs/>
                      <w:kern w:val="0"/>
                      <w:szCs w:val="21"/>
                    </w:rPr>
                    <w:t>本项目</w:t>
                  </w:r>
                  <w:r>
                    <w:rPr>
                      <w:bCs/>
                      <w:kern w:val="0"/>
                      <w:szCs w:val="21"/>
                    </w:rPr>
                    <w:t>为</w:t>
                  </w:r>
                  <w:r>
                    <w:rPr>
                      <w:rFonts w:hint="eastAsia"/>
                      <w:bCs/>
                      <w:kern w:val="0"/>
                      <w:szCs w:val="21"/>
                    </w:rPr>
                    <w:t>新建</w:t>
                  </w:r>
                  <w:r>
                    <w:rPr>
                      <w:bCs/>
                      <w:kern w:val="0"/>
                      <w:szCs w:val="21"/>
                    </w:rPr>
                    <w:t>项目</w:t>
                  </w:r>
                  <w:r>
                    <w:rPr>
                      <w:rFonts w:hint="eastAsia"/>
                      <w:bCs/>
                      <w:kern w:val="0"/>
                      <w:szCs w:val="21"/>
                    </w:rPr>
                    <w:t>，位于</w:t>
                  </w:r>
                  <w:r>
                    <w:rPr>
                      <w:rFonts w:hint="eastAsia"/>
                      <w:szCs w:val="21"/>
                    </w:rPr>
                    <w:t>山东省济宁市梁山经济开发区三利路南、东王村北180m处</w:t>
                  </w:r>
                  <w:r>
                    <w:rPr>
                      <w:rFonts w:hint="eastAsia"/>
                    </w:rPr>
                    <w:t>，项目所在地块用途为工业用地，符合《梁山经济开发区发展规划》</w:t>
                  </w:r>
                  <w:r>
                    <w:t>（2022-2035年）土地利用规划</w:t>
                  </w:r>
                  <w:r>
                    <w:rPr>
                      <w:rFonts w:hint="eastAsia"/>
                    </w:rPr>
                    <w:t>。梁山经济开发区为合规工业园区，本项目建设</w:t>
                  </w:r>
                  <w:r>
                    <w:t>符合开发区总体规划</w:t>
                  </w:r>
                </w:p>
              </w:tc>
              <w:tc>
                <w:tcPr>
                  <w:tcW w:w="1028" w:type="dxa"/>
                  <w:vAlign w:val="center"/>
                </w:tcPr>
                <w:p w14:paraId="1524ADA7">
                  <w:pPr>
                    <w:widowControl/>
                    <w:snapToGrid w:val="0"/>
                    <w:jc w:val="center"/>
                    <w:rPr>
                      <w:spacing w:val="8"/>
                      <w:kern w:val="0"/>
                      <w:szCs w:val="21"/>
                      <w:shd w:val="clear" w:color="auto" w:fill="FFFFFF"/>
                    </w:rPr>
                  </w:pPr>
                  <w:r>
                    <w:rPr>
                      <w:spacing w:val="8"/>
                      <w:kern w:val="0"/>
                      <w:szCs w:val="21"/>
                      <w:shd w:val="clear" w:color="auto" w:fill="FFFFFF"/>
                    </w:rPr>
                    <w:t>符合</w:t>
                  </w:r>
                </w:p>
              </w:tc>
            </w:tr>
            <w:tr w14:paraId="7A344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 w:type="dxa"/>
                  <w:vAlign w:val="center"/>
                </w:tcPr>
                <w:p w14:paraId="1775C00F">
                  <w:pPr>
                    <w:widowControl/>
                    <w:snapToGrid w:val="0"/>
                    <w:jc w:val="center"/>
                    <w:rPr>
                      <w:kern w:val="0"/>
                      <w:szCs w:val="21"/>
                    </w:rPr>
                  </w:pPr>
                  <w:r>
                    <w:rPr>
                      <w:rFonts w:hint="eastAsia"/>
                      <w:kern w:val="0"/>
                      <w:szCs w:val="21"/>
                    </w:rPr>
                    <w:t>3</w:t>
                  </w:r>
                </w:p>
              </w:tc>
              <w:tc>
                <w:tcPr>
                  <w:tcW w:w="3908" w:type="dxa"/>
                  <w:vAlign w:val="center"/>
                </w:tcPr>
                <w:p w14:paraId="53390AA3">
                  <w:pPr>
                    <w:widowControl/>
                    <w:snapToGrid w:val="0"/>
                    <w:rPr>
                      <w:rFonts w:ascii="宋体" w:hAnsi="宋体"/>
                      <w:kern w:val="0"/>
                      <w:szCs w:val="21"/>
                    </w:rPr>
                  </w:pPr>
                  <w:r>
                    <w:rPr>
                      <w:rFonts w:hint="eastAsia" w:ascii="宋体" w:hAnsi="宋体"/>
                      <w:kern w:val="0"/>
                      <w:szCs w:val="21"/>
                    </w:rPr>
                    <w:t>严把项目环评审批关。新上项目必须严格执行环评审批“三挂钩”机制和“五个不批”要求，落实“三线一单</w:t>
                  </w:r>
                  <w:r>
                    <w:rPr>
                      <w:rFonts w:hint="eastAsia" w:ascii="宋体" w:hAnsi="宋体"/>
                      <w:kern w:val="0"/>
                      <w:szCs w:val="21"/>
                    </w:rPr>
                    <w:cr/>
                  </w:r>
                  <w:r>
                    <w:rPr>
                      <w:rFonts w:hint="eastAsia" w:ascii="宋体" w:hAnsi="宋体"/>
                      <w:kern w:val="0"/>
                      <w:szCs w:val="21"/>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1915" w:type="dxa"/>
                  <w:vAlign w:val="center"/>
                </w:tcPr>
                <w:p w14:paraId="49E72052">
                  <w:pPr>
                    <w:widowControl/>
                    <w:snapToGrid w:val="0"/>
                    <w:jc w:val="center"/>
                    <w:rPr>
                      <w:bCs/>
                      <w:kern w:val="0"/>
                      <w:szCs w:val="21"/>
                    </w:rPr>
                  </w:pPr>
                  <w:r>
                    <w:rPr>
                      <w:rFonts w:hint="eastAsia"/>
                      <w:bCs/>
                      <w:kern w:val="0"/>
                      <w:szCs w:val="21"/>
                    </w:rPr>
                    <w:t>本</w:t>
                  </w:r>
                  <w:r>
                    <w:rPr>
                      <w:bCs/>
                      <w:kern w:val="0"/>
                      <w:szCs w:val="21"/>
                    </w:rPr>
                    <w:t>项目为</w:t>
                  </w:r>
                  <w:r>
                    <w:rPr>
                      <w:rFonts w:hint="eastAsia"/>
                      <w:bCs/>
                      <w:kern w:val="0"/>
                      <w:szCs w:val="21"/>
                    </w:rPr>
                    <w:t>金属压力容器制造项目，属于允许建设项目，</w:t>
                  </w:r>
                  <w:r>
                    <w:rPr>
                      <w:bCs/>
                      <w:kern w:val="0"/>
                      <w:szCs w:val="21"/>
                    </w:rPr>
                    <w:t>项目建设符合《关于以改善环境质量为核心加强环境影响评价管理的通知》中“三线一单”的要求。</w:t>
                  </w:r>
                  <w:r>
                    <w:rPr>
                      <w:rFonts w:hint="eastAsia"/>
                      <w:bCs/>
                      <w:kern w:val="0"/>
                      <w:szCs w:val="21"/>
                    </w:rPr>
                    <w:t>本项目颗粒物、挥发性有机物实行排放总量减量替代，不涉及煤炭使用</w:t>
                  </w:r>
                </w:p>
              </w:tc>
              <w:tc>
                <w:tcPr>
                  <w:tcW w:w="1028" w:type="dxa"/>
                  <w:vAlign w:val="center"/>
                </w:tcPr>
                <w:p w14:paraId="2A4E5F47">
                  <w:pPr>
                    <w:widowControl/>
                    <w:snapToGrid w:val="0"/>
                    <w:jc w:val="center"/>
                    <w:rPr>
                      <w:spacing w:val="8"/>
                      <w:kern w:val="0"/>
                      <w:szCs w:val="21"/>
                      <w:shd w:val="clear" w:color="auto" w:fill="FFFFFF"/>
                    </w:rPr>
                  </w:pPr>
                  <w:r>
                    <w:rPr>
                      <w:spacing w:val="8"/>
                      <w:kern w:val="0"/>
                      <w:szCs w:val="21"/>
                      <w:shd w:val="clear" w:color="auto" w:fill="FFFFFF"/>
                    </w:rPr>
                    <w:t>符合</w:t>
                  </w:r>
                </w:p>
              </w:tc>
            </w:tr>
          </w:tbl>
          <w:p w14:paraId="3FD25CFB">
            <w:pPr>
              <w:autoSpaceDE w:val="0"/>
              <w:autoSpaceDN w:val="0"/>
              <w:adjustRightInd w:val="0"/>
              <w:snapToGrid w:val="0"/>
              <w:spacing w:line="360" w:lineRule="auto"/>
              <w:ind w:firstLine="482" w:firstLineChars="200"/>
              <w:rPr>
                <w:b/>
                <w:bCs/>
                <w:sz w:val="24"/>
              </w:rPr>
            </w:pPr>
            <w:r>
              <w:rPr>
                <w:b/>
                <w:bCs/>
                <w:sz w:val="24"/>
              </w:rPr>
              <w:t>7、</w:t>
            </w:r>
            <w:r>
              <w:rPr>
                <w:rFonts w:hint="eastAsia"/>
                <w:b/>
                <w:bCs/>
                <w:sz w:val="24"/>
              </w:rPr>
              <w:t>《</w:t>
            </w:r>
            <w:r>
              <w:rPr>
                <w:b/>
                <w:bCs/>
                <w:sz w:val="24"/>
              </w:rPr>
              <w:t>关于</w:t>
            </w:r>
            <w:r>
              <w:rPr>
                <w:rFonts w:hint="eastAsia"/>
                <w:b/>
                <w:bCs/>
                <w:sz w:val="24"/>
              </w:rPr>
              <w:t>公布沿黄重点地区扩区调区后合规工业园区名单（第六批）的通知》（鲁发改工业〔202</w:t>
            </w:r>
            <w:r>
              <w:rPr>
                <w:b/>
                <w:bCs/>
                <w:sz w:val="24"/>
              </w:rPr>
              <w:t>3</w:t>
            </w:r>
            <w:r>
              <w:rPr>
                <w:rFonts w:hint="eastAsia"/>
                <w:b/>
                <w:bCs/>
                <w:sz w:val="24"/>
              </w:rPr>
              <w:t>〕</w:t>
            </w:r>
            <w:r>
              <w:rPr>
                <w:b/>
                <w:bCs/>
                <w:sz w:val="24"/>
              </w:rPr>
              <w:t>887</w:t>
            </w:r>
            <w:r>
              <w:rPr>
                <w:rFonts w:hint="eastAsia"/>
                <w:b/>
                <w:bCs/>
                <w:sz w:val="24"/>
              </w:rPr>
              <w:t>号）符合性分析</w:t>
            </w:r>
          </w:p>
          <w:p w14:paraId="6F9429BD">
            <w:pPr>
              <w:autoSpaceDE w:val="0"/>
              <w:autoSpaceDN w:val="0"/>
              <w:adjustRightInd w:val="0"/>
              <w:snapToGrid w:val="0"/>
              <w:spacing w:line="360" w:lineRule="auto"/>
              <w:jc w:val="center"/>
              <w:rPr>
                <w:b/>
                <w:bCs/>
                <w:sz w:val="24"/>
              </w:rPr>
            </w:pPr>
            <w:r>
              <w:rPr>
                <w:rFonts w:hint="eastAsia"/>
                <w:b/>
                <w:bCs/>
                <w:sz w:val="24"/>
              </w:rPr>
              <w:t>表</w:t>
            </w:r>
            <w:r>
              <w:rPr>
                <w:b/>
                <w:bCs/>
                <w:sz w:val="24"/>
              </w:rPr>
              <w:t>8 项目与</w:t>
            </w:r>
            <w:r>
              <w:rPr>
                <w:rFonts w:hint="eastAsia"/>
                <w:b/>
                <w:bCs/>
                <w:sz w:val="24"/>
              </w:rPr>
              <w:t>鲁发改工业〔202</w:t>
            </w:r>
            <w:r>
              <w:rPr>
                <w:b/>
                <w:bCs/>
                <w:sz w:val="24"/>
              </w:rPr>
              <w:t>3</w:t>
            </w:r>
            <w:r>
              <w:rPr>
                <w:rFonts w:hint="eastAsia"/>
                <w:b/>
                <w:bCs/>
                <w:sz w:val="24"/>
              </w:rPr>
              <w:t>〕</w:t>
            </w:r>
            <w:r>
              <w:rPr>
                <w:b/>
                <w:bCs/>
                <w:sz w:val="24"/>
              </w:rPr>
              <w:t>887</w:t>
            </w:r>
            <w:r>
              <w:rPr>
                <w:rFonts w:hint="eastAsia"/>
                <w:b/>
                <w:bCs/>
                <w:sz w:val="24"/>
              </w:rPr>
              <w:t>号文的</w:t>
            </w:r>
            <w:r>
              <w:rPr>
                <w:b/>
                <w:bCs/>
                <w:sz w:val="24"/>
              </w:rPr>
              <w:t>符合情况分析一览表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8"/>
              <w:gridCol w:w="1358"/>
              <w:gridCol w:w="1043"/>
            </w:tblGrid>
            <w:tr w14:paraId="7AA59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43" w:type="pct"/>
                  <w:vAlign w:val="center"/>
                </w:tcPr>
                <w:p w14:paraId="6E8C49CB">
                  <w:pPr>
                    <w:jc w:val="center"/>
                    <w:rPr>
                      <w:szCs w:val="21"/>
                    </w:rPr>
                  </w:pPr>
                  <w:r>
                    <w:rPr>
                      <w:rFonts w:hint="eastAsia"/>
                      <w:bCs/>
                      <w:szCs w:val="21"/>
                    </w:rPr>
                    <w:t>鲁发改工业〔202</w:t>
                  </w:r>
                  <w:r>
                    <w:rPr>
                      <w:bCs/>
                      <w:szCs w:val="21"/>
                    </w:rPr>
                    <w:t>3</w:t>
                  </w:r>
                  <w:r>
                    <w:rPr>
                      <w:rFonts w:hint="eastAsia"/>
                      <w:bCs/>
                      <w:szCs w:val="21"/>
                    </w:rPr>
                    <w:t>〕</w:t>
                  </w:r>
                  <w:r>
                    <w:rPr>
                      <w:bCs/>
                      <w:szCs w:val="21"/>
                    </w:rPr>
                    <w:t>887</w:t>
                  </w:r>
                  <w:r>
                    <w:rPr>
                      <w:rFonts w:hint="eastAsia"/>
                      <w:bCs/>
                      <w:szCs w:val="21"/>
                    </w:rPr>
                    <w:t>号文要求</w:t>
                  </w:r>
                </w:p>
              </w:tc>
              <w:tc>
                <w:tcPr>
                  <w:tcW w:w="824" w:type="pct"/>
                  <w:vAlign w:val="center"/>
                </w:tcPr>
                <w:p w14:paraId="689B0B3D">
                  <w:pPr>
                    <w:jc w:val="center"/>
                    <w:rPr>
                      <w:szCs w:val="21"/>
                    </w:rPr>
                  </w:pPr>
                  <w:r>
                    <w:rPr>
                      <w:rFonts w:hint="eastAsia"/>
                      <w:szCs w:val="21"/>
                    </w:rPr>
                    <w:t>项目情况</w:t>
                  </w:r>
                </w:p>
              </w:tc>
              <w:tc>
                <w:tcPr>
                  <w:tcW w:w="633" w:type="pct"/>
                  <w:vAlign w:val="center"/>
                </w:tcPr>
                <w:p w14:paraId="76029A94">
                  <w:pPr>
                    <w:jc w:val="center"/>
                    <w:rPr>
                      <w:szCs w:val="21"/>
                    </w:rPr>
                  </w:pPr>
                  <w:r>
                    <w:rPr>
                      <w:szCs w:val="21"/>
                    </w:rPr>
                    <w:t>符合性</w:t>
                  </w:r>
                </w:p>
              </w:tc>
            </w:tr>
            <w:tr w14:paraId="4612C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jc w:val="center"/>
              </w:trPr>
              <w:tc>
                <w:tcPr>
                  <w:tcW w:w="3543" w:type="pct"/>
                  <w:vAlign w:val="center"/>
                </w:tcPr>
                <w:p w14:paraId="67A1F768">
                  <w:pPr>
                    <w:jc w:val="left"/>
                    <w:rPr>
                      <w:szCs w:val="21"/>
                    </w:rPr>
                  </w:pPr>
                  <w:r>
                    <w:rPr>
                      <w:rFonts w:hint="eastAsia"/>
                      <w:szCs w:val="21"/>
                    </w:rPr>
                    <w:t>按照发改办产业〔2021]635号、鲁发改外资〔2022]1052</w:t>
                  </w:r>
                </w:p>
                <w:p w14:paraId="658B8180">
                  <w:pPr>
                    <w:jc w:val="left"/>
                    <w:rPr>
                      <w:szCs w:val="21"/>
                    </w:rPr>
                  </w:pPr>
                  <w:r>
                    <w:rPr>
                      <w:rFonts w:hint="eastAsia"/>
                      <w:szCs w:val="21"/>
                    </w:rPr>
                    <w:t>号等文件规定，严格落实工业项目入园管理属地责任和主体责任，对于扩区调区完成后调出合规工业园区范围的工业项目，要参照合规工业园区内工业项目一体化监管，扎实做好安全生产、生态环保、节能节水、规范管理等各项工作，不断提升黄河流域生态保护和高质量发展水平</w:t>
                  </w:r>
                </w:p>
              </w:tc>
              <w:tc>
                <w:tcPr>
                  <w:tcW w:w="824" w:type="pct"/>
                  <w:vAlign w:val="center"/>
                </w:tcPr>
                <w:p w14:paraId="0D0CB9C9">
                  <w:pPr>
                    <w:jc w:val="center"/>
                    <w:rPr>
                      <w:szCs w:val="21"/>
                    </w:rPr>
                  </w:pPr>
                  <w:r>
                    <w:rPr>
                      <w:rFonts w:hint="eastAsia"/>
                      <w:szCs w:val="21"/>
                    </w:rPr>
                    <w:t>本项目位于梁山经济开发区内，为合规工业园区</w:t>
                  </w:r>
                </w:p>
              </w:tc>
              <w:tc>
                <w:tcPr>
                  <w:tcW w:w="633" w:type="pct"/>
                  <w:vAlign w:val="center"/>
                </w:tcPr>
                <w:p w14:paraId="7AA19F9C">
                  <w:pPr>
                    <w:jc w:val="center"/>
                    <w:rPr>
                      <w:szCs w:val="21"/>
                    </w:rPr>
                  </w:pPr>
                  <w:r>
                    <w:rPr>
                      <w:szCs w:val="21"/>
                    </w:rPr>
                    <w:t>符合</w:t>
                  </w:r>
                </w:p>
              </w:tc>
            </w:tr>
          </w:tbl>
          <w:p w14:paraId="21F9FFAE">
            <w:pPr>
              <w:autoSpaceDE w:val="0"/>
              <w:autoSpaceDN w:val="0"/>
              <w:adjustRightInd w:val="0"/>
              <w:snapToGrid w:val="0"/>
              <w:spacing w:line="360" w:lineRule="auto"/>
              <w:ind w:firstLine="482" w:firstLineChars="200"/>
              <w:rPr>
                <w:b/>
                <w:bCs/>
                <w:sz w:val="24"/>
              </w:rPr>
            </w:pPr>
            <w:r>
              <w:rPr>
                <w:b/>
                <w:bCs/>
                <w:sz w:val="24"/>
              </w:rPr>
              <w:t>8</w:t>
            </w:r>
            <w:r>
              <w:rPr>
                <w:rFonts w:hint="eastAsia"/>
                <w:b/>
                <w:bCs/>
                <w:sz w:val="24"/>
              </w:rPr>
              <w:t>、</w:t>
            </w:r>
            <w:r>
              <w:rPr>
                <w:b/>
                <w:bCs/>
                <w:sz w:val="24"/>
              </w:rPr>
              <w:t>与《山东省涉挥发性有机物企业分行业治理指导意见》（鲁环发[2019]146号）</w:t>
            </w:r>
            <w:r>
              <w:rPr>
                <w:rFonts w:hint="eastAsia"/>
                <w:b/>
                <w:bCs/>
                <w:sz w:val="24"/>
              </w:rPr>
              <w:t>符合性分析</w:t>
            </w:r>
          </w:p>
          <w:p w14:paraId="167EDA0F">
            <w:pPr>
              <w:pStyle w:val="24"/>
              <w:spacing w:after="0" w:line="360" w:lineRule="auto"/>
              <w:ind w:left="0" w:leftChars="0" w:firstLine="0" w:firstLineChars="0"/>
              <w:jc w:val="center"/>
              <w:rPr>
                <w:b/>
                <w:bCs/>
                <w:sz w:val="24"/>
              </w:rPr>
            </w:pPr>
            <w:r>
              <w:rPr>
                <w:b/>
                <w:bCs/>
                <w:sz w:val="24"/>
              </w:rPr>
              <w:t>表</w:t>
            </w:r>
            <w:r>
              <w:rPr>
                <w:rFonts w:hint="eastAsia"/>
                <w:b/>
                <w:bCs/>
                <w:sz w:val="24"/>
              </w:rPr>
              <w:t>9</w:t>
            </w:r>
            <w:r>
              <w:rPr>
                <w:b/>
                <w:bCs/>
                <w:sz w:val="24"/>
              </w:rPr>
              <w:t>项目与鲁环发[2019] 146号文</w:t>
            </w:r>
            <w:r>
              <w:rPr>
                <w:rFonts w:hint="eastAsia"/>
                <w:b/>
                <w:bCs/>
                <w:sz w:val="24"/>
              </w:rPr>
              <w:t>的</w:t>
            </w:r>
            <w:r>
              <w:rPr>
                <w:b/>
                <w:bCs/>
                <w:sz w:val="24"/>
              </w:rPr>
              <w:t>符合情况分析一览表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21"/>
              <w:gridCol w:w="3586"/>
              <w:gridCol w:w="2556"/>
              <w:gridCol w:w="1076"/>
            </w:tblGrid>
            <w:tr w14:paraId="42C9A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95" w:type="pct"/>
                  <w:gridSpan w:val="2"/>
                  <w:tcMar>
                    <w:left w:w="57" w:type="dxa"/>
                    <w:right w:w="57" w:type="dxa"/>
                  </w:tcMar>
                  <w:vAlign w:val="center"/>
                </w:tcPr>
                <w:p w14:paraId="62DDE091">
                  <w:pPr>
                    <w:jc w:val="center"/>
                  </w:pPr>
                  <w:r>
                    <w:t>鲁环发[2019]146号文要求</w:t>
                  </w:r>
                </w:p>
              </w:tc>
              <w:tc>
                <w:tcPr>
                  <w:tcW w:w="1551" w:type="pct"/>
                  <w:tcMar>
                    <w:left w:w="57" w:type="dxa"/>
                    <w:right w:w="57" w:type="dxa"/>
                  </w:tcMar>
                  <w:vAlign w:val="center"/>
                </w:tcPr>
                <w:p w14:paraId="1D0CAAF5">
                  <w:pPr>
                    <w:jc w:val="center"/>
                  </w:pPr>
                  <w:r>
                    <w:t>本项目情况</w:t>
                  </w:r>
                </w:p>
              </w:tc>
              <w:tc>
                <w:tcPr>
                  <w:tcW w:w="653" w:type="pct"/>
                  <w:vAlign w:val="center"/>
                </w:tcPr>
                <w:p w14:paraId="1EAF0060">
                  <w:pPr>
                    <w:jc w:val="center"/>
                  </w:pPr>
                  <w:r>
                    <w:t>符合性</w:t>
                  </w:r>
                </w:p>
              </w:tc>
            </w:tr>
            <w:tr w14:paraId="6C4F7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65" w:hRule="atLeast"/>
                <w:jc w:val="center"/>
              </w:trPr>
              <w:tc>
                <w:tcPr>
                  <w:tcW w:w="619" w:type="pct"/>
                  <w:tcMar>
                    <w:left w:w="57" w:type="dxa"/>
                    <w:right w:w="57" w:type="dxa"/>
                  </w:tcMar>
                  <w:vAlign w:val="center"/>
                </w:tcPr>
                <w:p w14:paraId="189305D7">
                  <w:pPr>
                    <w:adjustRightInd w:val="0"/>
                    <w:snapToGrid w:val="0"/>
                    <w:jc w:val="center"/>
                  </w:pPr>
                  <w:r>
                    <w:t>使用</w:t>
                  </w:r>
                </w:p>
                <w:p w14:paraId="536C0696">
                  <w:pPr>
                    <w:adjustRightInd w:val="0"/>
                    <w:snapToGrid w:val="0"/>
                    <w:jc w:val="center"/>
                  </w:pPr>
                  <w:r>
                    <w:t>范围</w:t>
                  </w:r>
                </w:p>
              </w:tc>
              <w:tc>
                <w:tcPr>
                  <w:tcW w:w="2176" w:type="pct"/>
                  <w:tcMar>
                    <w:left w:w="57" w:type="dxa"/>
                    <w:right w:w="57" w:type="dxa"/>
                  </w:tcMar>
                  <w:vAlign w:val="center"/>
                </w:tcPr>
                <w:p w14:paraId="6FF9389B">
                  <w:pPr>
                    <w:adjustRightInd w:val="0"/>
                    <w:snapToGrid w:val="0"/>
                    <w:jc w:val="left"/>
                  </w:pPr>
                  <w:r>
                    <w:t>本指导意见适用于玻璃纤维玻璃钢制造、机动车维修、板材、制药、农药、铸造、焦化、橡胶制品加工、橡胶再生、皮革鞣制加工、塑料制品加工、涂料油墨制造、纸浆制造、日用玻璃（陶瓷）表面处理、彩钢板制造、有机肥制造、合成香料加工、危险废物处置、生活垃圾处理、表面涂装、印刷行业等</w:t>
                  </w:r>
                </w:p>
              </w:tc>
              <w:tc>
                <w:tcPr>
                  <w:tcW w:w="1551" w:type="pct"/>
                  <w:tcMar>
                    <w:left w:w="57" w:type="dxa"/>
                    <w:right w:w="57" w:type="dxa"/>
                  </w:tcMar>
                  <w:vAlign w:val="center"/>
                </w:tcPr>
                <w:p w14:paraId="6241651B">
                  <w:pPr>
                    <w:adjustRightInd w:val="0"/>
                    <w:snapToGrid w:val="0"/>
                    <w:jc w:val="center"/>
                  </w:pPr>
                  <w:r>
                    <w:rPr>
                      <w:rFonts w:hint="eastAsia"/>
                    </w:rPr>
                    <w:t>本项目</w:t>
                  </w:r>
                  <w:r>
                    <w:rPr>
                      <w:szCs w:val="21"/>
                    </w:rPr>
                    <w:t>属于</w:t>
                  </w:r>
                  <w:r>
                    <w:rPr>
                      <w:rFonts w:hint="eastAsia"/>
                      <w:szCs w:val="21"/>
                    </w:rPr>
                    <w:t>金属压力容器制</w:t>
                  </w:r>
                  <w:r>
                    <w:t>造项目</w:t>
                  </w:r>
                  <w:r>
                    <w:rPr>
                      <w:szCs w:val="21"/>
                    </w:rPr>
                    <w:t>，涉及</w:t>
                  </w:r>
                  <w:r>
                    <w:rPr>
                      <w:rFonts w:hint="eastAsia"/>
                      <w:szCs w:val="21"/>
                    </w:rPr>
                    <w:t>喷塑、固化</w:t>
                  </w:r>
                  <w:r>
                    <w:rPr>
                      <w:szCs w:val="21"/>
                    </w:rPr>
                    <w:t>等表面涂装工序</w:t>
                  </w:r>
                </w:p>
              </w:tc>
              <w:tc>
                <w:tcPr>
                  <w:tcW w:w="653" w:type="pct"/>
                  <w:vAlign w:val="center"/>
                </w:tcPr>
                <w:p w14:paraId="24D1B932">
                  <w:pPr>
                    <w:adjustRightInd w:val="0"/>
                    <w:snapToGrid w:val="0"/>
                    <w:jc w:val="center"/>
                  </w:pPr>
                  <w:r>
                    <w:t>符合</w:t>
                  </w:r>
                </w:p>
              </w:tc>
            </w:tr>
            <w:tr w14:paraId="72749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619" w:type="pct"/>
                  <w:tcMar>
                    <w:left w:w="57" w:type="dxa"/>
                    <w:right w:w="57" w:type="dxa"/>
                  </w:tcMar>
                  <w:vAlign w:val="center"/>
                </w:tcPr>
                <w:p w14:paraId="58421C25">
                  <w:pPr>
                    <w:adjustRightInd w:val="0"/>
                    <w:snapToGrid w:val="0"/>
                    <w:jc w:val="center"/>
                  </w:pPr>
                  <w:r>
                    <w:t>表面涂装行业具体指导意见</w:t>
                  </w:r>
                </w:p>
              </w:tc>
              <w:tc>
                <w:tcPr>
                  <w:tcW w:w="2176" w:type="pct"/>
                  <w:tcMar>
                    <w:left w:w="57" w:type="dxa"/>
                    <w:right w:w="57" w:type="dxa"/>
                  </w:tcMar>
                  <w:vAlign w:val="center"/>
                </w:tcPr>
                <w:p w14:paraId="10882923">
                  <w:pPr>
                    <w:adjustRightInd w:val="0"/>
                    <w:snapToGrid w:val="0"/>
                    <w:jc w:val="left"/>
                  </w:pPr>
                  <w:r>
                    <w:rPr>
                      <w:rFonts w:hint="eastAsia"/>
                    </w:rPr>
                    <w:t>1</w:t>
                  </w:r>
                  <w:r>
                    <w:t>.</w:t>
                  </w:r>
                  <w:r>
                    <w:rPr>
                      <w:rFonts w:hint="eastAsia"/>
                    </w:rPr>
                    <w:t>鼓励推进源头替代。通过使用水性、粉末、高固体分、无溶剂、辐射固化等低VOCs含量的涂料替代溶剂型涂料，从源头减少VOCs产生。</w:t>
                  </w:r>
                </w:p>
              </w:tc>
              <w:tc>
                <w:tcPr>
                  <w:tcW w:w="1551" w:type="pct"/>
                  <w:tcMar>
                    <w:left w:w="57" w:type="dxa"/>
                    <w:right w:w="57" w:type="dxa"/>
                  </w:tcMar>
                  <w:vAlign w:val="center"/>
                </w:tcPr>
                <w:p w14:paraId="1D78CEF9">
                  <w:pPr>
                    <w:adjustRightInd w:val="0"/>
                    <w:snapToGrid w:val="0"/>
                    <w:jc w:val="center"/>
                  </w:pPr>
                  <w:r>
                    <w:rPr>
                      <w:rFonts w:hint="eastAsia"/>
                    </w:rPr>
                    <w:t>本项目使用的涂料为低VOCs含量的塑粉，从源头减少VOCs产生</w:t>
                  </w:r>
                </w:p>
              </w:tc>
              <w:tc>
                <w:tcPr>
                  <w:tcW w:w="653" w:type="pct"/>
                  <w:vAlign w:val="center"/>
                </w:tcPr>
                <w:p w14:paraId="6F9A21CF">
                  <w:pPr>
                    <w:adjustRightInd w:val="0"/>
                    <w:snapToGrid w:val="0"/>
                    <w:jc w:val="center"/>
                  </w:pPr>
                  <w:r>
                    <w:t>符合</w:t>
                  </w:r>
                </w:p>
              </w:tc>
            </w:tr>
            <w:tr w14:paraId="414D4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9" w:type="pct"/>
                  <w:vMerge w:val="restart"/>
                  <w:tcMar>
                    <w:left w:w="57" w:type="dxa"/>
                    <w:right w:w="57" w:type="dxa"/>
                  </w:tcMar>
                  <w:vAlign w:val="center"/>
                </w:tcPr>
                <w:p w14:paraId="250B665D">
                  <w:pPr>
                    <w:adjustRightInd w:val="0"/>
                    <w:snapToGrid w:val="0"/>
                    <w:jc w:val="center"/>
                  </w:pPr>
                  <w:r>
                    <w:t>加强过程控制</w:t>
                  </w:r>
                </w:p>
              </w:tc>
              <w:tc>
                <w:tcPr>
                  <w:tcW w:w="2176" w:type="pct"/>
                  <w:tcMar>
                    <w:left w:w="57" w:type="dxa"/>
                    <w:right w:w="57" w:type="dxa"/>
                  </w:tcMar>
                  <w:vAlign w:val="center"/>
                </w:tcPr>
                <w:p w14:paraId="27393F58">
                  <w:pPr>
                    <w:autoSpaceDE w:val="0"/>
                    <w:autoSpaceDN w:val="0"/>
                    <w:adjustRightInd w:val="0"/>
                    <w:jc w:val="left"/>
                  </w:pPr>
                  <w:r>
                    <w:t>1、加强无组织排放控制。重点对含VOCs物料（包括含VOCs 原辅材料、含VOCs产品、含VOCs 废料以及有机聚合物材料等）储存、转移和输送、设备与管线组件泄漏、敞开液面逸散、工艺过程等五类排放源实施管控，通过采取设备与场所密闭、工艺改进、废气有效收集等措施，削减VOCs无组织排放</w:t>
                  </w:r>
                </w:p>
              </w:tc>
              <w:tc>
                <w:tcPr>
                  <w:tcW w:w="1551" w:type="pct"/>
                  <w:vMerge w:val="restart"/>
                  <w:tcMar>
                    <w:left w:w="57" w:type="dxa"/>
                    <w:right w:w="57" w:type="dxa"/>
                  </w:tcMar>
                  <w:vAlign w:val="center"/>
                </w:tcPr>
                <w:p w14:paraId="15BBFF2B">
                  <w:pPr>
                    <w:adjustRightInd w:val="0"/>
                    <w:snapToGrid w:val="0"/>
                    <w:jc w:val="center"/>
                    <w:rPr>
                      <w:bCs/>
                    </w:rPr>
                  </w:pPr>
                  <w:r>
                    <w:rPr>
                      <w:rFonts w:hint="eastAsia"/>
                    </w:rPr>
                    <w:t>本项目使用低VOCs含量的塑粉，</w:t>
                  </w:r>
                  <w:r>
                    <w:rPr>
                      <w:rFonts w:hint="eastAsia"/>
                      <w:bCs/>
                    </w:rPr>
                    <w:t>喷塑工序产生的颗粒物经布袋除尘器</w:t>
                  </w:r>
                  <w:r>
                    <w:rPr>
                      <w:bCs/>
                    </w:rPr>
                    <w:t>（TA002）处理后</w:t>
                  </w:r>
                  <w:r>
                    <w:rPr>
                      <w:rFonts w:hint="eastAsia"/>
                      <w:bCs/>
                    </w:rPr>
                    <w:t>经1根1</w:t>
                  </w:r>
                  <w:r>
                    <w:rPr>
                      <w:bCs/>
                    </w:rPr>
                    <w:t>5m高排气筒（</w:t>
                  </w:r>
                  <w:r>
                    <w:rPr>
                      <w:rFonts w:hint="eastAsia"/>
                      <w:bCs/>
                    </w:rPr>
                    <w:t>D</w:t>
                  </w:r>
                  <w:r>
                    <w:rPr>
                      <w:bCs/>
                    </w:rPr>
                    <w:t>A002）</w:t>
                  </w:r>
                  <w:r>
                    <w:rPr>
                      <w:rFonts w:hint="eastAsia"/>
                      <w:bCs/>
                    </w:rPr>
                    <w:t>排放；</w:t>
                  </w:r>
                  <w:r>
                    <w:rPr>
                      <w:bCs/>
                    </w:rPr>
                    <w:t>固化工序产生的</w:t>
                  </w:r>
                  <w:r>
                    <w:rPr>
                      <w:rFonts w:hint="eastAsia"/>
                      <w:bCs/>
                    </w:rPr>
                    <w:t>V</w:t>
                  </w:r>
                  <w:r>
                    <w:rPr>
                      <w:bCs/>
                    </w:rPr>
                    <w:t>OCs经</w:t>
                  </w:r>
                  <w:r>
                    <w:rPr>
                      <w:rFonts w:hint="eastAsia"/>
                      <w:bCs/>
                    </w:rPr>
                    <w:t>二级活性炭吸附装置（T</w:t>
                  </w:r>
                  <w:r>
                    <w:rPr>
                      <w:bCs/>
                    </w:rPr>
                    <w:t>A003</w:t>
                  </w:r>
                  <w:r>
                    <w:rPr>
                      <w:rFonts w:hint="eastAsia"/>
                      <w:bCs/>
                    </w:rPr>
                    <w:t>）处理后经1根1</w:t>
                  </w:r>
                  <w:r>
                    <w:rPr>
                      <w:bCs/>
                    </w:rPr>
                    <w:t>5m高排气筒（</w:t>
                  </w:r>
                  <w:r>
                    <w:rPr>
                      <w:rFonts w:hint="eastAsia"/>
                      <w:bCs/>
                    </w:rPr>
                    <w:t>D</w:t>
                  </w:r>
                  <w:r>
                    <w:rPr>
                      <w:bCs/>
                    </w:rPr>
                    <w:t>A003）</w:t>
                  </w:r>
                  <w:r>
                    <w:rPr>
                      <w:rFonts w:hint="eastAsia"/>
                      <w:bCs/>
                    </w:rPr>
                    <w:t>排放</w:t>
                  </w:r>
                </w:p>
              </w:tc>
              <w:tc>
                <w:tcPr>
                  <w:tcW w:w="653" w:type="pct"/>
                  <w:vMerge w:val="restart"/>
                  <w:vAlign w:val="center"/>
                </w:tcPr>
                <w:p w14:paraId="37491F17">
                  <w:pPr>
                    <w:adjustRightInd w:val="0"/>
                    <w:snapToGrid w:val="0"/>
                    <w:jc w:val="center"/>
                  </w:pPr>
                  <w:r>
                    <w:t>符合</w:t>
                  </w:r>
                </w:p>
              </w:tc>
            </w:tr>
            <w:tr w14:paraId="397F1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9" w:type="pct"/>
                  <w:vMerge w:val="continue"/>
                  <w:tcMar>
                    <w:left w:w="57" w:type="dxa"/>
                    <w:right w:w="57" w:type="dxa"/>
                  </w:tcMar>
                  <w:vAlign w:val="center"/>
                </w:tcPr>
                <w:p w14:paraId="5CFE6C41">
                  <w:pPr>
                    <w:adjustRightInd w:val="0"/>
                    <w:snapToGrid w:val="0"/>
                  </w:pPr>
                </w:p>
              </w:tc>
              <w:tc>
                <w:tcPr>
                  <w:tcW w:w="2176" w:type="pct"/>
                  <w:tcMar>
                    <w:left w:w="57" w:type="dxa"/>
                    <w:right w:w="57" w:type="dxa"/>
                  </w:tcMar>
                  <w:vAlign w:val="center"/>
                </w:tcPr>
                <w:p w14:paraId="4DB9D202">
                  <w:pPr>
                    <w:autoSpaceDE w:val="0"/>
                    <w:autoSpaceDN w:val="0"/>
                    <w:adjustRightInd w:val="0"/>
                    <w:jc w:val="left"/>
                  </w:pPr>
                  <w:r>
                    <w:t>2、遵循“应收尽收、分质收集” 的原则，科学设计废气收集系统，将无组织排放转变为有组织排放进行控制</w:t>
                  </w:r>
                </w:p>
              </w:tc>
              <w:tc>
                <w:tcPr>
                  <w:tcW w:w="1551" w:type="pct"/>
                  <w:vMerge w:val="continue"/>
                  <w:tcMar>
                    <w:left w:w="57" w:type="dxa"/>
                    <w:right w:w="57" w:type="dxa"/>
                  </w:tcMar>
                  <w:vAlign w:val="center"/>
                </w:tcPr>
                <w:p w14:paraId="6FAB2335">
                  <w:pPr>
                    <w:adjustRightInd w:val="0"/>
                    <w:snapToGrid w:val="0"/>
                    <w:jc w:val="center"/>
                  </w:pPr>
                </w:p>
              </w:tc>
              <w:tc>
                <w:tcPr>
                  <w:tcW w:w="653" w:type="pct"/>
                  <w:vMerge w:val="continue"/>
                  <w:vAlign w:val="center"/>
                </w:tcPr>
                <w:p w14:paraId="5D2A2114">
                  <w:pPr>
                    <w:adjustRightInd w:val="0"/>
                    <w:snapToGrid w:val="0"/>
                    <w:jc w:val="center"/>
                  </w:pPr>
                </w:p>
              </w:tc>
            </w:tr>
          </w:tbl>
          <w:p w14:paraId="4CB589CD">
            <w:pPr>
              <w:autoSpaceDE w:val="0"/>
              <w:autoSpaceDN w:val="0"/>
              <w:adjustRightInd w:val="0"/>
              <w:snapToGrid w:val="0"/>
              <w:spacing w:line="360" w:lineRule="auto"/>
              <w:ind w:firstLine="482" w:firstLineChars="200"/>
              <w:rPr>
                <w:bCs/>
                <w:sz w:val="24"/>
              </w:rPr>
            </w:pPr>
            <w:r>
              <w:rPr>
                <w:b/>
                <w:bCs/>
                <w:sz w:val="24"/>
              </w:rPr>
              <w:t>9</w:t>
            </w:r>
            <w:r>
              <w:rPr>
                <w:rFonts w:hint="eastAsia"/>
                <w:b/>
                <w:bCs/>
                <w:sz w:val="24"/>
              </w:rPr>
              <w:t>、与梁山县饮用水源保护区的关系</w:t>
            </w:r>
          </w:p>
          <w:p w14:paraId="4BF98DBE">
            <w:pPr>
              <w:autoSpaceDE w:val="0"/>
              <w:autoSpaceDN w:val="0"/>
              <w:adjustRightInd w:val="0"/>
              <w:snapToGrid w:val="0"/>
              <w:spacing w:line="360" w:lineRule="auto"/>
              <w:ind w:firstLine="480" w:firstLineChars="200"/>
              <w:jc w:val="left"/>
              <w:rPr>
                <w:sz w:val="24"/>
              </w:rPr>
            </w:pPr>
            <w:r>
              <w:rPr>
                <w:rFonts w:hint="eastAsia"/>
                <w:sz w:val="24"/>
              </w:rPr>
              <w:t>梁山县城准保护区为北起东环路和西环路之间所辖区域，南至西环城路向东拐弯射线至东环路，面积27.32km</w:t>
            </w:r>
            <w:r>
              <w:rPr>
                <w:rFonts w:hint="eastAsia"/>
                <w:sz w:val="24"/>
                <w:vertAlign w:val="superscript"/>
              </w:rPr>
              <w:t>2</w:t>
            </w:r>
            <w:r>
              <w:rPr>
                <w:rFonts w:hint="eastAsia"/>
                <w:sz w:val="24"/>
              </w:rPr>
              <w:t>。由于目前梁山县城区只使用深层承压水，按规定只划分一级保护区，梁山县水厂水源地现有水井6眼，其中4#井在自来水公司院内，留有保护空间，5#、6#井在水厂院内，已有围墙防护，留有1500m</w:t>
            </w:r>
            <w:r>
              <w:rPr>
                <w:rFonts w:hint="eastAsia"/>
                <w:sz w:val="24"/>
                <w:vertAlign w:val="superscript"/>
              </w:rPr>
              <w:t>2</w:t>
            </w:r>
            <w:r>
              <w:rPr>
                <w:rFonts w:hint="eastAsia"/>
                <w:sz w:val="24"/>
              </w:rPr>
              <w:t>的保护面积，3#井设在凤山店院内，规划3#井拓展保护空间。另外加强了城区凿井管理，避免越层污染；根据《梁山县农村饮用水水源保护区划分方案》的要求，共划分了戴那里水厂的7眼水井、赵堌堆水厂的6眼水井、辛兴屯水厂的2眼水井、拳铺水厂的5眼水井、鹿吊水厂的7眼水井、干鱼头水厂的3眼水井、唐楼水厂的3眼水井，共计33眼水井，设置33个农村饮用水水源一级保护区，7个饮用水水源地。</w:t>
            </w:r>
          </w:p>
          <w:p w14:paraId="503E32ED">
            <w:pPr>
              <w:autoSpaceDE w:val="0"/>
              <w:autoSpaceDN w:val="0"/>
              <w:adjustRightInd w:val="0"/>
              <w:snapToGrid w:val="0"/>
              <w:spacing w:line="360" w:lineRule="auto"/>
              <w:ind w:firstLine="480" w:firstLineChars="200"/>
              <w:jc w:val="left"/>
              <w:rPr>
                <w:b/>
                <w:bCs/>
                <w:sz w:val="24"/>
              </w:rPr>
            </w:pPr>
            <w:r>
              <w:rPr>
                <w:rFonts w:hint="eastAsia"/>
                <w:sz w:val="24"/>
              </w:rPr>
              <w:t>距离本项目最近的饮用水水源保护区为拳铺水厂（拳南村）</w:t>
            </w:r>
            <w:r>
              <w:rPr>
                <w:sz w:val="24"/>
              </w:rPr>
              <w:t>，</w:t>
            </w:r>
            <w:r>
              <w:rPr>
                <w:rFonts w:hint="eastAsia"/>
                <w:sz w:val="24"/>
              </w:rPr>
              <w:t>拳铺水厂（拳南村）距离本项目</w:t>
            </w:r>
            <w:r>
              <w:rPr>
                <w:sz w:val="24"/>
              </w:rPr>
              <w:t>4.12</w:t>
            </w:r>
            <w:r>
              <w:rPr>
                <w:rFonts w:hint="eastAsia"/>
                <w:sz w:val="24"/>
              </w:rPr>
              <w:t>k</w:t>
            </w:r>
            <w:r>
              <w:rPr>
                <w:sz w:val="24"/>
              </w:rPr>
              <w:t>m。</w:t>
            </w:r>
            <w:r>
              <w:rPr>
                <w:rFonts w:hint="eastAsia"/>
                <w:sz w:val="24"/>
              </w:rPr>
              <w:t>本项目为新建项目，无生产废水产生，</w:t>
            </w:r>
            <w:r>
              <w:rPr>
                <w:sz w:val="24"/>
              </w:rPr>
              <w:t>生活污水</w:t>
            </w:r>
            <w:r>
              <w:rPr>
                <w:rFonts w:hint="eastAsia"/>
                <w:sz w:val="24"/>
              </w:rPr>
              <w:t>经</w:t>
            </w:r>
            <w:r>
              <w:rPr>
                <w:sz w:val="24"/>
              </w:rPr>
              <w:t>化粪池处理后委托环卫部门定期清运</w:t>
            </w:r>
            <w:r>
              <w:rPr>
                <w:rFonts w:hint="eastAsia"/>
                <w:sz w:val="24"/>
              </w:rPr>
              <w:t>，</w:t>
            </w:r>
            <w:r>
              <w:rPr>
                <w:sz w:val="24"/>
              </w:rPr>
              <w:t>不外排</w:t>
            </w:r>
            <w:r>
              <w:rPr>
                <w:rFonts w:hint="eastAsia"/>
                <w:sz w:val="24"/>
              </w:rPr>
              <w:t>，且项目危废库等区域均采取重点防渗措施，不会对当地饮用水源保护区造成污染</w:t>
            </w:r>
            <w:r>
              <w:rPr>
                <w:sz w:val="24"/>
              </w:rPr>
              <w:t>，项目在梁山县水源地保护区划分图的位置图见附图</w:t>
            </w:r>
            <w:r>
              <w:rPr>
                <w:rFonts w:hint="eastAsia"/>
                <w:sz w:val="24"/>
              </w:rPr>
              <w:t>5</w:t>
            </w:r>
            <w:r>
              <w:rPr>
                <w:sz w:val="24"/>
              </w:rPr>
              <w:t>。</w:t>
            </w:r>
          </w:p>
          <w:p w14:paraId="4CB783F9">
            <w:pPr>
              <w:spacing w:line="360" w:lineRule="auto"/>
              <w:ind w:firstLine="482" w:firstLineChars="200"/>
              <w:rPr>
                <w:b/>
                <w:sz w:val="24"/>
              </w:rPr>
            </w:pPr>
            <w:r>
              <w:rPr>
                <w:b/>
                <w:sz w:val="24"/>
              </w:rPr>
              <w:t>10</w:t>
            </w:r>
            <w:r>
              <w:rPr>
                <w:rFonts w:hint="eastAsia"/>
                <w:b/>
                <w:sz w:val="24"/>
              </w:rPr>
              <w:t>、与《梁山县国土空间总体规划（2021-2035年）》符合性</w:t>
            </w:r>
          </w:p>
          <w:p w14:paraId="3D1A2ECD">
            <w:pPr>
              <w:spacing w:line="360" w:lineRule="auto"/>
              <w:ind w:firstLine="480" w:firstLineChars="200"/>
              <w:rPr>
                <w:sz w:val="24"/>
              </w:rPr>
            </w:pPr>
            <w:r>
              <w:rPr>
                <w:rFonts w:hint="eastAsia"/>
                <w:sz w:val="24"/>
              </w:rPr>
              <w:t>根据《山东省人民政府关于金乡县、梁山县、汶上县国土空间总体规划（2021-2035年）的批复》（鲁政字[</w:t>
            </w:r>
            <w:r>
              <w:rPr>
                <w:sz w:val="24"/>
              </w:rPr>
              <w:t>2024]59</w:t>
            </w:r>
            <w:r>
              <w:rPr>
                <w:rFonts w:hint="eastAsia"/>
                <w:sz w:val="24"/>
              </w:rPr>
              <w:t>号），《梁山县国土空间总体规划（2</w:t>
            </w:r>
            <w:r>
              <w:rPr>
                <w:sz w:val="24"/>
              </w:rPr>
              <w:t>021-2035</w:t>
            </w:r>
            <w:r>
              <w:rPr>
                <w:rFonts w:hint="eastAsia"/>
                <w:sz w:val="24"/>
              </w:rPr>
              <w:t>年）》（以下简称《规划》）于2</w:t>
            </w:r>
            <w:r>
              <w:rPr>
                <w:sz w:val="24"/>
              </w:rPr>
              <w:t>024</w:t>
            </w:r>
            <w:r>
              <w:rPr>
                <w:rFonts w:hint="eastAsia"/>
                <w:sz w:val="24"/>
              </w:rPr>
              <w:t>年4月1</w:t>
            </w:r>
            <w:r>
              <w:rPr>
                <w:sz w:val="24"/>
              </w:rPr>
              <w:t>0</w:t>
            </w:r>
            <w:r>
              <w:rPr>
                <w:rFonts w:hint="eastAsia"/>
                <w:sz w:val="24"/>
              </w:rPr>
              <w:t>日批复。《规划》要求到2</w:t>
            </w:r>
            <w:r>
              <w:rPr>
                <w:sz w:val="24"/>
              </w:rPr>
              <w:t>035</w:t>
            </w:r>
            <w:r>
              <w:rPr>
                <w:rFonts w:hint="eastAsia"/>
                <w:sz w:val="24"/>
              </w:rPr>
              <w:t>年，梁山县耕地保有量不低于8</w:t>
            </w:r>
            <w:r>
              <w:rPr>
                <w:sz w:val="24"/>
              </w:rPr>
              <w:t>3.95</w:t>
            </w:r>
            <w:r>
              <w:rPr>
                <w:rFonts w:hint="eastAsia"/>
                <w:sz w:val="24"/>
              </w:rPr>
              <w:t>万亩、永久基本农田保护面积不低于7</w:t>
            </w:r>
            <w:r>
              <w:rPr>
                <w:sz w:val="24"/>
              </w:rPr>
              <w:t>5.47</w:t>
            </w:r>
            <w:r>
              <w:rPr>
                <w:rFonts w:hint="eastAsia"/>
                <w:sz w:val="24"/>
              </w:rPr>
              <w:t>万亩、生态保护红线面积不低于7</w:t>
            </w:r>
            <w:r>
              <w:rPr>
                <w:sz w:val="24"/>
              </w:rPr>
              <w:t>.25</w:t>
            </w:r>
            <w:r>
              <w:rPr>
                <w:rFonts w:hint="eastAsia"/>
                <w:sz w:val="24"/>
              </w:rPr>
              <w:t>平方千米，城镇开发边界面积控制在7</w:t>
            </w:r>
            <w:r>
              <w:rPr>
                <w:sz w:val="24"/>
              </w:rPr>
              <w:t>0.03</w:t>
            </w:r>
            <w:r>
              <w:rPr>
                <w:rFonts w:hint="eastAsia"/>
                <w:sz w:val="24"/>
              </w:rPr>
              <w:t>平方千米以内。全县规划期间划定城镇集中建设区7</w:t>
            </w:r>
            <w:r>
              <w:rPr>
                <w:sz w:val="24"/>
              </w:rPr>
              <w:t>602.01</w:t>
            </w:r>
            <w:r>
              <w:rPr>
                <w:rFonts w:hint="eastAsia"/>
                <w:sz w:val="24"/>
              </w:rPr>
              <w:t>公顷，包括现状建成区、规划集中连片的城镇集中建设区、城中村、城边村和经济及开发区、乡镇工业园区等，主要分布在梁山街道、水泊街道、马营镇、杨营镇、拳铺镇，其他各镇均有分布。</w:t>
            </w:r>
          </w:p>
          <w:p w14:paraId="61CCA465">
            <w:pPr>
              <w:pStyle w:val="101"/>
              <w:snapToGrid w:val="0"/>
              <w:rPr>
                <w:szCs w:val="24"/>
              </w:rPr>
            </w:pPr>
            <w:r>
              <w:rPr>
                <w:rFonts w:hint="eastAsia"/>
                <w:szCs w:val="24"/>
              </w:rPr>
              <w:t>根据《规划》中的《县域国土空间控制线规划图》，本项目所在厂区位于城镇开发边界内，不涉及生态保护红线，具体见附图6。</w:t>
            </w:r>
          </w:p>
          <w:p w14:paraId="7FB0894C">
            <w:pPr>
              <w:spacing w:line="360" w:lineRule="auto"/>
              <w:ind w:firstLine="420"/>
              <w:rPr>
                <w:b/>
                <w:sz w:val="24"/>
              </w:rPr>
            </w:pPr>
            <w:r>
              <w:rPr>
                <w:b/>
                <w:sz w:val="24"/>
              </w:rPr>
              <w:t>11、与</w:t>
            </w:r>
            <w:r>
              <w:rPr>
                <w:b/>
                <w:snapToGrid w:val="0"/>
                <w:kern w:val="0"/>
                <w:sz w:val="24"/>
              </w:rPr>
              <w:t>《空气质量持续改善行动计划》（国发〔2023〕24号）</w:t>
            </w:r>
            <w:r>
              <w:rPr>
                <w:b/>
                <w:sz w:val="24"/>
              </w:rPr>
              <w:t>符合性</w:t>
            </w:r>
          </w:p>
          <w:p w14:paraId="50EEF93E">
            <w:pPr>
              <w:spacing w:line="360" w:lineRule="auto"/>
              <w:jc w:val="center"/>
              <w:rPr>
                <w:b/>
                <w:bCs/>
                <w:sz w:val="24"/>
              </w:rPr>
            </w:pPr>
            <w:r>
              <w:rPr>
                <w:b/>
                <w:bCs/>
                <w:sz w:val="24"/>
              </w:rPr>
              <w:t>表10项目与</w:t>
            </w:r>
            <w:r>
              <w:rPr>
                <w:b/>
                <w:snapToGrid w:val="0"/>
                <w:kern w:val="0"/>
                <w:sz w:val="24"/>
              </w:rPr>
              <w:t>《空气质量持续改善行动计划》（国发〔2023〕24号）</w:t>
            </w:r>
            <w:r>
              <w:rPr>
                <w:b/>
                <w:bCs/>
                <w:sz w:val="24"/>
              </w:rPr>
              <w:t>符合性分析一览表</w:t>
            </w:r>
          </w:p>
          <w:tbl>
            <w:tblPr>
              <w:tblStyle w:val="25"/>
              <w:tblW w:w="8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3"/>
              <w:gridCol w:w="2023"/>
              <w:gridCol w:w="896"/>
            </w:tblGrid>
            <w:tr w14:paraId="7593E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46880791">
                  <w:pPr>
                    <w:jc w:val="center"/>
                    <w:rPr>
                      <w:b/>
                      <w:szCs w:val="21"/>
                    </w:rPr>
                  </w:pPr>
                  <w:r>
                    <w:rPr>
                      <w:rFonts w:hint="eastAsia" w:hAnsi="宋体"/>
                      <w:b/>
                      <w:snapToGrid w:val="0"/>
                      <w:kern w:val="0"/>
                      <w:szCs w:val="21"/>
                    </w:rPr>
                    <w:t>国发〔2023〕24号</w:t>
                  </w:r>
                  <w:r>
                    <w:rPr>
                      <w:rFonts w:hint="eastAsia"/>
                      <w:b/>
                      <w:szCs w:val="21"/>
                    </w:rPr>
                    <w:t>要求</w:t>
                  </w:r>
                </w:p>
              </w:tc>
              <w:tc>
                <w:tcPr>
                  <w:tcW w:w="2023" w:type="dxa"/>
                  <w:shd w:val="clear" w:color="auto" w:fill="auto"/>
                  <w:vAlign w:val="center"/>
                </w:tcPr>
                <w:p w14:paraId="798FD8ED">
                  <w:pPr>
                    <w:jc w:val="center"/>
                    <w:rPr>
                      <w:b/>
                      <w:szCs w:val="21"/>
                    </w:rPr>
                  </w:pPr>
                  <w:r>
                    <w:rPr>
                      <w:b/>
                      <w:szCs w:val="21"/>
                    </w:rPr>
                    <w:t>本项目</w:t>
                  </w:r>
                  <w:r>
                    <w:rPr>
                      <w:rFonts w:hint="eastAsia"/>
                      <w:b/>
                      <w:szCs w:val="21"/>
                    </w:rPr>
                    <w:t>建设情况</w:t>
                  </w:r>
                </w:p>
              </w:tc>
              <w:tc>
                <w:tcPr>
                  <w:tcW w:w="896" w:type="dxa"/>
                  <w:shd w:val="clear" w:color="auto" w:fill="auto"/>
                  <w:vAlign w:val="center"/>
                </w:tcPr>
                <w:p w14:paraId="6BCA08CB">
                  <w:pPr>
                    <w:jc w:val="center"/>
                    <w:rPr>
                      <w:b/>
                      <w:szCs w:val="21"/>
                    </w:rPr>
                  </w:pPr>
                  <w:r>
                    <w:rPr>
                      <w:rFonts w:hint="eastAsia"/>
                      <w:b/>
                      <w:szCs w:val="21"/>
                    </w:rPr>
                    <w:t>符合性</w:t>
                  </w:r>
                </w:p>
              </w:tc>
            </w:tr>
            <w:tr w14:paraId="2A83D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1C6773E0">
                  <w:pPr>
                    <w:jc w:val="center"/>
                    <w:rPr>
                      <w:szCs w:val="21"/>
                    </w:rPr>
                  </w:pPr>
                  <w:r>
                    <w:rPr>
                      <w:rFonts w:hint="eastAsia"/>
                      <w:szCs w:val="21"/>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p w14:paraId="79E03C04">
                  <w:pPr>
                    <w:jc w:val="center"/>
                    <w:rPr>
                      <w:szCs w:val="21"/>
                    </w:rPr>
                  </w:pPr>
                  <w:r>
                    <w:rPr>
                      <w:rFonts w:hint="eastAsia"/>
                      <w:szCs w:val="21"/>
                    </w:rPr>
                    <w:t>严禁新增钢铁产能。推行钢铁、焦化、烧结一体化布局，大幅减少独立焦化、烧结、球团和热轧企业及工序，淘汰落后煤炭洗选产能；有序引导高炉—转炉长流程炼钢转型为电炉短流程炼钢。到2025年，短流程炼钢产量占比达15%。京津冀及周边地区继续实施“以钢定焦”，炼焦产能与长流程炼钢产能比控制在0.4左右。</w:t>
                  </w:r>
                </w:p>
              </w:tc>
              <w:tc>
                <w:tcPr>
                  <w:tcW w:w="2023" w:type="dxa"/>
                  <w:shd w:val="clear" w:color="auto" w:fill="auto"/>
                  <w:vAlign w:val="center"/>
                </w:tcPr>
                <w:p w14:paraId="0313A95A">
                  <w:pPr>
                    <w:rPr>
                      <w:szCs w:val="21"/>
                    </w:rPr>
                  </w:pPr>
                  <w:r>
                    <w:rPr>
                      <w:szCs w:val="21"/>
                    </w:rPr>
                    <w:t>本项目</w:t>
                  </w:r>
                  <w:r>
                    <w:rPr>
                      <w:rFonts w:hint="eastAsia"/>
                      <w:szCs w:val="21"/>
                    </w:rPr>
                    <w:t>不属于高耗能、高排放、低水平项目，不属于钢铁生产项目</w:t>
                  </w:r>
                </w:p>
              </w:tc>
              <w:tc>
                <w:tcPr>
                  <w:tcW w:w="896" w:type="dxa"/>
                  <w:shd w:val="clear" w:color="auto" w:fill="auto"/>
                  <w:vAlign w:val="center"/>
                </w:tcPr>
                <w:p w14:paraId="26E86A9C">
                  <w:pPr>
                    <w:jc w:val="center"/>
                    <w:rPr>
                      <w:szCs w:val="21"/>
                    </w:rPr>
                  </w:pPr>
                  <w:r>
                    <w:rPr>
                      <w:kern w:val="0"/>
                      <w:szCs w:val="21"/>
                    </w:rPr>
                    <w:t>符合</w:t>
                  </w:r>
                </w:p>
              </w:tc>
            </w:tr>
            <w:tr w14:paraId="0C3C8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09C52110">
                  <w:pPr>
                    <w:jc w:val="center"/>
                    <w:rPr>
                      <w:szCs w:val="21"/>
                    </w:rPr>
                  </w:pPr>
                  <w:r>
                    <w:rPr>
                      <w:rFonts w:hint="eastAsia"/>
                      <w:szCs w:val="21"/>
                    </w:rPr>
                    <w:t>加快退出重点行业落后产能。修订《产业结构调整指导目录》，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2023" w:type="dxa"/>
                  <w:shd w:val="clear" w:color="auto" w:fill="auto"/>
                  <w:vAlign w:val="center"/>
                </w:tcPr>
                <w:p w14:paraId="5E443B54">
                  <w:pPr>
                    <w:rPr>
                      <w:szCs w:val="21"/>
                    </w:rPr>
                  </w:pPr>
                  <w:r>
                    <w:rPr>
                      <w:rFonts w:hint="eastAsia"/>
                      <w:szCs w:val="21"/>
                    </w:rPr>
                    <w:t>本项目不属于重点落后产能行业</w:t>
                  </w:r>
                </w:p>
              </w:tc>
              <w:tc>
                <w:tcPr>
                  <w:tcW w:w="896" w:type="dxa"/>
                  <w:shd w:val="clear" w:color="auto" w:fill="auto"/>
                  <w:vAlign w:val="center"/>
                </w:tcPr>
                <w:p w14:paraId="782A5FCE">
                  <w:pPr>
                    <w:kinsoku w:val="0"/>
                    <w:overflowPunct w:val="0"/>
                    <w:jc w:val="center"/>
                    <w:rPr>
                      <w:rFonts w:cs="宋体"/>
                      <w:szCs w:val="21"/>
                      <w:lang w:val="zh-CN" w:bidi="zh-CN"/>
                    </w:rPr>
                  </w:pPr>
                  <w:r>
                    <w:rPr>
                      <w:rFonts w:hint="eastAsia" w:cs="宋体"/>
                      <w:szCs w:val="21"/>
                      <w:lang w:val="zh-CN" w:bidi="zh-CN"/>
                    </w:rPr>
                    <w:t>符合</w:t>
                  </w:r>
                </w:p>
              </w:tc>
            </w:tr>
            <w:tr w14:paraId="26AD5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5243" w:type="dxa"/>
                  <w:shd w:val="clear" w:color="auto" w:fill="auto"/>
                  <w:vAlign w:val="center"/>
                </w:tcPr>
                <w:p w14:paraId="1430776D">
                  <w:pPr>
                    <w:jc w:val="center"/>
                    <w:rPr>
                      <w:szCs w:val="21"/>
                    </w:rPr>
                  </w:pPr>
                  <w:r>
                    <w:rPr>
                      <w:rFonts w:hint="eastAsia"/>
                      <w:szCs w:val="21"/>
                    </w:rPr>
                    <w:t>全面开展传统产业集群升级改造。中小型传统制造企业集中的城市要制定涉气产业集群发展规划，严格项目审批，严防污染下乡。针对现有产业集群制定专项整治方案，依法淘汰关停一批、搬迁入园一批、就地改造一批、做优做强一批。各地要结合产业集群特点，因地制宜建设集中供热中心、集中喷涂中心、有机溶剂集中回收处置中心、活性炭集中再生中心。</w:t>
                  </w:r>
                </w:p>
              </w:tc>
              <w:tc>
                <w:tcPr>
                  <w:tcW w:w="2023" w:type="dxa"/>
                  <w:shd w:val="clear" w:color="auto" w:fill="auto"/>
                  <w:vAlign w:val="center"/>
                </w:tcPr>
                <w:p w14:paraId="7475CCB6">
                  <w:pPr>
                    <w:jc w:val="center"/>
                    <w:rPr>
                      <w:szCs w:val="21"/>
                    </w:rPr>
                  </w:pPr>
                  <w:r>
                    <w:rPr>
                      <w:rFonts w:hint="eastAsia"/>
                      <w:szCs w:val="21"/>
                    </w:rPr>
                    <w:t>本项目位于梁山经济开发区，梁山经济开发区为合规工业园区</w:t>
                  </w:r>
                </w:p>
              </w:tc>
              <w:tc>
                <w:tcPr>
                  <w:tcW w:w="896" w:type="dxa"/>
                  <w:shd w:val="clear" w:color="auto" w:fill="auto"/>
                  <w:vAlign w:val="center"/>
                </w:tcPr>
                <w:p w14:paraId="511A8624">
                  <w:pPr>
                    <w:kinsoku w:val="0"/>
                    <w:overflowPunct w:val="0"/>
                    <w:jc w:val="center"/>
                    <w:rPr>
                      <w:rFonts w:cs="宋体"/>
                      <w:szCs w:val="21"/>
                      <w:lang w:val="zh-CN" w:bidi="zh-CN"/>
                    </w:rPr>
                  </w:pPr>
                  <w:r>
                    <w:rPr>
                      <w:rFonts w:hint="eastAsia" w:cs="宋体"/>
                      <w:szCs w:val="21"/>
                      <w:lang w:val="zh-CN" w:bidi="zh-CN"/>
                    </w:rPr>
                    <w:t>符合</w:t>
                  </w:r>
                </w:p>
              </w:tc>
            </w:tr>
            <w:tr w14:paraId="72DCF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5243" w:type="dxa"/>
                  <w:shd w:val="clear" w:color="auto" w:fill="auto"/>
                  <w:vAlign w:val="center"/>
                </w:tcPr>
                <w:p w14:paraId="16FEA3E1">
                  <w:pPr>
                    <w:jc w:val="center"/>
                    <w:rPr>
                      <w:szCs w:val="21"/>
                    </w:rPr>
                  </w:pPr>
                  <w:r>
                    <w:rPr>
                      <w:rFonts w:hint="eastAsia"/>
                      <w:szCs w:val="21"/>
                    </w:rPr>
                    <w:t>优化含VOCs原辅材料和产品结构。严格控制生产和使用高VOCs含量涂料、油墨、胶粘剂、清洗剂等建设项目，提高低（无）VOCs含量产品比重。实施源头替代工程，加大工业涂装、包装印刷和电子行业低（无）VOCs含量原辅材料替代力度。室外构筑物防护和城市道路交通标志推广使用低（无）VOCs含量涂料。在生产、销售、进口、使用等环节严格执行VOCs含量限值标准。</w:t>
                  </w:r>
                </w:p>
              </w:tc>
              <w:tc>
                <w:tcPr>
                  <w:tcW w:w="2023" w:type="dxa"/>
                  <w:shd w:val="clear" w:color="auto" w:fill="auto"/>
                  <w:vAlign w:val="center"/>
                </w:tcPr>
                <w:p w14:paraId="536C5EB0">
                  <w:pPr>
                    <w:jc w:val="center"/>
                    <w:rPr>
                      <w:szCs w:val="21"/>
                    </w:rPr>
                  </w:pPr>
                  <w:r>
                    <w:rPr>
                      <w:rFonts w:hint="eastAsia"/>
                      <w:szCs w:val="21"/>
                    </w:rPr>
                    <w:t>本项目使用的涂料为低VOCs含量的塑粉，从源头减少VOCs产生</w:t>
                  </w:r>
                </w:p>
              </w:tc>
              <w:tc>
                <w:tcPr>
                  <w:tcW w:w="896" w:type="dxa"/>
                  <w:shd w:val="clear" w:color="auto" w:fill="auto"/>
                  <w:vAlign w:val="center"/>
                </w:tcPr>
                <w:p w14:paraId="68F67C29">
                  <w:pPr>
                    <w:kinsoku w:val="0"/>
                    <w:overflowPunct w:val="0"/>
                    <w:jc w:val="center"/>
                    <w:rPr>
                      <w:rFonts w:cs="宋体"/>
                      <w:szCs w:val="21"/>
                      <w:lang w:val="zh-CN" w:bidi="zh-CN"/>
                    </w:rPr>
                  </w:pPr>
                  <w:r>
                    <w:rPr>
                      <w:rFonts w:hint="eastAsia" w:cs="宋体"/>
                      <w:szCs w:val="21"/>
                      <w:lang w:val="zh-CN" w:bidi="zh-CN"/>
                    </w:rPr>
                    <w:t>符合</w:t>
                  </w:r>
                </w:p>
              </w:tc>
            </w:tr>
          </w:tbl>
          <w:p w14:paraId="7AA1655D">
            <w:pPr>
              <w:adjustRightInd w:val="0"/>
              <w:spacing w:line="360" w:lineRule="auto"/>
              <w:ind w:firstLine="480" w:firstLineChars="200"/>
              <w:rPr>
                <w:kern w:val="0"/>
                <w:sz w:val="24"/>
              </w:rPr>
            </w:pPr>
            <w:r>
              <w:rPr>
                <w:rFonts w:hint="eastAsia"/>
                <w:sz w:val="24"/>
              </w:rPr>
              <w:t>由上表可知，本项目符合</w:t>
            </w:r>
            <w:r>
              <w:rPr>
                <w:rFonts w:hint="eastAsia" w:hAnsi="宋体"/>
                <w:snapToGrid w:val="0"/>
                <w:kern w:val="0"/>
                <w:sz w:val="24"/>
              </w:rPr>
              <w:t>《空气质量持续改善行动计划》（国发〔2023〕24号）</w:t>
            </w:r>
            <w:r>
              <w:rPr>
                <w:rFonts w:hint="eastAsia"/>
                <w:sz w:val="24"/>
              </w:rPr>
              <w:t>要求。</w:t>
            </w:r>
          </w:p>
          <w:p w14:paraId="72EA1E4B">
            <w:pPr>
              <w:spacing w:line="360" w:lineRule="auto"/>
              <w:ind w:firstLine="420"/>
              <w:rPr>
                <w:b/>
                <w:sz w:val="24"/>
              </w:rPr>
            </w:pPr>
            <w:r>
              <w:rPr>
                <w:b/>
                <w:sz w:val="24"/>
              </w:rPr>
              <w:t>12</w:t>
            </w:r>
            <w:r>
              <w:rPr>
                <w:rFonts w:hint="eastAsia"/>
                <w:b/>
                <w:sz w:val="24"/>
              </w:rPr>
              <w:t>、与</w:t>
            </w:r>
            <w:r>
              <w:rPr>
                <w:rFonts w:hint="eastAsia" w:hAnsi="宋体"/>
                <w:b/>
                <w:snapToGrid w:val="0"/>
                <w:kern w:val="0"/>
                <w:sz w:val="24"/>
              </w:rPr>
              <w:t>《生态环境分区管控管理暂行规定》（环环评〔2024〕41号）</w:t>
            </w:r>
            <w:r>
              <w:rPr>
                <w:rFonts w:hint="eastAsia"/>
                <w:b/>
                <w:sz w:val="24"/>
              </w:rPr>
              <w:t>符合性</w:t>
            </w:r>
          </w:p>
          <w:p w14:paraId="0BDC553A">
            <w:pPr>
              <w:spacing w:line="360" w:lineRule="auto"/>
              <w:jc w:val="center"/>
              <w:rPr>
                <w:b/>
                <w:bCs/>
                <w:sz w:val="24"/>
              </w:rPr>
            </w:pPr>
            <w:r>
              <w:rPr>
                <w:rFonts w:hint="eastAsia"/>
                <w:b/>
                <w:bCs/>
                <w:sz w:val="24"/>
              </w:rPr>
              <w:t>表1</w:t>
            </w:r>
            <w:r>
              <w:rPr>
                <w:b/>
                <w:bCs/>
                <w:sz w:val="24"/>
              </w:rPr>
              <w:t>1项目</w:t>
            </w:r>
            <w:r>
              <w:rPr>
                <w:rFonts w:hint="eastAsia"/>
                <w:b/>
                <w:bCs/>
                <w:sz w:val="24"/>
              </w:rPr>
              <w:t>与</w:t>
            </w:r>
            <w:r>
              <w:rPr>
                <w:rFonts w:hint="eastAsia" w:hAnsi="宋体"/>
                <w:b/>
                <w:snapToGrid w:val="0"/>
                <w:kern w:val="0"/>
                <w:sz w:val="24"/>
              </w:rPr>
              <w:t>《生态环境分区管控管理暂行规定》（环环评〔2024〕41号）</w:t>
            </w:r>
            <w:r>
              <w:rPr>
                <w:rFonts w:hint="eastAsia"/>
                <w:b/>
                <w:bCs/>
                <w:sz w:val="24"/>
              </w:rPr>
              <w:t>符合性分析</w:t>
            </w:r>
            <w:r>
              <w:rPr>
                <w:b/>
                <w:bCs/>
                <w:sz w:val="24"/>
              </w:rPr>
              <w:t>一览表</w:t>
            </w:r>
          </w:p>
          <w:tbl>
            <w:tblPr>
              <w:tblStyle w:val="25"/>
              <w:tblW w:w="8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3"/>
              <w:gridCol w:w="2023"/>
              <w:gridCol w:w="896"/>
            </w:tblGrid>
            <w:tr w14:paraId="434A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10E08D3A">
                  <w:pPr>
                    <w:jc w:val="center"/>
                    <w:rPr>
                      <w:b/>
                      <w:szCs w:val="21"/>
                    </w:rPr>
                  </w:pPr>
                  <w:r>
                    <w:rPr>
                      <w:rFonts w:hint="eastAsia" w:hAnsi="宋体"/>
                      <w:b/>
                      <w:snapToGrid w:val="0"/>
                      <w:kern w:val="0"/>
                      <w:szCs w:val="21"/>
                    </w:rPr>
                    <w:t>环环评〔2024〕41号</w:t>
                  </w:r>
                </w:p>
              </w:tc>
              <w:tc>
                <w:tcPr>
                  <w:tcW w:w="2023" w:type="dxa"/>
                  <w:shd w:val="clear" w:color="auto" w:fill="auto"/>
                  <w:vAlign w:val="center"/>
                </w:tcPr>
                <w:p w14:paraId="1F2DD84B">
                  <w:pPr>
                    <w:jc w:val="center"/>
                    <w:rPr>
                      <w:b/>
                      <w:szCs w:val="21"/>
                    </w:rPr>
                  </w:pPr>
                  <w:r>
                    <w:rPr>
                      <w:b/>
                      <w:szCs w:val="21"/>
                    </w:rPr>
                    <w:t>本项目</w:t>
                  </w:r>
                  <w:r>
                    <w:rPr>
                      <w:rFonts w:hint="eastAsia"/>
                      <w:b/>
                      <w:szCs w:val="21"/>
                    </w:rPr>
                    <w:t>建设情况</w:t>
                  </w:r>
                </w:p>
              </w:tc>
              <w:tc>
                <w:tcPr>
                  <w:tcW w:w="896" w:type="dxa"/>
                  <w:shd w:val="clear" w:color="auto" w:fill="auto"/>
                  <w:vAlign w:val="center"/>
                </w:tcPr>
                <w:p w14:paraId="3414F515">
                  <w:pPr>
                    <w:jc w:val="center"/>
                    <w:rPr>
                      <w:b/>
                      <w:szCs w:val="21"/>
                    </w:rPr>
                  </w:pPr>
                  <w:r>
                    <w:rPr>
                      <w:rFonts w:hint="eastAsia"/>
                      <w:b/>
                      <w:szCs w:val="21"/>
                    </w:rPr>
                    <w:t>符合性</w:t>
                  </w:r>
                </w:p>
              </w:tc>
            </w:tr>
            <w:tr w14:paraId="63F21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0B3F192F">
                  <w:pPr>
                    <w:jc w:val="center"/>
                    <w:rPr>
                      <w:szCs w:val="21"/>
                    </w:rPr>
                  </w:pPr>
                  <w:r>
                    <w:rPr>
                      <w:rFonts w:hint="eastAsia"/>
                      <w:szCs w:val="21"/>
                    </w:rPr>
                    <w:t>建设项目开展环评工作初期，应分析与生态环境分区管控要求的符合性，对不满足要求的，应进一步论证其生态环境可行性，优化调整项目建设内容或重新选址。建设项目环评审批部门开展审批时，应重点审查项目选址选线、生态影响、污染物排放、风险防范等与生态环境分区管控方案的符合性。</w:t>
                  </w:r>
                </w:p>
              </w:tc>
              <w:tc>
                <w:tcPr>
                  <w:tcW w:w="2023" w:type="dxa"/>
                  <w:shd w:val="clear" w:color="auto" w:fill="auto"/>
                  <w:vAlign w:val="center"/>
                </w:tcPr>
                <w:p w14:paraId="44AACCD1">
                  <w:pPr>
                    <w:rPr>
                      <w:szCs w:val="21"/>
                    </w:rPr>
                  </w:pPr>
                  <w:r>
                    <w:rPr>
                      <w:szCs w:val="21"/>
                    </w:rPr>
                    <w:t>本项目</w:t>
                  </w:r>
                  <w:r>
                    <w:rPr>
                      <w:rFonts w:hint="eastAsia"/>
                      <w:szCs w:val="21"/>
                    </w:rPr>
                    <w:t>符合《济宁市生态环境委员会办公室＜关于发布 2023年生态环境分区管控动态更新成果的通知＞》（济环委办〔2024〕5号）要求</w:t>
                  </w:r>
                </w:p>
              </w:tc>
              <w:tc>
                <w:tcPr>
                  <w:tcW w:w="896" w:type="dxa"/>
                  <w:shd w:val="clear" w:color="auto" w:fill="auto"/>
                  <w:vAlign w:val="center"/>
                </w:tcPr>
                <w:p w14:paraId="05C8D346">
                  <w:pPr>
                    <w:jc w:val="center"/>
                    <w:rPr>
                      <w:szCs w:val="21"/>
                    </w:rPr>
                  </w:pPr>
                  <w:r>
                    <w:rPr>
                      <w:kern w:val="0"/>
                      <w:szCs w:val="21"/>
                    </w:rPr>
                    <w:t>符合</w:t>
                  </w:r>
                </w:p>
              </w:tc>
            </w:tr>
          </w:tbl>
          <w:p w14:paraId="3CEA5448">
            <w:pPr>
              <w:adjustRightInd w:val="0"/>
              <w:spacing w:line="360" w:lineRule="auto"/>
              <w:ind w:firstLine="420" w:firstLineChars="200"/>
              <w:rPr>
                <w:kern w:val="0"/>
                <w:szCs w:val="21"/>
              </w:rPr>
            </w:pPr>
            <w:r>
              <w:rPr>
                <w:rFonts w:hint="eastAsia"/>
                <w:szCs w:val="21"/>
              </w:rPr>
              <w:t>由上表可知，本项目符合</w:t>
            </w:r>
            <w:r>
              <w:rPr>
                <w:rFonts w:hint="eastAsia" w:hAnsi="宋体"/>
                <w:snapToGrid w:val="0"/>
                <w:kern w:val="0"/>
                <w:szCs w:val="21"/>
              </w:rPr>
              <w:t>《生态环境分区管控管理暂行规定》（环环评〔2024〕41号）</w:t>
            </w:r>
            <w:r>
              <w:rPr>
                <w:rFonts w:hint="eastAsia"/>
                <w:szCs w:val="21"/>
              </w:rPr>
              <w:t>要求。</w:t>
            </w:r>
          </w:p>
          <w:p w14:paraId="32660395">
            <w:pPr>
              <w:spacing w:line="360" w:lineRule="auto"/>
              <w:ind w:firstLine="420"/>
              <w:rPr>
                <w:b/>
                <w:sz w:val="24"/>
              </w:rPr>
            </w:pPr>
            <w:r>
              <w:rPr>
                <w:b/>
                <w:sz w:val="24"/>
              </w:rPr>
              <w:t>13</w:t>
            </w:r>
            <w:r>
              <w:rPr>
                <w:rFonts w:hint="eastAsia"/>
                <w:b/>
                <w:sz w:val="24"/>
              </w:rPr>
              <w:t>、与</w:t>
            </w:r>
            <w:r>
              <w:rPr>
                <w:rFonts w:hint="eastAsia" w:hAnsi="宋体"/>
                <w:b/>
                <w:snapToGrid w:val="0"/>
                <w:kern w:val="0"/>
                <w:sz w:val="24"/>
              </w:rPr>
              <w:t>《土壤污染源头防控行动计划》（环土壤〔</w:t>
            </w:r>
            <w:r>
              <w:rPr>
                <w:rFonts w:hAnsi="宋体"/>
                <w:b/>
                <w:snapToGrid w:val="0"/>
                <w:kern w:val="0"/>
                <w:sz w:val="24"/>
              </w:rPr>
              <w:t>2024</w:t>
            </w:r>
            <w:r>
              <w:rPr>
                <w:rFonts w:hint="eastAsia" w:hAnsi="宋体"/>
                <w:b/>
                <w:snapToGrid w:val="0"/>
                <w:kern w:val="0"/>
                <w:sz w:val="24"/>
              </w:rPr>
              <w:t>〕</w:t>
            </w:r>
            <w:r>
              <w:rPr>
                <w:rFonts w:hAnsi="宋体"/>
                <w:b/>
                <w:snapToGrid w:val="0"/>
                <w:kern w:val="0"/>
                <w:sz w:val="24"/>
              </w:rPr>
              <w:t>80</w:t>
            </w:r>
            <w:r>
              <w:rPr>
                <w:rFonts w:hint="eastAsia" w:hAnsi="宋体"/>
                <w:b/>
                <w:snapToGrid w:val="0"/>
                <w:kern w:val="0"/>
                <w:sz w:val="24"/>
              </w:rPr>
              <w:t>号）</w:t>
            </w:r>
            <w:r>
              <w:rPr>
                <w:rFonts w:hint="eastAsia"/>
                <w:b/>
                <w:sz w:val="24"/>
              </w:rPr>
              <w:t>符合性</w:t>
            </w:r>
          </w:p>
          <w:p w14:paraId="6537A719">
            <w:pPr>
              <w:spacing w:line="360" w:lineRule="auto"/>
              <w:jc w:val="center"/>
              <w:rPr>
                <w:b/>
                <w:bCs/>
                <w:sz w:val="24"/>
              </w:rPr>
            </w:pPr>
            <w:r>
              <w:rPr>
                <w:rFonts w:hint="eastAsia"/>
                <w:b/>
                <w:bCs/>
                <w:sz w:val="24"/>
              </w:rPr>
              <w:t>表</w:t>
            </w:r>
            <w:r>
              <w:rPr>
                <w:b/>
                <w:bCs/>
                <w:sz w:val="24"/>
              </w:rPr>
              <w:t>12项目</w:t>
            </w:r>
            <w:r>
              <w:rPr>
                <w:rFonts w:hint="eastAsia"/>
                <w:b/>
                <w:bCs/>
                <w:sz w:val="24"/>
              </w:rPr>
              <w:t>与</w:t>
            </w:r>
            <w:r>
              <w:rPr>
                <w:rFonts w:hint="eastAsia" w:hAnsi="宋体"/>
                <w:b/>
                <w:snapToGrid w:val="0"/>
                <w:kern w:val="0"/>
                <w:sz w:val="24"/>
              </w:rPr>
              <w:t>《土壤污染源头防控行动计划》（环土壤〔</w:t>
            </w:r>
            <w:r>
              <w:rPr>
                <w:rFonts w:hAnsi="宋体"/>
                <w:b/>
                <w:snapToGrid w:val="0"/>
                <w:kern w:val="0"/>
                <w:sz w:val="24"/>
              </w:rPr>
              <w:t>2024</w:t>
            </w:r>
            <w:r>
              <w:rPr>
                <w:rFonts w:hint="eastAsia" w:hAnsi="宋体"/>
                <w:b/>
                <w:snapToGrid w:val="0"/>
                <w:kern w:val="0"/>
                <w:sz w:val="24"/>
              </w:rPr>
              <w:t>〕</w:t>
            </w:r>
            <w:r>
              <w:rPr>
                <w:rFonts w:hAnsi="宋体"/>
                <w:b/>
                <w:snapToGrid w:val="0"/>
                <w:kern w:val="0"/>
                <w:sz w:val="24"/>
              </w:rPr>
              <w:t>80</w:t>
            </w:r>
            <w:r>
              <w:rPr>
                <w:rFonts w:hint="eastAsia" w:hAnsi="宋体"/>
                <w:b/>
                <w:snapToGrid w:val="0"/>
                <w:kern w:val="0"/>
                <w:sz w:val="24"/>
              </w:rPr>
              <w:t>号）</w:t>
            </w:r>
            <w:r>
              <w:rPr>
                <w:rFonts w:hint="eastAsia"/>
                <w:b/>
                <w:bCs/>
                <w:sz w:val="24"/>
              </w:rPr>
              <w:t>符合性分析一览表</w:t>
            </w:r>
          </w:p>
          <w:tbl>
            <w:tblPr>
              <w:tblStyle w:val="25"/>
              <w:tblW w:w="8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3"/>
              <w:gridCol w:w="2023"/>
              <w:gridCol w:w="896"/>
            </w:tblGrid>
            <w:tr w14:paraId="45ECA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17C1E61C">
                  <w:pPr>
                    <w:jc w:val="center"/>
                    <w:rPr>
                      <w:b/>
                      <w:szCs w:val="21"/>
                    </w:rPr>
                  </w:pPr>
                  <w:r>
                    <w:rPr>
                      <w:rFonts w:hint="eastAsia" w:hAnsi="宋体"/>
                      <w:b/>
                      <w:snapToGrid w:val="0"/>
                      <w:kern w:val="0"/>
                      <w:szCs w:val="21"/>
                    </w:rPr>
                    <w:t>环土壤〔</w:t>
                  </w:r>
                  <w:r>
                    <w:rPr>
                      <w:rFonts w:hAnsi="宋体"/>
                      <w:b/>
                      <w:snapToGrid w:val="0"/>
                      <w:kern w:val="0"/>
                      <w:szCs w:val="21"/>
                    </w:rPr>
                    <w:t>2024</w:t>
                  </w:r>
                  <w:r>
                    <w:rPr>
                      <w:rFonts w:hint="eastAsia" w:hAnsi="宋体"/>
                      <w:b/>
                      <w:snapToGrid w:val="0"/>
                      <w:kern w:val="0"/>
                      <w:szCs w:val="21"/>
                    </w:rPr>
                    <w:t>〕</w:t>
                  </w:r>
                  <w:r>
                    <w:rPr>
                      <w:rFonts w:hAnsi="宋体"/>
                      <w:b/>
                      <w:snapToGrid w:val="0"/>
                      <w:kern w:val="0"/>
                      <w:szCs w:val="21"/>
                    </w:rPr>
                    <w:t>80</w:t>
                  </w:r>
                  <w:r>
                    <w:rPr>
                      <w:rFonts w:hint="eastAsia" w:hAnsi="宋体"/>
                      <w:b/>
                      <w:snapToGrid w:val="0"/>
                      <w:kern w:val="0"/>
                      <w:szCs w:val="21"/>
                    </w:rPr>
                    <w:t>号</w:t>
                  </w:r>
                  <w:r>
                    <w:rPr>
                      <w:rFonts w:hint="eastAsia"/>
                      <w:b/>
                      <w:szCs w:val="21"/>
                    </w:rPr>
                    <w:t>要求</w:t>
                  </w:r>
                </w:p>
              </w:tc>
              <w:tc>
                <w:tcPr>
                  <w:tcW w:w="2023" w:type="dxa"/>
                  <w:shd w:val="clear" w:color="auto" w:fill="auto"/>
                  <w:vAlign w:val="center"/>
                </w:tcPr>
                <w:p w14:paraId="567FC296">
                  <w:pPr>
                    <w:jc w:val="center"/>
                    <w:rPr>
                      <w:b/>
                      <w:szCs w:val="21"/>
                    </w:rPr>
                  </w:pPr>
                  <w:r>
                    <w:rPr>
                      <w:rFonts w:hint="eastAsia"/>
                      <w:b/>
                      <w:szCs w:val="21"/>
                    </w:rPr>
                    <w:t>本项目建设情况</w:t>
                  </w:r>
                </w:p>
              </w:tc>
              <w:tc>
                <w:tcPr>
                  <w:tcW w:w="896" w:type="dxa"/>
                  <w:shd w:val="clear" w:color="auto" w:fill="auto"/>
                  <w:vAlign w:val="center"/>
                </w:tcPr>
                <w:p w14:paraId="6E94F645">
                  <w:pPr>
                    <w:jc w:val="center"/>
                    <w:rPr>
                      <w:b/>
                      <w:szCs w:val="21"/>
                    </w:rPr>
                  </w:pPr>
                  <w:r>
                    <w:rPr>
                      <w:rFonts w:hint="eastAsia"/>
                      <w:b/>
                      <w:szCs w:val="21"/>
                    </w:rPr>
                    <w:t>符合性</w:t>
                  </w:r>
                </w:p>
              </w:tc>
            </w:tr>
            <w:tr w14:paraId="3C99E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6785EC56">
                  <w:pPr>
                    <w:jc w:val="center"/>
                    <w:rPr>
                      <w:szCs w:val="21"/>
                    </w:rPr>
                  </w:pPr>
                  <w:r>
                    <w:rPr>
                      <w:rFonts w:hint="eastAsia"/>
                      <w:szCs w:val="21"/>
                    </w:rPr>
                    <w:t>减少涉重金属废气排放。持续高质量推进钢铁、水泥、焦化行业和燃煤锅炉企业超低排放改造工作，推动已完成超低排放改造的企业及时变更排污许可证。开展重点行业大气污染物排放标准制修订。内蒙古、江西、河南、湖北、湖南、广东、广西、四川、贵州、云南、陕西、甘肃、新疆等省（区）矿产资源开发活动集中的区域继续执行重点污染物特别排放限值。推动上述省（区）以外的省级人民政府划定执行颗粒物特别排放限值的区域，重点聚焦有色金属矿产资源开发活动集中区域和受污染耕地安全利用、严格管控任务较重区域。在受污染耕地集中地区，耕地土壤重金属含量呈上升趋势的地区，经排查主要由大气污染源造成的，采取相应的污染源头管控措施。推动有色金属矿采选、冶炼行业颗粒物深度治理，实施颗粒物治理升级改造工程，加强除尘工艺废气、生产车间低空逸散烟气收集处理。</w:t>
                  </w:r>
                </w:p>
              </w:tc>
              <w:tc>
                <w:tcPr>
                  <w:tcW w:w="2023" w:type="dxa"/>
                  <w:shd w:val="clear" w:color="auto" w:fill="auto"/>
                  <w:vAlign w:val="center"/>
                </w:tcPr>
                <w:p w14:paraId="53262B4F">
                  <w:pPr>
                    <w:rPr>
                      <w:szCs w:val="21"/>
                    </w:rPr>
                  </w:pPr>
                  <w:r>
                    <w:rPr>
                      <w:rFonts w:hint="eastAsia"/>
                      <w:szCs w:val="21"/>
                    </w:rPr>
                    <w:t>本项目不涉及涉重金属废气排放</w:t>
                  </w:r>
                </w:p>
              </w:tc>
              <w:tc>
                <w:tcPr>
                  <w:tcW w:w="896" w:type="dxa"/>
                  <w:shd w:val="clear" w:color="auto" w:fill="auto"/>
                  <w:vAlign w:val="center"/>
                </w:tcPr>
                <w:p w14:paraId="2BDD3934">
                  <w:pPr>
                    <w:jc w:val="center"/>
                    <w:rPr>
                      <w:szCs w:val="21"/>
                    </w:rPr>
                  </w:pPr>
                  <w:r>
                    <w:rPr>
                      <w:rFonts w:hint="eastAsia"/>
                      <w:kern w:val="0"/>
                      <w:szCs w:val="21"/>
                    </w:rPr>
                    <w:t>符合</w:t>
                  </w:r>
                </w:p>
              </w:tc>
            </w:tr>
            <w:tr w14:paraId="3EC3F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75218B01">
                  <w:pPr>
                    <w:jc w:val="center"/>
                    <w:rPr>
                      <w:szCs w:val="21"/>
                    </w:rPr>
                  </w:pPr>
                  <w:r>
                    <w:rPr>
                      <w:rFonts w:hint="eastAsia"/>
                      <w:szCs w:val="21"/>
                    </w:rPr>
                    <w:t>推进固体废物源头减量和综合利用。加强一般工业固体废物规范化环境管理，开展历史遗留固体废物堆存场摸底排查和分级分类整改，全面完善防渗漏、防流失、防扬散等措施。严密防控危险废物环境风险，深化危险废物规范化环境管理评估，推进全过程信息化环境管理，严格管控最终填埋处置。严厉打击非法排放、倾倒、转移、处置固体废物，尤其是危险废物环境违法犯罪行为。加快推进大宗固体废弃物综合利用示范基地、工业资源综合利用基地建设，推动提升磷石膏、赤泥等复杂难用大宗固废净化处理和综合利用水平。加强废弃电器电子产品、报废机动车、废有色金属等再生资源加工利用企业土壤和地下水污染防治监管，强化防渗等措施落实。加强生活垃圾填埋场和危险废物处置场运行监管，严格落实雨污分流、地表水与地下水导排、渗沥液收集与处理等污染防治措施，对库容已满的规范有序开展封场治理。加强建筑垃圾处置监管</w:t>
                  </w:r>
                </w:p>
              </w:tc>
              <w:tc>
                <w:tcPr>
                  <w:tcW w:w="2023" w:type="dxa"/>
                  <w:shd w:val="clear" w:color="auto" w:fill="auto"/>
                  <w:vAlign w:val="center"/>
                </w:tcPr>
                <w:p w14:paraId="647513D6">
                  <w:pPr>
                    <w:rPr>
                      <w:szCs w:val="21"/>
                    </w:rPr>
                  </w:pPr>
                  <w:r>
                    <w:rPr>
                      <w:rFonts w:hint="eastAsia"/>
                      <w:kern w:val="0"/>
                      <w:szCs w:val="21"/>
                    </w:rPr>
                    <w:t>本项目</w:t>
                  </w:r>
                  <w:r>
                    <w:rPr>
                      <w:rFonts w:hint="eastAsia"/>
                      <w:szCs w:val="21"/>
                    </w:rPr>
                    <w:t>一般工业固体废物进行规范化环境管理，</w:t>
                  </w:r>
                  <w:r>
                    <w:rPr>
                      <w:rFonts w:hint="eastAsia"/>
                      <w:kern w:val="0"/>
                      <w:szCs w:val="21"/>
                    </w:rPr>
                    <w:t>危险废物暂存危废间，定期委托有资质单位处理，</w:t>
                  </w:r>
                  <w:r>
                    <w:rPr>
                      <w:rFonts w:hint="eastAsia"/>
                      <w:szCs w:val="21"/>
                    </w:rPr>
                    <w:t>均可得到妥善处理</w:t>
                  </w:r>
                </w:p>
              </w:tc>
              <w:tc>
                <w:tcPr>
                  <w:tcW w:w="896" w:type="dxa"/>
                  <w:shd w:val="clear" w:color="auto" w:fill="auto"/>
                  <w:vAlign w:val="center"/>
                </w:tcPr>
                <w:p w14:paraId="4CE0D5DD">
                  <w:pPr>
                    <w:kinsoku w:val="0"/>
                    <w:overflowPunct w:val="0"/>
                    <w:jc w:val="center"/>
                    <w:rPr>
                      <w:rFonts w:cs="宋体"/>
                      <w:szCs w:val="21"/>
                      <w:lang w:val="zh-CN" w:bidi="zh-CN"/>
                    </w:rPr>
                  </w:pPr>
                  <w:r>
                    <w:rPr>
                      <w:rFonts w:hint="eastAsia" w:cs="宋体"/>
                      <w:szCs w:val="21"/>
                      <w:lang w:val="zh-CN" w:bidi="zh-CN"/>
                    </w:rPr>
                    <w:t>符合</w:t>
                  </w:r>
                </w:p>
              </w:tc>
            </w:tr>
          </w:tbl>
          <w:p w14:paraId="74068852">
            <w:pPr>
              <w:adjustRightInd w:val="0"/>
              <w:spacing w:line="360" w:lineRule="auto"/>
              <w:ind w:firstLine="480" w:firstLineChars="200"/>
              <w:rPr>
                <w:sz w:val="24"/>
              </w:rPr>
            </w:pPr>
            <w:r>
              <w:rPr>
                <w:rFonts w:hint="eastAsia"/>
                <w:sz w:val="24"/>
              </w:rPr>
              <w:t>由上表可知，本项目符合</w:t>
            </w:r>
            <w:r>
              <w:rPr>
                <w:rFonts w:hint="eastAsia" w:hAnsi="宋体"/>
                <w:snapToGrid w:val="0"/>
                <w:kern w:val="0"/>
                <w:sz w:val="24"/>
              </w:rPr>
              <w:t>《土壤污染源头防控行动计划》（环土壤〔</w:t>
            </w:r>
            <w:r>
              <w:rPr>
                <w:rFonts w:hAnsi="宋体"/>
                <w:snapToGrid w:val="0"/>
                <w:kern w:val="0"/>
                <w:sz w:val="24"/>
              </w:rPr>
              <w:t>2024</w:t>
            </w:r>
            <w:r>
              <w:rPr>
                <w:rFonts w:hint="eastAsia" w:hAnsi="宋体"/>
                <w:snapToGrid w:val="0"/>
                <w:kern w:val="0"/>
                <w:sz w:val="24"/>
              </w:rPr>
              <w:t>〕</w:t>
            </w:r>
            <w:r>
              <w:rPr>
                <w:rFonts w:hAnsi="宋体"/>
                <w:snapToGrid w:val="0"/>
                <w:kern w:val="0"/>
                <w:sz w:val="24"/>
              </w:rPr>
              <w:t>80</w:t>
            </w:r>
            <w:r>
              <w:rPr>
                <w:rFonts w:hint="eastAsia" w:hAnsi="宋体"/>
                <w:snapToGrid w:val="0"/>
                <w:kern w:val="0"/>
                <w:sz w:val="24"/>
              </w:rPr>
              <w:t>号）</w:t>
            </w:r>
            <w:r>
              <w:rPr>
                <w:rFonts w:hint="eastAsia"/>
                <w:sz w:val="24"/>
              </w:rPr>
              <w:t>要求。</w:t>
            </w:r>
          </w:p>
          <w:p w14:paraId="5C826793">
            <w:pPr>
              <w:spacing w:line="360" w:lineRule="auto"/>
              <w:ind w:firstLine="420"/>
              <w:rPr>
                <w:b/>
                <w:sz w:val="24"/>
              </w:rPr>
            </w:pPr>
            <w:r>
              <w:rPr>
                <w:b/>
                <w:sz w:val="24"/>
              </w:rPr>
              <w:t>14</w:t>
            </w:r>
            <w:r>
              <w:rPr>
                <w:rFonts w:hint="eastAsia"/>
                <w:b/>
                <w:sz w:val="24"/>
              </w:rPr>
              <w:t>、与</w:t>
            </w:r>
            <w:r>
              <w:rPr>
                <w:rFonts w:hint="eastAsia" w:hAnsi="宋体"/>
                <w:b/>
                <w:snapToGrid w:val="0"/>
                <w:kern w:val="0"/>
                <w:sz w:val="24"/>
              </w:rPr>
              <w:t>《山东省空气质量持续改善暨第三轮“四减四增”行动实施方案》的通知（鲁政字〔2024〕102号）</w:t>
            </w:r>
            <w:r>
              <w:rPr>
                <w:rFonts w:hint="eastAsia"/>
                <w:b/>
                <w:sz w:val="24"/>
              </w:rPr>
              <w:t>符合性</w:t>
            </w:r>
          </w:p>
          <w:p w14:paraId="703D6CC6">
            <w:pPr>
              <w:spacing w:line="360" w:lineRule="auto"/>
              <w:jc w:val="center"/>
              <w:rPr>
                <w:b/>
                <w:bCs/>
                <w:sz w:val="24"/>
              </w:rPr>
            </w:pPr>
            <w:r>
              <w:rPr>
                <w:rFonts w:hint="eastAsia"/>
                <w:b/>
                <w:bCs/>
                <w:sz w:val="24"/>
              </w:rPr>
              <w:t>表</w:t>
            </w:r>
            <w:r>
              <w:rPr>
                <w:b/>
                <w:bCs/>
                <w:sz w:val="24"/>
              </w:rPr>
              <w:t>13项目</w:t>
            </w:r>
            <w:r>
              <w:rPr>
                <w:rFonts w:hint="eastAsia"/>
                <w:b/>
                <w:bCs/>
                <w:sz w:val="24"/>
              </w:rPr>
              <w:t>与</w:t>
            </w:r>
            <w:r>
              <w:rPr>
                <w:rFonts w:hint="eastAsia"/>
                <w:b/>
                <w:kern w:val="0"/>
                <w:sz w:val="24"/>
              </w:rPr>
              <w:t>《山东省空气质量持续改善暨第三轮“四减四增”行动实施方案》的通知（鲁政字〔2024〕102号）</w:t>
            </w:r>
            <w:r>
              <w:rPr>
                <w:rFonts w:hint="eastAsia"/>
                <w:b/>
                <w:bCs/>
                <w:sz w:val="24"/>
              </w:rPr>
              <w:t>符合性分析</w:t>
            </w:r>
            <w:r>
              <w:rPr>
                <w:b/>
                <w:bCs/>
                <w:sz w:val="24"/>
              </w:rPr>
              <w:t>一览表</w:t>
            </w:r>
          </w:p>
          <w:tbl>
            <w:tblPr>
              <w:tblStyle w:val="25"/>
              <w:tblW w:w="8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3"/>
              <w:gridCol w:w="2023"/>
              <w:gridCol w:w="896"/>
            </w:tblGrid>
            <w:tr w14:paraId="7AB6E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2B77B454">
                  <w:pPr>
                    <w:jc w:val="center"/>
                    <w:rPr>
                      <w:b/>
                      <w:szCs w:val="21"/>
                    </w:rPr>
                  </w:pPr>
                  <w:r>
                    <w:rPr>
                      <w:rFonts w:hint="eastAsia"/>
                      <w:b/>
                      <w:szCs w:val="21"/>
                    </w:rPr>
                    <w:t>规划要求</w:t>
                  </w:r>
                </w:p>
              </w:tc>
              <w:tc>
                <w:tcPr>
                  <w:tcW w:w="2023" w:type="dxa"/>
                  <w:shd w:val="clear" w:color="auto" w:fill="auto"/>
                  <w:vAlign w:val="center"/>
                </w:tcPr>
                <w:p w14:paraId="3BB34A1E">
                  <w:pPr>
                    <w:jc w:val="center"/>
                    <w:rPr>
                      <w:b/>
                      <w:szCs w:val="21"/>
                    </w:rPr>
                  </w:pPr>
                  <w:r>
                    <w:rPr>
                      <w:b/>
                      <w:szCs w:val="21"/>
                    </w:rPr>
                    <w:t>本项目</w:t>
                  </w:r>
                  <w:r>
                    <w:rPr>
                      <w:rFonts w:hint="eastAsia"/>
                      <w:b/>
                      <w:szCs w:val="21"/>
                    </w:rPr>
                    <w:t>建设情况</w:t>
                  </w:r>
                </w:p>
              </w:tc>
              <w:tc>
                <w:tcPr>
                  <w:tcW w:w="896" w:type="dxa"/>
                  <w:shd w:val="clear" w:color="auto" w:fill="auto"/>
                  <w:vAlign w:val="center"/>
                </w:tcPr>
                <w:p w14:paraId="7CE4174C">
                  <w:pPr>
                    <w:jc w:val="center"/>
                    <w:rPr>
                      <w:b/>
                      <w:szCs w:val="21"/>
                    </w:rPr>
                  </w:pPr>
                  <w:r>
                    <w:rPr>
                      <w:rFonts w:hint="eastAsia"/>
                      <w:b/>
                      <w:szCs w:val="21"/>
                    </w:rPr>
                    <w:t>符合性</w:t>
                  </w:r>
                </w:p>
              </w:tc>
            </w:tr>
            <w:tr w14:paraId="4D36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76DF4EDF">
                  <w:pPr>
                    <w:jc w:val="center"/>
                    <w:rPr>
                      <w:szCs w:val="21"/>
                    </w:rPr>
                  </w:pPr>
                  <w:r>
                    <w:rPr>
                      <w:rFonts w:hint="eastAsia"/>
                      <w:szCs w:val="21"/>
                    </w:rPr>
                    <w:t>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严格落实国家粗钢产量调控目标。推行钢铁、焦化、烧结一体化布局，有序引导高炉—转炉长流程炼钢转型为电炉短流程炼钢，到2025年，电炉钢占比达到7%左右。多措并举治理环保领域低价低质中标乱象，营造公平竞争环境，推动产业健康有序发展。</w:t>
                  </w:r>
                </w:p>
              </w:tc>
              <w:tc>
                <w:tcPr>
                  <w:tcW w:w="2023" w:type="dxa"/>
                  <w:shd w:val="clear" w:color="auto" w:fill="auto"/>
                  <w:vAlign w:val="center"/>
                </w:tcPr>
                <w:p w14:paraId="2D234666">
                  <w:pPr>
                    <w:rPr>
                      <w:szCs w:val="21"/>
                    </w:rPr>
                  </w:pPr>
                  <w:r>
                    <w:rPr>
                      <w:szCs w:val="21"/>
                    </w:rPr>
                    <w:t>本项目</w:t>
                  </w:r>
                  <w:r>
                    <w:rPr>
                      <w:rFonts w:hint="eastAsia"/>
                      <w:szCs w:val="21"/>
                    </w:rPr>
                    <w:t>不属于高耗能、高排放、低水平项目</w:t>
                  </w:r>
                </w:p>
              </w:tc>
              <w:tc>
                <w:tcPr>
                  <w:tcW w:w="896" w:type="dxa"/>
                  <w:shd w:val="clear" w:color="auto" w:fill="auto"/>
                  <w:vAlign w:val="center"/>
                </w:tcPr>
                <w:p w14:paraId="47403222">
                  <w:pPr>
                    <w:jc w:val="center"/>
                    <w:rPr>
                      <w:szCs w:val="21"/>
                    </w:rPr>
                  </w:pPr>
                  <w:r>
                    <w:rPr>
                      <w:kern w:val="0"/>
                      <w:szCs w:val="21"/>
                    </w:rPr>
                    <w:t>符合</w:t>
                  </w:r>
                </w:p>
              </w:tc>
            </w:tr>
            <w:tr w14:paraId="0459C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654F8C0C">
                  <w:pPr>
                    <w:jc w:val="center"/>
                    <w:rPr>
                      <w:szCs w:val="21"/>
                    </w:rPr>
                  </w:pPr>
                  <w:r>
                    <w:rPr>
                      <w:rFonts w:hint="eastAsia"/>
                      <w:szCs w:val="21"/>
                    </w:rPr>
                    <w:t>优化调整重点行业结构。重点区域进一步提高落后产能能耗、环保、质量、安全、技术等要求，逐步退出限制类涉气行业工艺和装备；逐步淘汰步进式烧结机和球团竖炉以及半封闭式硅锰合金、镍铁、高碳铬铁、高碳锰铁电炉。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w:t>
                  </w:r>
                </w:p>
              </w:tc>
              <w:tc>
                <w:tcPr>
                  <w:tcW w:w="2023" w:type="dxa"/>
                  <w:shd w:val="clear" w:color="auto" w:fill="auto"/>
                  <w:vAlign w:val="center"/>
                </w:tcPr>
                <w:p w14:paraId="1068C65B">
                  <w:pPr>
                    <w:rPr>
                      <w:szCs w:val="21"/>
                    </w:rPr>
                  </w:pPr>
                  <w:r>
                    <w:rPr>
                      <w:rFonts w:hint="eastAsia"/>
                      <w:szCs w:val="21"/>
                    </w:rPr>
                    <w:t>本项目不属于半封闭式硅锰合金、镍铁、高碳铬铁、高碳锰铁电炉、钢铁、水泥、焦化、电解铝、水泥等行业</w:t>
                  </w:r>
                </w:p>
              </w:tc>
              <w:tc>
                <w:tcPr>
                  <w:tcW w:w="896" w:type="dxa"/>
                  <w:shd w:val="clear" w:color="auto" w:fill="auto"/>
                  <w:vAlign w:val="center"/>
                </w:tcPr>
                <w:p w14:paraId="6B140DA4">
                  <w:pPr>
                    <w:kinsoku w:val="0"/>
                    <w:overflowPunct w:val="0"/>
                    <w:jc w:val="center"/>
                    <w:rPr>
                      <w:rFonts w:cs="宋体"/>
                      <w:szCs w:val="21"/>
                      <w:lang w:val="zh-CN" w:bidi="zh-CN"/>
                    </w:rPr>
                  </w:pPr>
                  <w:r>
                    <w:rPr>
                      <w:rFonts w:hint="eastAsia" w:cs="宋体"/>
                      <w:szCs w:val="21"/>
                      <w:lang w:val="zh-CN" w:bidi="zh-CN"/>
                    </w:rPr>
                    <w:t>符合</w:t>
                  </w:r>
                </w:p>
              </w:tc>
            </w:tr>
            <w:tr w14:paraId="1902F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5243" w:type="dxa"/>
                  <w:shd w:val="clear" w:color="auto" w:fill="auto"/>
                  <w:vAlign w:val="center"/>
                </w:tcPr>
                <w:p w14:paraId="279D7810">
                  <w:pPr>
                    <w:jc w:val="center"/>
                    <w:rPr>
                      <w:szCs w:val="21"/>
                    </w:rPr>
                  </w:pPr>
                  <w:r>
                    <w:rPr>
                      <w:rFonts w:hint="eastAsia"/>
                      <w:szCs w:val="21"/>
                    </w:rPr>
                    <w:t>开展传统产业集群升级改造。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w:t>
                  </w:r>
                </w:p>
              </w:tc>
              <w:tc>
                <w:tcPr>
                  <w:tcW w:w="2023" w:type="dxa"/>
                  <w:shd w:val="clear" w:color="auto" w:fill="auto"/>
                  <w:vAlign w:val="center"/>
                </w:tcPr>
                <w:p w14:paraId="532A7F40">
                  <w:pPr>
                    <w:jc w:val="center"/>
                    <w:rPr>
                      <w:szCs w:val="21"/>
                    </w:rPr>
                  </w:pPr>
                  <w:r>
                    <w:rPr>
                      <w:rFonts w:hint="eastAsia"/>
                      <w:szCs w:val="21"/>
                    </w:rPr>
                    <w:t>本项目位于梁山经济开发区，梁山经济开发区为合规工业园区</w:t>
                  </w:r>
                </w:p>
              </w:tc>
              <w:tc>
                <w:tcPr>
                  <w:tcW w:w="896" w:type="dxa"/>
                  <w:shd w:val="clear" w:color="auto" w:fill="auto"/>
                  <w:vAlign w:val="center"/>
                </w:tcPr>
                <w:p w14:paraId="33ABB512">
                  <w:pPr>
                    <w:kinsoku w:val="0"/>
                    <w:overflowPunct w:val="0"/>
                    <w:jc w:val="center"/>
                    <w:rPr>
                      <w:rFonts w:cs="宋体"/>
                      <w:szCs w:val="21"/>
                      <w:lang w:val="zh-CN" w:bidi="zh-CN"/>
                    </w:rPr>
                  </w:pPr>
                  <w:r>
                    <w:rPr>
                      <w:rFonts w:hint="eastAsia" w:cs="宋体"/>
                      <w:szCs w:val="21"/>
                      <w:lang w:val="zh-CN" w:bidi="zh-CN"/>
                    </w:rPr>
                    <w:t>符合</w:t>
                  </w:r>
                </w:p>
              </w:tc>
            </w:tr>
            <w:tr w14:paraId="4F071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5243" w:type="dxa"/>
                  <w:shd w:val="clear" w:color="auto" w:fill="auto"/>
                  <w:vAlign w:val="center"/>
                </w:tcPr>
                <w:p w14:paraId="1008822F">
                  <w:pPr>
                    <w:jc w:val="center"/>
                    <w:rPr>
                      <w:szCs w:val="21"/>
                    </w:rPr>
                  </w:pPr>
                  <w:r>
                    <w:rPr>
                      <w:rFonts w:hint="eastAsia"/>
                      <w:szCs w:val="21"/>
                    </w:rPr>
                    <w:t>优化含VOCs原辅材料和产品结构。严格控制生产和使用高VOCs含量涂料、油墨、胶粘剂、清洗剂等建设项目，提高低（无）VOCs含量产品比重。实施源头替代工程，加大工业涂装、包装印刷和电子行业低（无）VOCs含量原辅材料替代力度。指导企业积极申报VOCs末端治理豁免。在生产、销售、进口、使用等环节严格执行VOCs含量限值标准。</w:t>
                  </w:r>
                </w:p>
              </w:tc>
              <w:tc>
                <w:tcPr>
                  <w:tcW w:w="2023" w:type="dxa"/>
                  <w:shd w:val="clear" w:color="auto" w:fill="auto"/>
                  <w:vAlign w:val="center"/>
                </w:tcPr>
                <w:p w14:paraId="5CB002F9">
                  <w:pPr>
                    <w:jc w:val="center"/>
                    <w:rPr>
                      <w:szCs w:val="21"/>
                    </w:rPr>
                  </w:pPr>
                  <w:r>
                    <w:rPr>
                      <w:rFonts w:hint="eastAsia"/>
                      <w:szCs w:val="21"/>
                    </w:rPr>
                    <w:t>本项目使用的涂料为低VOCs含量的塑粉，从源头减少VOCs产生</w:t>
                  </w:r>
                </w:p>
              </w:tc>
              <w:tc>
                <w:tcPr>
                  <w:tcW w:w="896" w:type="dxa"/>
                  <w:shd w:val="clear" w:color="auto" w:fill="auto"/>
                  <w:vAlign w:val="center"/>
                </w:tcPr>
                <w:p w14:paraId="334F1D81">
                  <w:pPr>
                    <w:kinsoku w:val="0"/>
                    <w:overflowPunct w:val="0"/>
                    <w:jc w:val="center"/>
                    <w:rPr>
                      <w:rFonts w:cs="宋体"/>
                      <w:szCs w:val="21"/>
                      <w:lang w:val="zh-CN" w:bidi="zh-CN"/>
                    </w:rPr>
                  </w:pPr>
                  <w:r>
                    <w:rPr>
                      <w:rFonts w:hint="eastAsia" w:cs="宋体"/>
                      <w:szCs w:val="21"/>
                      <w:lang w:val="zh-CN" w:bidi="zh-CN"/>
                    </w:rPr>
                    <w:t>符合</w:t>
                  </w:r>
                </w:p>
              </w:tc>
            </w:tr>
          </w:tbl>
          <w:p w14:paraId="63B08BC6">
            <w:pPr>
              <w:snapToGrid w:val="0"/>
              <w:spacing w:line="360" w:lineRule="auto"/>
              <w:ind w:firstLine="480" w:firstLineChars="200"/>
              <w:rPr>
                <w:sz w:val="24"/>
              </w:rPr>
            </w:pPr>
            <w:r>
              <w:rPr>
                <w:rFonts w:hint="eastAsia"/>
                <w:sz w:val="24"/>
              </w:rPr>
              <w:t>由上表可知，本项目符合《山东省空气质量持续改善暨第三轮“四减四增”行动实施方案》的通知（鲁政字〔2024〕102号）要求。</w:t>
            </w:r>
          </w:p>
          <w:p w14:paraId="1BDFD389">
            <w:pPr>
              <w:spacing w:line="360" w:lineRule="auto"/>
              <w:ind w:firstLine="420"/>
              <w:rPr>
                <w:b/>
                <w:sz w:val="24"/>
              </w:rPr>
            </w:pPr>
            <w:r>
              <w:rPr>
                <w:b/>
                <w:sz w:val="24"/>
              </w:rPr>
              <w:t>15</w:t>
            </w:r>
            <w:r>
              <w:rPr>
                <w:rFonts w:hint="eastAsia"/>
                <w:b/>
                <w:sz w:val="24"/>
              </w:rPr>
              <w:t>、与</w:t>
            </w:r>
            <w:r>
              <w:rPr>
                <w:rFonts w:hint="eastAsia" w:hAnsi="宋体"/>
                <w:b/>
                <w:snapToGrid w:val="0"/>
                <w:kern w:val="0"/>
                <w:sz w:val="24"/>
              </w:rPr>
              <w:t>《济宁市空气质量持续改善暨第三轮“四减四增”行动实施方案》的通知（济政字〔2024〕</w:t>
            </w:r>
            <w:r>
              <w:rPr>
                <w:rFonts w:hAnsi="宋体"/>
                <w:b/>
                <w:snapToGrid w:val="0"/>
                <w:kern w:val="0"/>
                <w:sz w:val="24"/>
              </w:rPr>
              <w:t>47</w:t>
            </w:r>
            <w:r>
              <w:rPr>
                <w:rFonts w:hint="eastAsia" w:hAnsi="宋体"/>
                <w:b/>
                <w:snapToGrid w:val="0"/>
                <w:kern w:val="0"/>
                <w:sz w:val="24"/>
              </w:rPr>
              <w:t>号）</w:t>
            </w:r>
            <w:r>
              <w:rPr>
                <w:rFonts w:hint="eastAsia"/>
                <w:b/>
                <w:sz w:val="24"/>
              </w:rPr>
              <w:t>符合性</w:t>
            </w:r>
          </w:p>
          <w:p w14:paraId="1631D3DA">
            <w:pPr>
              <w:spacing w:line="360" w:lineRule="auto"/>
              <w:jc w:val="center"/>
              <w:rPr>
                <w:b/>
                <w:bCs/>
                <w:sz w:val="24"/>
              </w:rPr>
            </w:pPr>
            <w:r>
              <w:rPr>
                <w:rFonts w:hint="eastAsia"/>
                <w:b/>
                <w:bCs/>
                <w:sz w:val="24"/>
              </w:rPr>
              <w:t>表</w:t>
            </w:r>
            <w:r>
              <w:rPr>
                <w:b/>
                <w:bCs/>
                <w:sz w:val="24"/>
              </w:rPr>
              <w:t>14项目</w:t>
            </w:r>
            <w:r>
              <w:rPr>
                <w:rFonts w:hint="eastAsia"/>
                <w:b/>
                <w:bCs/>
                <w:sz w:val="24"/>
              </w:rPr>
              <w:t>与</w:t>
            </w:r>
            <w:r>
              <w:rPr>
                <w:rFonts w:hint="eastAsia" w:hAnsi="宋体"/>
                <w:b/>
                <w:snapToGrid w:val="0"/>
                <w:kern w:val="0"/>
                <w:sz w:val="24"/>
              </w:rPr>
              <w:t>《济宁市空气质量持续改善暨第三轮“四减四增”行动实施方案》的通知（济政字〔2024〕</w:t>
            </w:r>
            <w:r>
              <w:rPr>
                <w:rFonts w:hAnsi="宋体"/>
                <w:b/>
                <w:snapToGrid w:val="0"/>
                <w:kern w:val="0"/>
                <w:sz w:val="24"/>
              </w:rPr>
              <w:t>47</w:t>
            </w:r>
            <w:r>
              <w:rPr>
                <w:rFonts w:hint="eastAsia" w:hAnsi="宋体"/>
                <w:b/>
                <w:snapToGrid w:val="0"/>
                <w:kern w:val="0"/>
                <w:sz w:val="24"/>
              </w:rPr>
              <w:t>号）</w:t>
            </w:r>
            <w:r>
              <w:rPr>
                <w:rFonts w:hint="eastAsia"/>
                <w:b/>
                <w:bCs/>
                <w:sz w:val="24"/>
              </w:rPr>
              <w:t>符合性分析</w:t>
            </w:r>
            <w:r>
              <w:rPr>
                <w:b/>
                <w:bCs/>
                <w:sz w:val="24"/>
              </w:rPr>
              <w:t>一览表</w:t>
            </w:r>
          </w:p>
          <w:tbl>
            <w:tblPr>
              <w:tblStyle w:val="25"/>
              <w:tblW w:w="81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3"/>
              <w:gridCol w:w="2023"/>
              <w:gridCol w:w="896"/>
            </w:tblGrid>
            <w:tr w14:paraId="1978A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36EB5885">
                  <w:pPr>
                    <w:jc w:val="center"/>
                    <w:rPr>
                      <w:b/>
                      <w:szCs w:val="21"/>
                    </w:rPr>
                  </w:pPr>
                  <w:r>
                    <w:rPr>
                      <w:rFonts w:hint="eastAsia"/>
                      <w:b/>
                      <w:szCs w:val="21"/>
                    </w:rPr>
                    <w:t>规划要求</w:t>
                  </w:r>
                </w:p>
              </w:tc>
              <w:tc>
                <w:tcPr>
                  <w:tcW w:w="2023" w:type="dxa"/>
                  <w:shd w:val="clear" w:color="auto" w:fill="auto"/>
                  <w:vAlign w:val="center"/>
                </w:tcPr>
                <w:p w14:paraId="3468DDF0">
                  <w:pPr>
                    <w:jc w:val="center"/>
                    <w:rPr>
                      <w:b/>
                      <w:szCs w:val="21"/>
                    </w:rPr>
                  </w:pPr>
                  <w:r>
                    <w:rPr>
                      <w:b/>
                      <w:szCs w:val="21"/>
                    </w:rPr>
                    <w:t>本项目</w:t>
                  </w:r>
                  <w:r>
                    <w:rPr>
                      <w:rFonts w:hint="eastAsia"/>
                      <w:b/>
                      <w:szCs w:val="21"/>
                    </w:rPr>
                    <w:t>建设情况</w:t>
                  </w:r>
                </w:p>
              </w:tc>
              <w:tc>
                <w:tcPr>
                  <w:tcW w:w="896" w:type="dxa"/>
                  <w:shd w:val="clear" w:color="auto" w:fill="auto"/>
                  <w:vAlign w:val="center"/>
                </w:tcPr>
                <w:p w14:paraId="39603EA3">
                  <w:pPr>
                    <w:jc w:val="center"/>
                    <w:rPr>
                      <w:b/>
                      <w:szCs w:val="21"/>
                    </w:rPr>
                  </w:pPr>
                  <w:r>
                    <w:rPr>
                      <w:rFonts w:hint="eastAsia"/>
                      <w:b/>
                      <w:szCs w:val="21"/>
                    </w:rPr>
                    <w:t>符合性</w:t>
                  </w:r>
                </w:p>
              </w:tc>
            </w:tr>
            <w:tr w14:paraId="54858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4DE5BEA4">
                  <w:pPr>
                    <w:jc w:val="center"/>
                    <w:rPr>
                      <w:szCs w:val="21"/>
                    </w:rPr>
                  </w:pPr>
                  <w:r>
                    <w:rPr>
                      <w:rFonts w:hint="eastAsia"/>
                      <w:szCs w:val="21"/>
                    </w:rPr>
                    <w:t>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w:t>
                  </w:r>
                </w:p>
                <w:p w14:paraId="529F4B19">
                  <w:pPr>
                    <w:jc w:val="center"/>
                    <w:rPr>
                      <w:szCs w:val="21"/>
                    </w:rPr>
                  </w:pPr>
                  <w:r>
                    <w:rPr>
                      <w:rFonts w:hint="eastAsia"/>
                      <w:szCs w:val="21"/>
                    </w:rPr>
                    <w:t>输方式。涉及产能置换的项目，被置换产能及其配套设施关停后，新建项目方可投产。多措并举治理环保领域低价低质中标乱象，营造公平竞争环境，推动产业健康有序发展。</w:t>
                  </w:r>
                </w:p>
              </w:tc>
              <w:tc>
                <w:tcPr>
                  <w:tcW w:w="2023" w:type="dxa"/>
                  <w:shd w:val="clear" w:color="auto" w:fill="auto"/>
                  <w:vAlign w:val="center"/>
                </w:tcPr>
                <w:p w14:paraId="3A94AAD1">
                  <w:pPr>
                    <w:rPr>
                      <w:szCs w:val="21"/>
                    </w:rPr>
                  </w:pPr>
                  <w:r>
                    <w:rPr>
                      <w:szCs w:val="21"/>
                    </w:rPr>
                    <w:t>本项目</w:t>
                  </w:r>
                  <w:r>
                    <w:rPr>
                      <w:rFonts w:hint="eastAsia"/>
                      <w:szCs w:val="21"/>
                    </w:rPr>
                    <w:t>不属于高耗能、高排放、低水平项目</w:t>
                  </w:r>
                </w:p>
              </w:tc>
              <w:tc>
                <w:tcPr>
                  <w:tcW w:w="896" w:type="dxa"/>
                  <w:shd w:val="clear" w:color="auto" w:fill="auto"/>
                  <w:vAlign w:val="center"/>
                </w:tcPr>
                <w:p w14:paraId="1DF83C91">
                  <w:pPr>
                    <w:jc w:val="center"/>
                    <w:rPr>
                      <w:szCs w:val="21"/>
                    </w:rPr>
                  </w:pPr>
                  <w:r>
                    <w:rPr>
                      <w:kern w:val="0"/>
                      <w:szCs w:val="21"/>
                    </w:rPr>
                    <w:t>符合</w:t>
                  </w:r>
                </w:p>
              </w:tc>
            </w:tr>
            <w:tr w14:paraId="79718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243" w:type="dxa"/>
                  <w:shd w:val="clear" w:color="auto" w:fill="auto"/>
                  <w:vAlign w:val="center"/>
                </w:tcPr>
                <w:p w14:paraId="7E37D876">
                  <w:pPr>
                    <w:jc w:val="center"/>
                    <w:rPr>
                      <w:szCs w:val="21"/>
                    </w:rPr>
                  </w:pPr>
                  <w:r>
                    <w:rPr>
                      <w:rFonts w:hint="eastAsia"/>
                      <w:szCs w:val="21"/>
                    </w:rPr>
                    <w:t>优化调整重点行业结构。进一步提高落后产能能耗、环保、质量、安全、技术等要求，逐步退出限制类涉气行业工艺和装备。引导水泥、焦化等产业有序调整优化。到2025年，2500吨/日水泥熟料生产线（特种水泥熟料和化工配套水泥熟料生产线除外）全部整合退出。2024年年底前，按照焦化装置产能压减任务要求，完成焦化退出装置关停。</w:t>
                  </w:r>
                </w:p>
              </w:tc>
              <w:tc>
                <w:tcPr>
                  <w:tcW w:w="2023" w:type="dxa"/>
                  <w:shd w:val="clear" w:color="auto" w:fill="auto"/>
                  <w:vAlign w:val="center"/>
                </w:tcPr>
                <w:p w14:paraId="75405B35">
                  <w:pPr>
                    <w:rPr>
                      <w:szCs w:val="21"/>
                    </w:rPr>
                  </w:pPr>
                  <w:r>
                    <w:rPr>
                      <w:rFonts w:hint="eastAsia"/>
                      <w:szCs w:val="21"/>
                    </w:rPr>
                    <w:t>本项目不属于水泥、焦化等产业，不涉及焦化装置。</w:t>
                  </w:r>
                </w:p>
              </w:tc>
              <w:tc>
                <w:tcPr>
                  <w:tcW w:w="896" w:type="dxa"/>
                  <w:shd w:val="clear" w:color="auto" w:fill="auto"/>
                  <w:vAlign w:val="center"/>
                </w:tcPr>
                <w:p w14:paraId="7EFFC04D">
                  <w:pPr>
                    <w:kinsoku w:val="0"/>
                    <w:overflowPunct w:val="0"/>
                    <w:jc w:val="center"/>
                    <w:rPr>
                      <w:rFonts w:cs="宋体"/>
                      <w:szCs w:val="21"/>
                      <w:lang w:val="zh-CN" w:bidi="zh-CN"/>
                    </w:rPr>
                  </w:pPr>
                  <w:r>
                    <w:rPr>
                      <w:rFonts w:hint="eastAsia" w:cs="宋体"/>
                      <w:szCs w:val="21"/>
                      <w:lang w:val="zh-CN" w:bidi="zh-CN"/>
                    </w:rPr>
                    <w:t>符合</w:t>
                  </w:r>
                </w:p>
              </w:tc>
            </w:tr>
            <w:tr w14:paraId="6511A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5243" w:type="dxa"/>
                  <w:shd w:val="clear" w:color="auto" w:fill="auto"/>
                  <w:vAlign w:val="center"/>
                </w:tcPr>
                <w:p w14:paraId="1C34B34F">
                  <w:pPr>
                    <w:jc w:val="center"/>
                    <w:rPr>
                      <w:szCs w:val="21"/>
                    </w:rPr>
                  </w:pPr>
                  <w:r>
                    <w:rPr>
                      <w:rFonts w:hint="eastAsia"/>
                      <w:szCs w:val="21"/>
                    </w:rPr>
                    <w:t>开展传统产业集群升级改造。组织开展传统产业集群全面摸底排查。严格项目审批，严防污染下乡。针对现有产业集群制定专项整治方案，有序推进传统产业集群升级改造。因地制宜建设集中供热中心、集中喷涂中心、有机溶剂集中回收处置中心、活性炭集中再生中心</w:t>
                  </w:r>
                </w:p>
              </w:tc>
              <w:tc>
                <w:tcPr>
                  <w:tcW w:w="2023" w:type="dxa"/>
                  <w:shd w:val="clear" w:color="auto" w:fill="auto"/>
                  <w:vAlign w:val="center"/>
                </w:tcPr>
                <w:p w14:paraId="1149A6D2">
                  <w:pPr>
                    <w:jc w:val="center"/>
                    <w:rPr>
                      <w:szCs w:val="21"/>
                    </w:rPr>
                  </w:pPr>
                  <w:r>
                    <w:rPr>
                      <w:rFonts w:hint="eastAsia"/>
                      <w:szCs w:val="21"/>
                    </w:rPr>
                    <w:t>本项目位于梁山经济开发区，梁山经济开发区为合规工业园区</w:t>
                  </w:r>
                </w:p>
              </w:tc>
              <w:tc>
                <w:tcPr>
                  <w:tcW w:w="896" w:type="dxa"/>
                  <w:shd w:val="clear" w:color="auto" w:fill="auto"/>
                  <w:vAlign w:val="center"/>
                </w:tcPr>
                <w:p w14:paraId="5072BCA6">
                  <w:pPr>
                    <w:kinsoku w:val="0"/>
                    <w:overflowPunct w:val="0"/>
                    <w:jc w:val="center"/>
                    <w:rPr>
                      <w:rFonts w:cs="宋体"/>
                      <w:szCs w:val="21"/>
                      <w:lang w:val="zh-CN" w:bidi="zh-CN"/>
                    </w:rPr>
                  </w:pPr>
                  <w:r>
                    <w:rPr>
                      <w:rFonts w:hint="eastAsia" w:cs="宋体"/>
                      <w:szCs w:val="21"/>
                      <w:lang w:val="zh-CN" w:bidi="zh-CN"/>
                    </w:rPr>
                    <w:t>符合</w:t>
                  </w:r>
                </w:p>
              </w:tc>
            </w:tr>
            <w:tr w14:paraId="5A10F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5243" w:type="dxa"/>
                  <w:shd w:val="clear" w:color="auto" w:fill="auto"/>
                  <w:vAlign w:val="center"/>
                </w:tcPr>
                <w:p w14:paraId="5119A7A5">
                  <w:pPr>
                    <w:jc w:val="center"/>
                    <w:rPr>
                      <w:szCs w:val="21"/>
                    </w:rPr>
                  </w:pPr>
                  <w:r>
                    <w:rPr>
                      <w:rFonts w:hint="eastAsia"/>
                      <w:szCs w:val="21"/>
                    </w:rPr>
                    <w:t>优化含VOCs原辅材料和产品结构。严格控制生产和使用高VOCs含量涂料、油墨、胶粘剂、清洗剂等建设项目，提高低（无）VOCs含量产品比重。实施源头替代工程，加大工业涂装、包装印刷和电子行业低（无）VOCs含量原辅材料替代力度，指导企业积极申报VOCs末端治理豁免。在生产、销售、进口、使用等环节严格执行VOCs含量限值标准。</w:t>
                  </w:r>
                </w:p>
              </w:tc>
              <w:tc>
                <w:tcPr>
                  <w:tcW w:w="2023" w:type="dxa"/>
                  <w:shd w:val="clear" w:color="auto" w:fill="auto"/>
                  <w:vAlign w:val="center"/>
                </w:tcPr>
                <w:p w14:paraId="0F9EF4E4">
                  <w:pPr>
                    <w:jc w:val="center"/>
                    <w:rPr>
                      <w:szCs w:val="21"/>
                    </w:rPr>
                  </w:pPr>
                  <w:r>
                    <w:rPr>
                      <w:rFonts w:hint="eastAsia"/>
                      <w:szCs w:val="21"/>
                    </w:rPr>
                    <w:t>本项目使用的涂料为低VOCs含量的塑粉，从源头减少VOCs产生</w:t>
                  </w:r>
                </w:p>
              </w:tc>
              <w:tc>
                <w:tcPr>
                  <w:tcW w:w="896" w:type="dxa"/>
                  <w:shd w:val="clear" w:color="auto" w:fill="auto"/>
                  <w:vAlign w:val="center"/>
                </w:tcPr>
                <w:p w14:paraId="064F9A99">
                  <w:pPr>
                    <w:kinsoku w:val="0"/>
                    <w:overflowPunct w:val="0"/>
                    <w:jc w:val="center"/>
                    <w:rPr>
                      <w:rFonts w:cs="宋体"/>
                      <w:szCs w:val="21"/>
                      <w:lang w:val="zh-CN" w:bidi="zh-CN"/>
                    </w:rPr>
                  </w:pPr>
                  <w:r>
                    <w:rPr>
                      <w:rFonts w:hint="eastAsia" w:cs="宋体"/>
                      <w:szCs w:val="21"/>
                      <w:lang w:val="zh-CN" w:bidi="zh-CN"/>
                    </w:rPr>
                    <w:t>符合</w:t>
                  </w:r>
                </w:p>
              </w:tc>
            </w:tr>
          </w:tbl>
          <w:p w14:paraId="6E3B6B41">
            <w:pPr>
              <w:snapToGrid w:val="0"/>
              <w:spacing w:line="360" w:lineRule="auto"/>
              <w:ind w:firstLine="480" w:firstLineChars="200"/>
              <w:rPr>
                <w:sz w:val="24"/>
              </w:rPr>
            </w:pPr>
            <w:r>
              <w:rPr>
                <w:rFonts w:hint="eastAsia"/>
                <w:sz w:val="24"/>
              </w:rPr>
              <w:t>由上表可知，本项目符合</w:t>
            </w:r>
            <w:r>
              <w:rPr>
                <w:rFonts w:hint="eastAsia" w:hAnsi="宋体"/>
                <w:snapToGrid w:val="0"/>
                <w:kern w:val="0"/>
                <w:sz w:val="24"/>
              </w:rPr>
              <w:t>《济宁市空气质量持续改善暨第三轮“四减四增”行动实施方案》的通知（济政字〔2024〕</w:t>
            </w:r>
            <w:r>
              <w:rPr>
                <w:rFonts w:hAnsi="宋体"/>
                <w:snapToGrid w:val="0"/>
                <w:kern w:val="0"/>
                <w:sz w:val="24"/>
              </w:rPr>
              <w:t>47</w:t>
            </w:r>
            <w:r>
              <w:rPr>
                <w:rFonts w:hint="eastAsia" w:hAnsi="宋体"/>
                <w:snapToGrid w:val="0"/>
                <w:kern w:val="0"/>
                <w:sz w:val="24"/>
              </w:rPr>
              <w:t>号）</w:t>
            </w:r>
            <w:r>
              <w:rPr>
                <w:rFonts w:hint="eastAsia"/>
                <w:sz w:val="24"/>
              </w:rPr>
              <w:t>要求。</w:t>
            </w:r>
          </w:p>
          <w:p w14:paraId="49C3354B">
            <w:pPr>
              <w:pStyle w:val="101"/>
              <w:snapToGrid w:val="0"/>
              <w:ind w:firstLine="0" w:firstLineChars="0"/>
              <w:rPr>
                <w:highlight w:val="yellow"/>
              </w:rPr>
            </w:pPr>
          </w:p>
          <w:p w14:paraId="7C518BC3">
            <w:pPr>
              <w:pStyle w:val="101"/>
              <w:snapToGrid w:val="0"/>
              <w:ind w:firstLine="0" w:firstLineChars="0"/>
              <w:rPr>
                <w:highlight w:val="yellow"/>
              </w:rPr>
            </w:pPr>
          </w:p>
          <w:p w14:paraId="6BF54430">
            <w:pPr>
              <w:pStyle w:val="101"/>
              <w:snapToGrid w:val="0"/>
              <w:ind w:firstLine="0" w:firstLineChars="0"/>
              <w:rPr>
                <w:highlight w:val="yellow"/>
              </w:rPr>
            </w:pPr>
          </w:p>
          <w:p w14:paraId="6C66B3FA">
            <w:pPr>
              <w:pStyle w:val="101"/>
              <w:snapToGrid w:val="0"/>
              <w:ind w:firstLine="0" w:firstLineChars="0"/>
              <w:rPr>
                <w:highlight w:val="yellow"/>
              </w:rPr>
            </w:pPr>
          </w:p>
          <w:p w14:paraId="3EA429E1">
            <w:pPr>
              <w:pStyle w:val="101"/>
              <w:snapToGrid w:val="0"/>
              <w:ind w:firstLine="0" w:firstLineChars="0"/>
              <w:rPr>
                <w:highlight w:val="yellow"/>
              </w:rPr>
            </w:pPr>
          </w:p>
          <w:p w14:paraId="154D4031">
            <w:pPr>
              <w:pStyle w:val="101"/>
              <w:snapToGrid w:val="0"/>
              <w:ind w:firstLine="0" w:firstLineChars="0"/>
              <w:rPr>
                <w:highlight w:val="yellow"/>
              </w:rPr>
            </w:pPr>
          </w:p>
          <w:p w14:paraId="509624BA">
            <w:pPr>
              <w:pStyle w:val="101"/>
              <w:snapToGrid w:val="0"/>
              <w:ind w:firstLine="0" w:firstLineChars="0"/>
              <w:rPr>
                <w:highlight w:val="yellow"/>
              </w:rPr>
            </w:pPr>
          </w:p>
          <w:p w14:paraId="58F2B2A1">
            <w:pPr>
              <w:pStyle w:val="101"/>
              <w:snapToGrid w:val="0"/>
              <w:ind w:firstLine="0" w:firstLineChars="0"/>
              <w:rPr>
                <w:highlight w:val="yellow"/>
              </w:rPr>
            </w:pPr>
          </w:p>
          <w:p w14:paraId="2DABC354">
            <w:pPr>
              <w:pStyle w:val="101"/>
              <w:snapToGrid w:val="0"/>
              <w:ind w:firstLine="0" w:firstLineChars="0"/>
              <w:rPr>
                <w:highlight w:val="yellow"/>
              </w:rPr>
            </w:pPr>
          </w:p>
          <w:p w14:paraId="3590CF40">
            <w:pPr>
              <w:pStyle w:val="101"/>
              <w:snapToGrid w:val="0"/>
              <w:ind w:firstLine="0" w:firstLineChars="0"/>
              <w:rPr>
                <w:highlight w:val="yellow"/>
              </w:rPr>
            </w:pPr>
          </w:p>
          <w:p w14:paraId="5235DD70">
            <w:pPr>
              <w:pStyle w:val="101"/>
              <w:snapToGrid w:val="0"/>
              <w:ind w:firstLine="0" w:firstLineChars="0"/>
              <w:rPr>
                <w:highlight w:val="yellow"/>
              </w:rPr>
            </w:pPr>
          </w:p>
          <w:p w14:paraId="06D30531">
            <w:pPr>
              <w:pStyle w:val="101"/>
              <w:snapToGrid w:val="0"/>
              <w:ind w:firstLine="0" w:firstLineChars="0"/>
              <w:rPr>
                <w:highlight w:val="yellow"/>
              </w:rPr>
            </w:pPr>
          </w:p>
          <w:p w14:paraId="54396BFA">
            <w:pPr>
              <w:pStyle w:val="101"/>
              <w:snapToGrid w:val="0"/>
              <w:ind w:firstLine="0" w:firstLineChars="0"/>
              <w:rPr>
                <w:highlight w:val="yellow"/>
              </w:rPr>
            </w:pPr>
          </w:p>
          <w:p w14:paraId="42E94873">
            <w:pPr>
              <w:pStyle w:val="101"/>
              <w:snapToGrid w:val="0"/>
              <w:ind w:firstLine="0" w:firstLineChars="0"/>
              <w:rPr>
                <w:highlight w:val="yellow"/>
              </w:rPr>
            </w:pPr>
          </w:p>
          <w:p w14:paraId="2F7FB0A0">
            <w:pPr>
              <w:pStyle w:val="101"/>
              <w:snapToGrid w:val="0"/>
              <w:ind w:firstLine="0" w:firstLineChars="0"/>
              <w:rPr>
                <w:highlight w:val="yellow"/>
              </w:rPr>
            </w:pPr>
          </w:p>
          <w:p w14:paraId="5DABC0E1">
            <w:pPr>
              <w:pStyle w:val="101"/>
              <w:snapToGrid w:val="0"/>
              <w:ind w:firstLine="0" w:firstLineChars="0"/>
              <w:rPr>
                <w:highlight w:val="yellow"/>
              </w:rPr>
            </w:pPr>
          </w:p>
          <w:p w14:paraId="1287E625">
            <w:pPr>
              <w:pStyle w:val="101"/>
              <w:snapToGrid w:val="0"/>
              <w:ind w:firstLine="0" w:firstLineChars="0"/>
              <w:rPr>
                <w:highlight w:val="yellow"/>
              </w:rPr>
            </w:pPr>
          </w:p>
          <w:p w14:paraId="080144AA">
            <w:pPr>
              <w:pStyle w:val="101"/>
              <w:snapToGrid w:val="0"/>
              <w:ind w:firstLine="0" w:firstLineChars="0"/>
              <w:rPr>
                <w:highlight w:val="yellow"/>
              </w:rPr>
            </w:pPr>
          </w:p>
          <w:p w14:paraId="71882165">
            <w:pPr>
              <w:pStyle w:val="101"/>
              <w:snapToGrid w:val="0"/>
              <w:ind w:firstLine="0" w:firstLineChars="0"/>
              <w:rPr>
                <w:highlight w:val="yellow"/>
              </w:rPr>
            </w:pPr>
          </w:p>
          <w:p w14:paraId="57CC160E">
            <w:pPr>
              <w:pStyle w:val="101"/>
              <w:snapToGrid w:val="0"/>
              <w:ind w:firstLine="0" w:firstLineChars="0"/>
              <w:rPr>
                <w:highlight w:val="yellow"/>
              </w:rPr>
            </w:pPr>
          </w:p>
          <w:p w14:paraId="14203989">
            <w:pPr>
              <w:pStyle w:val="101"/>
              <w:snapToGrid w:val="0"/>
              <w:ind w:firstLine="0" w:firstLineChars="0"/>
              <w:rPr>
                <w:highlight w:val="yellow"/>
              </w:rPr>
            </w:pPr>
          </w:p>
          <w:p w14:paraId="29201191">
            <w:pPr>
              <w:pStyle w:val="101"/>
              <w:snapToGrid w:val="0"/>
              <w:ind w:firstLine="0" w:firstLineChars="0"/>
              <w:rPr>
                <w:highlight w:val="yellow"/>
              </w:rPr>
            </w:pPr>
          </w:p>
          <w:p w14:paraId="4F1D80F6">
            <w:pPr>
              <w:pStyle w:val="101"/>
              <w:snapToGrid w:val="0"/>
              <w:ind w:firstLine="0" w:firstLineChars="0"/>
              <w:rPr>
                <w:highlight w:val="yellow"/>
              </w:rPr>
            </w:pPr>
          </w:p>
          <w:p w14:paraId="56AD3D44">
            <w:pPr>
              <w:pStyle w:val="101"/>
              <w:snapToGrid w:val="0"/>
              <w:ind w:firstLine="0" w:firstLineChars="0"/>
              <w:rPr>
                <w:highlight w:val="yellow"/>
              </w:rPr>
            </w:pPr>
          </w:p>
          <w:p w14:paraId="16C2A4FB">
            <w:pPr>
              <w:pStyle w:val="101"/>
              <w:snapToGrid w:val="0"/>
              <w:ind w:firstLine="0" w:firstLineChars="0"/>
              <w:rPr>
                <w:highlight w:val="yellow"/>
              </w:rPr>
            </w:pPr>
          </w:p>
        </w:tc>
      </w:tr>
    </w:tbl>
    <w:p w14:paraId="57359404">
      <w:pPr>
        <w:pStyle w:val="21"/>
        <w:spacing w:before="0" w:beforeAutospacing="0" w:after="0" w:afterAutospacing="0" w:line="360" w:lineRule="auto"/>
        <w:jc w:val="center"/>
        <w:outlineLvl w:val="0"/>
        <w:rPr>
          <w:rFonts w:ascii="黑体" w:hAnsi="黑体" w:eastAsia="黑体"/>
          <w:snapToGrid w:val="0"/>
          <w:sz w:val="30"/>
          <w:szCs w:val="30"/>
        </w:rPr>
      </w:pPr>
      <w:r>
        <w:rPr>
          <w:rFonts w:ascii="黑体" w:hAnsi="黑体" w:eastAsia="黑体"/>
          <w:snapToGrid w:val="0"/>
          <w:sz w:val="30"/>
          <w:szCs w:val="30"/>
        </w:rPr>
        <w:t>二、建设项目工程分析</w:t>
      </w:r>
    </w:p>
    <w:tbl>
      <w:tblPr>
        <w:tblStyle w:val="2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8982"/>
      </w:tblGrid>
      <w:tr w14:paraId="6CFF5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 w:type="pct"/>
            <w:vAlign w:val="center"/>
          </w:tcPr>
          <w:p w14:paraId="5EFE8A23">
            <w:pPr>
              <w:pStyle w:val="21"/>
              <w:spacing w:before="0" w:beforeAutospacing="0" w:after="0" w:afterAutospacing="0" w:line="360" w:lineRule="auto"/>
              <w:jc w:val="center"/>
              <w:outlineLvl w:val="0"/>
              <w:rPr>
                <w:rFonts w:ascii="黑体" w:hAnsi="黑体" w:eastAsia="黑体"/>
                <w:snapToGrid w:val="0"/>
                <w:sz w:val="30"/>
                <w:szCs w:val="30"/>
              </w:rPr>
            </w:pPr>
            <w:r>
              <w:rPr>
                <w:rFonts w:ascii="Times New Roman" w:hAnsi="Times New Roman"/>
                <w:szCs w:val="24"/>
              </w:rPr>
              <w:t>建设内容</w:t>
            </w:r>
          </w:p>
        </w:tc>
        <w:tc>
          <w:tcPr>
            <w:tcW w:w="4753" w:type="pct"/>
          </w:tcPr>
          <w:p w14:paraId="683F9E81">
            <w:pPr>
              <w:spacing w:line="360" w:lineRule="auto"/>
              <w:ind w:firstLine="482" w:firstLineChars="200"/>
              <w:contextualSpacing/>
              <w:rPr>
                <w:b/>
                <w:bCs/>
                <w:sz w:val="24"/>
              </w:rPr>
            </w:pPr>
            <w:r>
              <w:rPr>
                <w:rFonts w:hint="eastAsia"/>
                <w:b/>
                <w:bCs/>
                <w:sz w:val="24"/>
              </w:rPr>
              <w:t>一</w:t>
            </w:r>
            <w:r>
              <w:rPr>
                <w:b/>
                <w:bCs/>
                <w:sz w:val="24"/>
              </w:rPr>
              <w:t>、</w:t>
            </w:r>
            <w:r>
              <w:rPr>
                <w:b/>
                <w:sz w:val="24"/>
              </w:rPr>
              <w:t>项目概况</w:t>
            </w:r>
          </w:p>
          <w:p w14:paraId="0C9B6A61">
            <w:pPr>
              <w:spacing w:line="360" w:lineRule="auto"/>
              <w:ind w:firstLine="480" w:firstLineChars="200"/>
              <w:rPr>
                <w:sz w:val="24"/>
              </w:rPr>
            </w:pPr>
            <w:r>
              <w:rPr>
                <w:sz w:val="24"/>
              </w:rPr>
              <w:t>项目名称：</w:t>
            </w:r>
            <w:bookmarkStart w:id="64" w:name="OLE_LINK22"/>
            <w:bookmarkStart w:id="65" w:name="OLE_LINK23"/>
            <w:bookmarkStart w:id="66" w:name="OLE_LINK170"/>
            <w:r>
              <w:rPr>
                <w:sz w:val="24"/>
              </w:rPr>
              <w:t>压力容器及特种设备生产项目</w:t>
            </w:r>
            <w:bookmarkEnd w:id="64"/>
            <w:bookmarkEnd w:id="65"/>
            <w:bookmarkEnd w:id="66"/>
          </w:p>
          <w:p w14:paraId="22A52546">
            <w:pPr>
              <w:spacing w:line="360" w:lineRule="auto"/>
              <w:ind w:firstLine="480" w:firstLineChars="200"/>
              <w:rPr>
                <w:sz w:val="24"/>
              </w:rPr>
            </w:pPr>
            <w:r>
              <w:rPr>
                <w:sz w:val="24"/>
              </w:rPr>
              <w:t>建设单位：</w:t>
            </w:r>
            <w:bookmarkStart w:id="67" w:name="OLE_LINK118"/>
            <w:bookmarkStart w:id="68" w:name="OLE_LINK113"/>
            <w:bookmarkStart w:id="69" w:name="OLE_LINK112"/>
            <w:bookmarkStart w:id="70" w:name="OLE_LINK157"/>
            <w:bookmarkStart w:id="71" w:name="OLE_LINK156"/>
            <w:bookmarkStart w:id="72" w:name="OLE_LINK42"/>
            <w:bookmarkStart w:id="73" w:name="OLE_LINK41"/>
            <w:r>
              <w:rPr>
                <w:sz w:val="24"/>
              </w:rPr>
              <w:t>山东通达重工机械有限公司</w:t>
            </w:r>
            <w:bookmarkEnd w:id="67"/>
            <w:bookmarkEnd w:id="68"/>
            <w:bookmarkEnd w:id="69"/>
          </w:p>
          <w:bookmarkEnd w:id="70"/>
          <w:bookmarkEnd w:id="71"/>
          <w:bookmarkEnd w:id="72"/>
          <w:bookmarkEnd w:id="73"/>
          <w:p w14:paraId="74BAD78E">
            <w:pPr>
              <w:spacing w:line="360" w:lineRule="auto"/>
              <w:ind w:firstLine="480" w:firstLineChars="200"/>
              <w:rPr>
                <w:sz w:val="24"/>
              </w:rPr>
            </w:pPr>
            <w:r>
              <w:rPr>
                <w:sz w:val="24"/>
              </w:rPr>
              <w:t>建设性质：</w:t>
            </w:r>
            <w:r>
              <w:rPr>
                <w:rFonts w:hint="eastAsia"/>
                <w:sz w:val="24"/>
              </w:rPr>
              <w:t>新建</w:t>
            </w:r>
          </w:p>
          <w:p w14:paraId="09C2C705">
            <w:pPr>
              <w:spacing w:line="360" w:lineRule="auto"/>
              <w:ind w:firstLine="480" w:firstLineChars="200"/>
              <w:rPr>
                <w:sz w:val="24"/>
              </w:rPr>
            </w:pPr>
            <w:r>
              <w:rPr>
                <w:sz w:val="24"/>
              </w:rPr>
              <w:t>行业类别：</w:t>
            </w:r>
            <w:r>
              <w:rPr>
                <w:rFonts w:hint="eastAsia"/>
                <w:sz w:val="24"/>
              </w:rPr>
              <w:t>C3332 金属压力容器制造</w:t>
            </w:r>
          </w:p>
          <w:p w14:paraId="4CEA4D1F">
            <w:pPr>
              <w:spacing w:line="360" w:lineRule="auto"/>
              <w:ind w:firstLine="480" w:firstLineChars="200"/>
              <w:rPr>
                <w:bCs/>
                <w:sz w:val="24"/>
              </w:rPr>
            </w:pPr>
            <w:r>
              <w:rPr>
                <w:sz w:val="24"/>
              </w:rPr>
              <w:t>建设项目行业类别：</w:t>
            </w:r>
            <w:r>
              <w:rPr>
                <w:bCs/>
                <w:sz w:val="24"/>
              </w:rPr>
              <w:t>“三十、</w:t>
            </w:r>
            <w:r>
              <w:rPr>
                <w:rFonts w:hint="eastAsia"/>
                <w:bCs/>
                <w:sz w:val="24"/>
              </w:rPr>
              <w:t>金属制品</w:t>
            </w:r>
            <w:r>
              <w:rPr>
                <w:bCs/>
                <w:sz w:val="24"/>
              </w:rPr>
              <w:t>业33”中“</w:t>
            </w:r>
            <w:r>
              <w:rPr>
                <w:rFonts w:hint="eastAsia"/>
                <w:bCs/>
                <w:sz w:val="24"/>
              </w:rPr>
              <w:t>集装箱及金属包装容器制造 333</w:t>
            </w:r>
            <w:r>
              <w:rPr>
                <w:bCs/>
                <w:sz w:val="24"/>
              </w:rPr>
              <w:t>”中</w:t>
            </w:r>
            <w:r>
              <w:rPr>
                <w:rFonts w:hint="eastAsia"/>
                <w:bCs/>
                <w:sz w:val="24"/>
              </w:rPr>
              <w:t>其他（仅分割、焊接、组装的除外；年用非溶剂型低VOCs含量涂料10吨以下的除外）</w:t>
            </w:r>
            <w:r>
              <w:rPr>
                <w:bCs/>
                <w:sz w:val="24"/>
              </w:rPr>
              <w:t>”</w:t>
            </w:r>
          </w:p>
          <w:p w14:paraId="0F352D15">
            <w:pPr>
              <w:spacing w:line="360" w:lineRule="auto"/>
              <w:ind w:firstLine="480" w:firstLineChars="200"/>
              <w:rPr>
                <w:sz w:val="24"/>
              </w:rPr>
            </w:pPr>
            <w:r>
              <w:rPr>
                <w:sz w:val="24"/>
              </w:rPr>
              <w:t>建设地点：</w:t>
            </w:r>
            <w:bookmarkStart w:id="74" w:name="OLE_LINK130"/>
            <w:bookmarkStart w:id="75" w:name="OLE_LINK129"/>
            <w:bookmarkStart w:id="76" w:name="OLE_LINK25"/>
            <w:bookmarkStart w:id="77" w:name="OLE_LINK24"/>
            <w:r>
              <w:rPr>
                <w:rFonts w:hint="eastAsia"/>
                <w:sz w:val="24"/>
              </w:rPr>
              <w:t>山东省济宁市梁山经济开发区三利路南、东王村北180m处</w:t>
            </w:r>
            <w:bookmarkEnd w:id="74"/>
            <w:bookmarkEnd w:id="75"/>
            <w:r>
              <w:rPr>
                <w:rFonts w:hint="eastAsia"/>
                <w:sz w:val="24"/>
              </w:rPr>
              <w:t>，</w:t>
            </w:r>
            <w:bookmarkEnd w:id="76"/>
            <w:bookmarkEnd w:id="77"/>
            <w:r>
              <w:rPr>
                <w:rFonts w:hint="eastAsia"/>
                <w:sz w:val="24"/>
              </w:rPr>
              <w:t>地理位置图见附图7。</w:t>
            </w:r>
          </w:p>
          <w:p w14:paraId="01A0F03D">
            <w:pPr>
              <w:spacing w:line="360" w:lineRule="auto"/>
              <w:ind w:firstLine="480" w:firstLineChars="200"/>
              <w:rPr>
                <w:sz w:val="24"/>
              </w:rPr>
            </w:pPr>
            <w:r>
              <w:rPr>
                <w:sz w:val="24"/>
              </w:rPr>
              <w:t>项目地理位置及周边环境概况：本项目位于</w:t>
            </w:r>
            <w:bookmarkStart w:id="78" w:name="OLE_LINK78"/>
            <w:bookmarkStart w:id="79" w:name="OLE_LINK79"/>
            <w:r>
              <w:rPr>
                <w:rFonts w:hint="eastAsia"/>
                <w:sz w:val="24"/>
              </w:rPr>
              <w:t>山东省济宁市梁山经济开发区三利路南、东王村北180m处</w:t>
            </w:r>
            <w:bookmarkEnd w:id="78"/>
            <w:bookmarkEnd w:id="79"/>
            <w:r>
              <w:rPr>
                <w:rFonts w:hint="eastAsia"/>
                <w:sz w:val="24"/>
              </w:rPr>
              <w:t>。</w:t>
            </w:r>
            <w:r>
              <w:rPr>
                <w:sz w:val="24"/>
              </w:rPr>
              <w:t>项目</w:t>
            </w:r>
            <w:r>
              <w:rPr>
                <w:rFonts w:hint="eastAsia"/>
                <w:sz w:val="24"/>
              </w:rPr>
              <w:t>厂区</w:t>
            </w:r>
            <w:r>
              <w:rPr>
                <w:sz w:val="24"/>
              </w:rPr>
              <w:t>东侧为</w:t>
            </w:r>
            <w:bookmarkStart w:id="80" w:name="OLE_LINK191"/>
            <w:bookmarkStart w:id="81" w:name="OLE_LINK192"/>
            <w:r>
              <w:rPr>
                <w:rFonts w:hint="eastAsia"/>
                <w:sz w:val="24"/>
              </w:rPr>
              <w:t>山东富荣车辆制造有限公司</w:t>
            </w:r>
            <w:bookmarkEnd w:id="80"/>
            <w:bookmarkEnd w:id="81"/>
            <w:r>
              <w:rPr>
                <w:sz w:val="24"/>
              </w:rPr>
              <w:t>，西侧为</w:t>
            </w:r>
            <w:r>
              <w:rPr>
                <w:rFonts w:hint="eastAsia"/>
                <w:sz w:val="24"/>
              </w:rPr>
              <w:t>杨和挂车</w:t>
            </w:r>
            <w:r>
              <w:rPr>
                <w:sz w:val="24"/>
              </w:rPr>
              <w:t>，南侧为东岳路，东岳路南侧为</w:t>
            </w:r>
            <w:r>
              <w:rPr>
                <w:rFonts w:hint="eastAsia"/>
                <w:sz w:val="24"/>
              </w:rPr>
              <w:t>泰和富华车轿厂，</w:t>
            </w:r>
            <w:r>
              <w:rPr>
                <w:sz w:val="24"/>
              </w:rPr>
              <w:t>北侧为三利路，三利路北侧为</w:t>
            </w:r>
            <w:r>
              <w:rPr>
                <w:rFonts w:hint="eastAsia"/>
                <w:sz w:val="24"/>
              </w:rPr>
              <w:t>山东鸿兴专用汽车制造公司</w:t>
            </w:r>
            <w:r>
              <w:rPr>
                <w:sz w:val="24"/>
              </w:rPr>
              <w:t>。项目地理位置图见附图1。</w:t>
            </w:r>
          </w:p>
          <w:p w14:paraId="2861D561">
            <w:pPr>
              <w:spacing w:line="360" w:lineRule="auto"/>
              <w:ind w:firstLine="482" w:firstLineChars="200"/>
              <w:rPr>
                <w:sz w:val="24"/>
                <w:highlight w:val="yellow"/>
              </w:rPr>
            </w:pPr>
            <w:r>
              <w:rPr>
                <w:rFonts w:hint="eastAsia"/>
                <w:b/>
                <w:bCs/>
                <w:sz w:val="24"/>
              </w:rPr>
              <w:t>二</w:t>
            </w:r>
            <w:r>
              <w:rPr>
                <w:b/>
                <w:bCs/>
                <w:sz w:val="24"/>
              </w:rPr>
              <w:t>、</w:t>
            </w:r>
            <w:r>
              <w:rPr>
                <w:b/>
                <w:sz w:val="24"/>
              </w:rPr>
              <w:t>项目基本组成</w:t>
            </w:r>
          </w:p>
          <w:p w14:paraId="72C26973">
            <w:pPr>
              <w:adjustRightInd w:val="0"/>
              <w:snapToGrid w:val="0"/>
              <w:spacing w:line="360" w:lineRule="auto"/>
              <w:ind w:firstLine="480" w:firstLineChars="200"/>
              <w:jc w:val="left"/>
              <w:rPr>
                <w:sz w:val="24"/>
              </w:rPr>
            </w:pPr>
            <w:bookmarkStart w:id="82" w:name="OLE_LINK73"/>
            <w:bookmarkStart w:id="83" w:name="OLE_LINK74"/>
            <w:bookmarkStart w:id="84" w:name="OLE_LINK30"/>
            <w:bookmarkStart w:id="85" w:name="OLE_LINK31"/>
            <w:bookmarkStart w:id="86" w:name="OLE_LINK121"/>
            <w:bookmarkStart w:id="87" w:name="OLE_LINK181"/>
            <w:r>
              <w:rPr>
                <w:bCs/>
                <w:sz w:val="24"/>
              </w:rPr>
              <w:t>本项目位于</w:t>
            </w:r>
            <w:r>
              <w:rPr>
                <w:rFonts w:hint="eastAsia"/>
                <w:sz w:val="24"/>
              </w:rPr>
              <w:t>山东省济宁市梁山经济开发区三利路南、东王村北180m处。新建生产车间</w:t>
            </w:r>
            <w:r>
              <w:rPr>
                <w:sz w:val="24"/>
              </w:rPr>
              <w:t>1座</w:t>
            </w:r>
            <w:r>
              <w:rPr>
                <w:rFonts w:hint="eastAsia"/>
                <w:sz w:val="24"/>
              </w:rPr>
              <w:t>，特种压力容器研发中心</w:t>
            </w:r>
            <w:r>
              <w:rPr>
                <w:sz w:val="24"/>
              </w:rPr>
              <w:t>1座</w:t>
            </w:r>
            <w:r>
              <w:rPr>
                <w:rFonts w:hint="eastAsia"/>
                <w:sz w:val="24"/>
              </w:rPr>
              <w:t>，</w:t>
            </w:r>
            <w:bookmarkStart w:id="88" w:name="OLE_LINK88"/>
            <w:bookmarkStart w:id="89" w:name="OLE_LINK89"/>
            <w:r>
              <w:rPr>
                <w:rFonts w:hint="eastAsia"/>
                <w:sz w:val="24"/>
              </w:rPr>
              <w:t>检测中心</w:t>
            </w:r>
            <w:bookmarkEnd w:id="88"/>
            <w:bookmarkEnd w:id="89"/>
            <w:r>
              <w:rPr>
                <w:sz w:val="24"/>
              </w:rPr>
              <w:t>1座</w:t>
            </w:r>
            <w:r>
              <w:rPr>
                <w:rFonts w:hint="eastAsia"/>
                <w:sz w:val="24"/>
              </w:rPr>
              <w:t>，并配套建设厂区道路、绿化、管网等设施，同时购置</w:t>
            </w:r>
            <w:bookmarkStart w:id="90" w:name="OLE_LINK86"/>
            <w:bookmarkStart w:id="91" w:name="OLE_LINK87"/>
            <w:r>
              <w:rPr>
                <w:rFonts w:hint="eastAsia"/>
                <w:sz w:val="24"/>
              </w:rPr>
              <w:t>万能卷板机、探伤仪、冲击试验机</w:t>
            </w:r>
            <w:bookmarkEnd w:id="90"/>
            <w:bookmarkEnd w:id="91"/>
            <w:r>
              <w:rPr>
                <w:rFonts w:hint="eastAsia"/>
                <w:sz w:val="24"/>
              </w:rPr>
              <w:t xml:space="preserve">等国内外进口设备139余台(套)。 </w:t>
            </w:r>
            <w:r>
              <w:rPr>
                <w:bCs/>
                <w:sz w:val="24"/>
              </w:rPr>
              <w:t>本项目建成后</w:t>
            </w:r>
            <w:r>
              <w:rPr>
                <w:rFonts w:hint="eastAsia"/>
                <w:bCs/>
                <w:sz w:val="24"/>
              </w:rPr>
              <w:t>年产</w:t>
            </w:r>
            <w:r>
              <w:rPr>
                <w:bCs/>
                <w:sz w:val="24"/>
              </w:rPr>
              <w:t>8000</w:t>
            </w:r>
            <w:r>
              <w:rPr>
                <w:rFonts w:hint="eastAsia"/>
                <w:bCs/>
                <w:sz w:val="24"/>
              </w:rPr>
              <w:t>套特种压力容器</w:t>
            </w:r>
            <w:bookmarkEnd w:id="82"/>
            <w:bookmarkEnd w:id="83"/>
            <w:r>
              <w:rPr>
                <w:bCs/>
                <w:sz w:val="24"/>
              </w:rPr>
              <w:t>。</w:t>
            </w:r>
            <w:bookmarkEnd w:id="84"/>
            <w:bookmarkEnd w:id="85"/>
            <w:bookmarkEnd w:id="86"/>
            <w:bookmarkEnd w:id="87"/>
            <w:r>
              <w:rPr>
                <w:sz w:val="24"/>
              </w:rPr>
              <w:t>项目具体工程组成见表15，平面布置情况见附图3。</w:t>
            </w:r>
          </w:p>
          <w:p w14:paraId="29C62E71">
            <w:pPr>
              <w:adjustRightInd w:val="0"/>
              <w:snapToGrid w:val="0"/>
              <w:spacing w:line="360" w:lineRule="auto"/>
              <w:jc w:val="center"/>
              <w:rPr>
                <w:b/>
                <w:bCs/>
                <w:sz w:val="24"/>
              </w:rPr>
            </w:pPr>
            <w:r>
              <w:rPr>
                <w:b/>
                <w:kern w:val="0"/>
                <w:sz w:val="24"/>
              </w:rPr>
              <w:t xml:space="preserve">表15 </w:t>
            </w:r>
            <w:r>
              <w:rPr>
                <w:b/>
                <w:bCs/>
                <w:sz w:val="24"/>
              </w:rPr>
              <w:t>项目工程组成一览表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777"/>
              <w:gridCol w:w="6175"/>
              <w:gridCol w:w="1261"/>
            </w:tblGrid>
            <w:tr w14:paraId="42C13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6C717501">
                  <w:pPr>
                    <w:jc w:val="center"/>
                    <w:rPr>
                      <w:bCs/>
                      <w:szCs w:val="21"/>
                    </w:rPr>
                  </w:pPr>
                  <w:r>
                    <w:rPr>
                      <w:bCs/>
                      <w:szCs w:val="21"/>
                    </w:rPr>
                    <w:t>项目组成</w:t>
                  </w:r>
                </w:p>
              </w:tc>
              <w:tc>
                <w:tcPr>
                  <w:tcW w:w="0" w:type="auto"/>
                  <w:vAlign w:val="center"/>
                </w:tcPr>
                <w:p w14:paraId="5011FDCC">
                  <w:pPr>
                    <w:jc w:val="center"/>
                    <w:rPr>
                      <w:bCs/>
                      <w:szCs w:val="21"/>
                    </w:rPr>
                  </w:pPr>
                  <w:r>
                    <w:rPr>
                      <w:bCs/>
                      <w:szCs w:val="21"/>
                    </w:rPr>
                    <w:t>名称</w:t>
                  </w:r>
                </w:p>
              </w:tc>
              <w:tc>
                <w:tcPr>
                  <w:tcW w:w="0" w:type="auto"/>
                  <w:vAlign w:val="center"/>
                </w:tcPr>
                <w:p w14:paraId="6DF1BD6D">
                  <w:pPr>
                    <w:jc w:val="center"/>
                    <w:rPr>
                      <w:bCs/>
                      <w:szCs w:val="21"/>
                    </w:rPr>
                  </w:pPr>
                  <w:r>
                    <w:rPr>
                      <w:bCs/>
                      <w:szCs w:val="21"/>
                    </w:rPr>
                    <w:t>建设内容</w:t>
                  </w:r>
                </w:p>
              </w:tc>
              <w:tc>
                <w:tcPr>
                  <w:tcW w:w="0" w:type="auto"/>
                  <w:vAlign w:val="center"/>
                </w:tcPr>
                <w:p w14:paraId="1769247E">
                  <w:pPr>
                    <w:jc w:val="center"/>
                    <w:rPr>
                      <w:bCs/>
                      <w:szCs w:val="21"/>
                    </w:rPr>
                  </w:pPr>
                  <w:r>
                    <w:rPr>
                      <w:bCs/>
                      <w:szCs w:val="21"/>
                    </w:rPr>
                    <w:t>备注</w:t>
                  </w:r>
                </w:p>
              </w:tc>
            </w:tr>
            <w:tr w14:paraId="1C29E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3FE904C1">
                  <w:pPr>
                    <w:jc w:val="center"/>
                    <w:rPr>
                      <w:szCs w:val="21"/>
                    </w:rPr>
                  </w:pPr>
                  <w:bookmarkStart w:id="92" w:name="_Hlk191030992"/>
                  <w:r>
                    <w:rPr>
                      <w:szCs w:val="21"/>
                    </w:rPr>
                    <w:t>主体工程</w:t>
                  </w:r>
                </w:p>
              </w:tc>
              <w:tc>
                <w:tcPr>
                  <w:tcW w:w="0" w:type="auto"/>
                  <w:vAlign w:val="center"/>
                </w:tcPr>
                <w:p w14:paraId="2B7831BA">
                  <w:pPr>
                    <w:jc w:val="center"/>
                    <w:rPr>
                      <w:b/>
                      <w:szCs w:val="21"/>
                    </w:rPr>
                  </w:pPr>
                  <w:r>
                    <w:rPr>
                      <w:szCs w:val="21"/>
                    </w:rPr>
                    <w:t>生产车间</w:t>
                  </w:r>
                </w:p>
              </w:tc>
              <w:tc>
                <w:tcPr>
                  <w:tcW w:w="0" w:type="auto"/>
                  <w:vAlign w:val="center"/>
                </w:tcPr>
                <w:p w14:paraId="57A4E5CB">
                  <w:pPr>
                    <w:rPr>
                      <w:bCs/>
                      <w:szCs w:val="21"/>
                      <w:vertAlign w:val="superscript"/>
                    </w:rPr>
                  </w:pPr>
                  <w:r>
                    <w:rPr>
                      <w:rFonts w:hint="eastAsia"/>
                      <w:bCs/>
                      <w:szCs w:val="21"/>
                    </w:rPr>
                    <w:t>1座，位于厂区西北角</w:t>
                  </w:r>
                  <w:r>
                    <w:rPr>
                      <w:bCs/>
                      <w:szCs w:val="21"/>
                    </w:rPr>
                    <w:t>，建筑面积</w:t>
                  </w:r>
                  <w:r>
                    <w:rPr>
                      <w:rFonts w:hint="eastAsia"/>
                      <w:bCs/>
                      <w:szCs w:val="21"/>
                    </w:rPr>
                    <w:t>35</w:t>
                  </w:r>
                  <w:r>
                    <w:rPr>
                      <w:bCs/>
                      <w:szCs w:val="21"/>
                    </w:rPr>
                    <w:t>000m</w:t>
                  </w:r>
                  <w:r>
                    <w:rPr>
                      <w:bCs/>
                      <w:szCs w:val="21"/>
                      <w:vertAlign w:val="superscript"/>
                    </w:rPr>
                    <w:t>2</w:t>
                  </w:r>
                  <w:r>
                    <w:rPr>
                      <w:bCs/>
                      <w:szCs w:val="21"/>
                    </w:rPr>
                    <w:t>，设置</w:t>
                  </w:r>
                  <w:r>
                    <w:rPr>
                      <w:rFonts w:hint="eastAsia"/>
                      <w:szCs w:val="21"/>
                    </w:rPr>
                    <w:t>万能卷板机、行车、切割机、焊机、车床、镗床、全自动抛光设备、超声波探伤仪、探伤室、喷塑房、固化间等，具有年产8000套特种压力容器的生产能力。</w:t>
                  </w:r>
                </w:p>
              </w:tc>
              <w:tc>
                <w:tcPr>
                  <w:tcW w:w="0" w:type="auto"/>
                  <w:vAlign w:val="center"/>
                </w:tcPr>
                <w:p w14:paraId="6AF2917A">
                  <w:pPr>
                    <w:jc w:val="center"/>
                    <w:rPr>
                      <w:bCs/>
                      <w:szCs w:val="21"/>
                    </w:rPr>
                  </w:pPr>
                  <w:r>
                    <w:rPr>
                      <w:bCs/>
                      <w:szCs w:val="21"/>
                    </w:rPr>
                    <w:t>新建</w:t>
                  </w:r>
                </w:p>
              </w:tc>
            </w:tr>
            <w:bookmarkEnd w:id="92"/>
            <w:tr w14:paraId="57386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restart"/>
                  <w:vAlign w:val="center"/>
                </w:tcPr>
                <w:p w14:paraId="311B090A">
                  <w:pPr>
                    <w:jc w:val="center"/>
                    <w:rPr>
                      <w:szCs w:val="21"/>
                    </w:rPr>
                  </w:pPr>
                  <w:r>
                    <w:rPr>
                      <w:szCs w:val="21"/>
                    </w:rPr>
                    <w:t>辅助工程</w:t>
                  </w:r>
                </w:p>
              </w:tc>
              <w:tc>
                <w:tcPr>
                  <w:tcW w:w="0" w:type="auto"/>
                  <w:vAlign w:val="center"/>
                </w:tcPr>
                <w:p w14:paraId="72D95FF5">
                  <w:pPr>
                    <w:jc w:val="center"/>
                    <w:rPr>
                      <w:szCs w:val="21"/>
                    </w:rPr>
                  </w:pPr>
                  <w:r>
                    <w:rPr>
                      <w:rFonts w:hint="eastAsia"/>
                      <w:szCs w:val="21"/>
                    </w:rPr>
                    <w:t>特种压力容器研发中心</w:t>
                  </w:r>
                </w:p>
              </w:tc>
              <w:tc>
                <w:tcPr>
                  <w:tcW w:w="0" w:type="auto"/>
                  <w:vAlign w:val="center"/>
                </w:tcPr>
                <w:p w14:paraId="0BA100A7">
                  <w:pPr>
                    <w:rPr>
                      <w:bCs/>
                      <w:szCs w:val="21"/>
                    </w:rPr>
                  </w:pPr>
                  <w:r>
                    <w:rPr>
                      <w:rFonts w:hint="eastAsia"/>
                      <w:bCs/>
                      <w:szCs w:val="21"/>
                    </w:rPr>
                    <w:t>1座，位于厂区西部，建筑面积2</w:t>
                  </w:r>
                  <w:r>
                    <w:rPr>
                      <w:bCs/>
                      <w:szCs w:val="21"/>
                    </w:rPr>
                    <w:t>400m</w:t>
                  </w:r>
                  <w:r>
                    <w:rPr>
                      <w:bCs/>
                      <w:szCs w:val="21"/>
                      <w:vertAlign w:val="superscript"/>
                    </w:rPr>
                    <w:t>2</w:t>
                  </w:r>
                  <w:r>
                    <w:rPr>
                      <w:bCs/>
                      <w:szCs w:val="21"/>
                    </w:rPr>
                    <w:t>，后期</w:t>
                  </w:r>
                  <w:r>
                    <w:rPr>
                      <w:rFonts w:hint="eastAsia"/>
                      <w:bCs/>
                      <w:szCs w:val="21"/>
                    </w:rPr>
                    <w:t>主要负责组织开展后续生产过程中新产品、新技术、新工艺的研究开发，负责对新技术进行消化吸收和创新。</w:t>
                  </w:r>
                </w:p>
              </w:tc>
              <w:tc>
                <w:tcPr>
                  <w:tcW w:w="0" w:type="auto"/>
                  <w:vAlign w:val="center"/>
                </w:tcPr>
                <w:p w14:paraId="2E0DA06F">
                  <w:pPr>
                    <w:jc w:val="center"/>
                    <w:rPr>
                      <w:szCs w:val="21"/>
                    </w:rPr>
                  </w:pPr>
                  <w:bookmarkStart w:id="93" w:name="OLE_LINK85"/>
                  <w:bookmarkStart w:id="94" w:name="OLE_LINK84"/>
                  <w:r>
                    <w:rPr>
                      <w:bCs/>
                      <w:szCs w:val="21"/>
                    </w:rPr>
                    <w:t>新建</w:t>
                  </w:r>
                  <w:bookmarkEnd w:id="93"/>
                  <w:bookmarkEnd w:id="94"/>
                  <w:r>
                    <w:rPr>
                      <w:bCs/>
                      <w:szCs w:val="21"/>
                    </w:rPr>
                    <w:t>，本次仅涉及构筑物建设，暂不使用</w:t>
                  </w:r>
                  <w:r>
                    <w:rPr>
                      <w:rFonts w:hint="eastAsia"/>
                      <w:szCs w:val="21"/>
                    </w:rPr>
                    <w:t xml:space="preserve"> </w:t>
                  </w:r>
                </w:p>
              </w:tc>
            </w:tr>
            <w:tr w14:paraId="06F87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continue"/>
                  <w:vAlign w:val="center"/>
                </w:tcPr>
                <w:p w14:paraId="42236FAF">
                  <w:pPr>
                    <w:jc w:val="center"/>
                    <w:rPr>
                      <w:szCs w:val="21"/>
                    </w:rPr>
                  </w:pPr>
                </w:p>
              </w:tc>
              <w:tc>
                <w:tcPr>
                  <w:tcW w:w="0" w:type="auto"/>
                  <w:vAlign w:val="center"/>
                </w:tcPr>
                <w:p w14:paraId="3080ACA9">
                  <w:pPr>
                    <w:jc w:val="center"/>
                    <w:rPr>
                      <w:szCs w:val="21"/>
                    </w:rPr>
                  </w:pPr>
                  <w:r>
                    <w:rPr>
                      <w:rFonts w:hint="eastAsia"/>
                      <w:szCs w:val="21"/>
                    </w:rPr>
                    <w:t>检测中心</w:t>
                  </w:r>
                </w:p>
              </w:tc>
              <w:tc>
                <w:tcPr>
                  <w:tcW w:w="0" w:type="auto"/>
                  <w:vAlign w:val="center"/>
                </w:tcPr>
                <w:p w14:paraId="65860D8E">
                  <w:pPr>
                    <w:rPr>
                      <w:bCs/>
                      <w:szCs w:val="21"/>
                    </w:rPr>
                  </w:pPr>
                  <w:r>
                    <w:rPr>
                      <w:rFonts w:hint="eastAsia"/>
                      <w:bCs/>
                      <w:szCs w:val="21"/>
                    </w:rPr>
                    <w:t>1座，位于厂区西部，建筑面积6</w:t>
                  </w:r>
                  <w:r>
                    <w:rPr>
                      <w:bCs/>
                      <w:szCs w:val="21"/>
                    </w:rPr>
                    <w:t>000m</w:t>
                  </w:r>
                  <w:r>
                    <w:rPr>
                      <w:bCs/>
                      <w:szCs w:val="21"/>
                      <w:vertAlign w:val="superscript"/>
                    </w:rPr>
                    <w:t>2</w:t>
                  </w:r>
                  <w:r>
                    <w:rPr>
                      <w:bCs/>
                      <w:szCs w:val="21"/>
                    </w:rPr>
                    <w:t>，</w:t>
                  </w:r>
                  <w:r>
                    <w:rPr>
                      <w:rFonts w:hint="eastAsia"/>
                      <w:bCs/>
                      <w:szCs w:val="21"/>
                    </w:rPr>
                    <w:t xml:space="preserve">主要负责产品和原辅材料的质量检测。 </w:t>
                  </w:r>
                </w:p>
              </w:tc>
              <w:tc>
                <w:tcPr>
                  <w:tcW w:w="0" w:type="auto"/>
                  <w:vAlign w:val="center"/>
                </w:tcPr>
                <w:p w14:paraId="32C452CB">
                  <w:pPr>
                    <w:jc w:val="center"/>
                    <w:rPr>
                      <w:bCs/>
                      <w:szCs w:val="21"/>
                    </w:rPr>
                  </w:pPr>
                  <w:r>
                    <w:rPr>
                      <w:bCs/>
                      <w:szCs w:val="21"/>
                    </w:rPr>
                    <w:t>新建</w:t>
                  </w:r>
                </w:p>
              </w:tc>
            </w:tr>
            <w:tr w14:paraId="46577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restart"/>
                  <w:vAlign w:val="center"/>
                </w:tcPr>
                <w:p w14:paraId="169AB50B">
                  <w:pPr>
                    <w:jc w:val="center"/>
                    <w:rPr>
                      <w:szCs w:val="21"/>
                    </w:rPr>
                  </w:pPr>
                  <w:r>
                    <w:rPr>
                      <w:szCs w:val="21"/>
                    </w:rPr>
                    <w:t>储运工程</w:t>
                  </w:r>
                </w:p>
              </w:tc>
              <w:tc>
                <w:tcPr>
                  <w:tcW w:w="0" w:type="auto"/>
                  <w:vAlign w:val="center"/>
                </w:tcPr>
                <w:p w14:paraId="4DB33F4E">
                  <w:pPr>
                    <w:jc w:val="center"/>
                    <w:rPr>
                      <w:szCs w:val="21"/>
                    </w:rPr>
                  </w:pPr>
                  <w:r>
                    <w:rPr>
                      <w:szCs w:val="21"/>
                    </w:rPr>
                    <w:t>危废暂存间</w:t>
                  </w:r>
                </w:p>
              </w:tc>
              <w:tc>
                <w:tcPr>
                  <w:tcW w:w="0" w:type="auto"/>
                  <w:vAlign w:val="center"/>
                </w:tcPr>
                <w:p w14:paraId="288C0C10">
                  <w:pPr>
                    <w:rPr>
                      <w:bCs/>
                      <w:szCs w:val="21"/>
                    </w:rPr>
                  </w:pPr>
                  <w:bookmarkStart w:id="95" w:name="OLE_LINK90"/>
                  <w:bookmarkStart w:id="96" w:name="OLE_LINK91"/>
                  <w:r>
                    <w:rPr>
                      <w:bCs/>
                      <w:szCs w:val="21"/>
                    </w:rPr>
                    <w:t>位于生产车间内</w:t>
                  </w:r>
                  <w:r>
                    <w:rPr>
                      <w:rFonts w:hint="eastAsia"/>
                      <w:bCs/>
                      <w:szCs w:val="21"/>
                    </w:rPr>
                    <w:t>南侧</w:t>
                  </w:r>
                  <w:bookmarkEnd w:id="95"/>
                  <w:bookmarkEnd w:id="96"/>
                  <w:r>
                    <w:rPr>
                      <w:bCs/>
                      <w:szCs w:val="21"/>
                    </w:rPr>
                    <w:t>，主要用于危险废物的暂存</w:t>
                  </w:r>
                </w:p>
              </w:tc>
              <w:tc>
                <w:tcPr>
                  <w:tcW w:w="0" w:type="auto"/>
                  <w:vAlign w:val="center"/>
                </w:tcPr>
                <w:p w14:paraId="6F9484B6">
                  <w:pPr>
                    <w:jc w:val="center"/>
                    <w:rPr>
                      <w:bCs/>
                      <w:szCs w:val="21"/>
                    </w:rPr>
                  </w:pPr>
                  <w:r>
                    <w:rPr>
                      <w:szCs w:val="21"/>
                    </w:rPr>
                    <w:t>新建</w:t>
                  </w:r>
                </w:p>
              </w:tc>
            </w:tr>
            <w:tr w14:paraId="35814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1" w:hRule="atLeast"/>
                <w:jc w:val="center"/>
              </w:trPr>
              <w:tc>
                <w:tcPr>
                  <w:tcW w:w="0" w:type="auto"/>
                  <w:vMerge w:val="continue"/>
                  <w:vAlign w:val="center"/>
                </w:tcPr>
                <w:p w14:paraId="3E3EF077">
                  <w:pPr>
                    <w:jc w:val="center"/>
                    <w:rPr>
                      <w:bCs/>
                      <w:szCs w:val="21"/>
                    </w:rPr>
                  </w:pPr>
                </w:p>
              </w:tc>
              <w:tc>
                <w:tcPr>
                  <w:tcW w:w="0" w:type="auto"/>
                  <w:vAlign w:val="center"/>
                </w:tcPr>
                <w:p w14:paraId="1074A76F">
                  <w:pPr>
                    <w:jc w:val="center"/>
                    <w:rPr>
                      <w:bCs/>
                      <w:szCs w:val="21"/>
                    </w:rPr>
                  </w:pPr>
                  <w:r>
                    <w:rPr>
                      <w:bCs/>
                      <w:szCs w:val="21"/>
                    </w:rPr>
                    <w:t>仓库</w:t>
                  </w:r>
                </w:p>
              </w:tc>
              <w:tc>
                <w:tcPr>
                  <w:tcW w:w="0" w:type="auto"/>
                  <w:vAlign w:val="center"/>
                </w:tcPr>
                <w:p w14:paraId="443EC12A">
                  <w:pPr>
                    <w:rPr>
                      <w:bCs/>
                      <w:szCs w:val="21"/>
                    </w:rPr>
                  </w:pPr>
                  <w:r>
                    <w:rPr>
                      <w:rFonts w:hint="eastAsia"/>
                      <w:bCs/>
                      <w:szCs w:val="21"/>
                    </w:rPr>
                    <w:t>位于</w:t>
                  </w:r>
                  <w:r>
                    <w:rPr>
                      <w:bCs/>
                      <w:szCs w:val="21"/>
                    </w:rPr>
                    <w:t>生产车间内</w:t>
                  </w:r>
                  <w:r>
                    <w:rPr>
                      <w:rFonts w:hint="eastAsia"/>
                      <w:bCs/>
                      <w:szCs w:val="21"/>
                    </w:rPr>
                    <w:t>南侧</w:t>
                  </w:r>
                  <w:r>
                    <w:rPr>
                      <w:bCs/>
                      <w:szCs w:val="21"/>
                    </w:rPr>
                    <w:t>，放置有原材料及产品</w:t>
                  </w:r>
                </w:p>
              </w:tc>
              <w:tc>
                <w:tcPr>
                  <w:tcW w:w="0" w:type="auto"/>
                  <w:vAlign w:val="center"/>
                </w:tcPr>
                <w:p w14:paraId="62533BD1">
                  <w:pPr>
                    <w:jc w:val="center"/>
                    <w:rPr>
                      <w:bCs/>
                      <w:szCs w:val="21"/>
                    </w:rPr>
                  </w:pPr>
                  <w:r>
                    <w:rPr>
                      <w:szCs w:val="21"/>
                    </w:rPr>
                    <w:t>新建</w:t>
                  </w:r>
                </w:p>
              </w:tc>
            </w:tr>
            <w:tr w14:paraId="401FF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1" w:hRule="atLeast"/>
                <w:jc w:val="center"/>
              </w:trPr>
              <w:tc>
                <w:tcPr>
                  <w:tcW w:w="0" w:type="auto"/>
                  <w:vMerge w:val="continue"/>
                  <w:vAlign w:val="center"/>
                </w:tcPr>
                <w:p w14:paraId="66937FEB">
                  <w:pPr>
                    <w:jc w:val="center"/>
                    <w:rPr>
                      <w:bCs/>
                      <w:szCs w:val="21"/>
                    </w:rPr>
                  </w:pPr>
                </w:p>
              </w:tc>
              <w:tc>
                <w:tcPr>
                  <w:tcW w:w="0" w:type="auto"/>
                  <w:vAlign w:val="center"/>
                </w:tcPr>
                <w:p w14:paraId="0B47DC1E">
                  <w:pPr>
                    <w:jc w:val="center"/>
                    <w:rPr>
                      <w:bCs/>
                      <w:szCs w:val="21"/>
                    </w:rPr>
                  </w:pPr>
                  <w:r>
                    <w:rPr>
                      <w:rFonts w:hint="eastAsia"/>
                      <w:bCs/>
                      <w:szCs w:val="21"/>
                    </w:rPr>
                    <w:t>油类暂存区</w:t>
                  </w:r>
                </w:p>
              </w:tc>
              <w:tc>
                <w:tcPr>
                  <w:tcW w:w="0" w:type="auto"/>
                  <w:shd w:val="clear" w:color="auto" w:fill="auto"/>
                  <w:vAlign w:val="center"/>
                </w:tcPr>
                <w:p w14:paraId="5BBEA152">
                  <w:pPr>
                    <w:rPr>
                      <w:bCs/>
                      <w:szCs w:val="21"/>
                    </w:rPr>
                  </w:pPr>
                  <w:r>
                    <w:rPr>
                      <w:rFonts w:hint="eastAsia"/>
                      <w:bCs/>
                      <w:szCs w:val="21"/>
                    </w:rPr>
                    <w:t>位于</w:t>
                  </w:r>
                  <w:r>
                    <w:rPr>
                      <w:bCs/>
                      <w:szCs w:val="21"/>
                    </w:rPr>
                    <w:t>生产车间内</w:t>
                  </w:r>
                  <w:r>
                    <w:rPr>
                      <w:rFonts w:hint="eastAsia"/>
                      <w:bCs/>
                      <w:szCs w:val="21"/>
                    </w:rPr>
                    <w:t>南侧</w:t>
                  </w:r>
                  <w:r>
                    <w:rPr>
                      <w:bCs/>
                      <w:szCs w:val="21"/>
                    </w:rPr>
                    <w:t>，放置</w:t>
                  </w:r>
                  <w:r>
                    <w:rPr>
                      <w:rFonts w:hint="eastAsia"/>
                      <w:bCs/>
                      <w:szCs w:val="21"/>
                    </w:rPr>
                    <w:t>润滑油及液压油等油类</w:t>
                  </w:r>
                </w:p>
              </w:tc>
              <w:tc>
                <w:tcPr>
                  <w:tcW w:w="0" w:type="auto"/>
                  <w:shd w:val="clear" w:color="auto" w:fill="auto"/>
                  <w:vAlign w:val="center"/>
                </w:tcPr>
                <w:p w14:paraId="16CDED32">
                  <w:pPr>
                    <w:jc w:val="center"/>
                    <w:rPr>
                      <w:bCs/>
                      <w:szCs w:val="21"/>
                    </w:rPr>
                  </w:pPr>
                  <w:r>
                    <w:rPr>
                      <w:szCs w:val="21"/>
                    </w:rPr>
                    <w:t>新建</w:t>
                  </w:r>
                </w:p>
              </w:tc>
            </w:tr>
            <w:tr w14:paraId="4A88E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1" w:hRule="atLeast"/>
                <w:jc w:val="center"/>
              </w:trPr>
              <w:tc>
                <w:tcPr>
                  <w:tcW w:w="0" w:type="auto"/>
                  <w:vMerge w:val="continue"/>
                  <w:vAlign w:val="center"/>
                </w:tcPr>
                <w:p w14:paraId="42B2C731">
                  <w:pPr>
                    <w:jc w:val="center"/>
                    <w:rPr>
                      <w:szCs w:val="21"/>
                    </w:rPr>
                  </w:pPr>
                </w:p>
              </w:tc>
              <w:tc>
                <w:tcPr>
                  <w:tcW w:w="0" w:type="auto"/>
                  <w:vAlign w:val="center"/>
                </w:tcPr>
                <w:p w14:paraId="04B8871F">
                  <w:pPr>
                    <w:jc w:val="center"/>
                    <w:rPr>
                      <w:bCs/>
                      <w:szCs w:val="21"/>
                    </w:rPr>
                  </w:pPr>
                  <w:r>
                    <w:rPr>
                      <w:bCs/>
                      <w:szCs w:val="21"/>
                    </w:rPr>
                    <w:t>一般固废暂存间</w:t>
                  </w:r>
                </w:p>
              </w:tc>
              <w:tc>
                <w:tcPr>
                  <w:tcW w:w="0" w:type="auto"/>
                  <w:vAlign w:val="center"/>
                </w:tcPr>
                <w:p w14:paraId="7268E951">
                  <w:pPr>
                    <w:rPr>
                      <w:bCs/>
                      <w:szCs w:val="21"/>
                    </w:rPr>
                  </w:pPr>
                  <w:r>
                    <w:rPr>
                      <w:bCs/>
                      <w:szCs w:val="21"/>
                    </w:rPr>
                    <w:t>位于生产车间内</w:t>
                  </w:r>
                  <w:r>
                    <w:rPr>
                      <w:rFonts w:hint="eastAsia"/>
                      <w:bCs/>
                      <w:szCs w:val="21"/>
                    </w:rPr>
                    <w:t>南侧</w:t>
                  </w:r>
                  <w:r>
                    <w:rPr>
                      <w:bCs/>
                      <w:szCs w:val="21"/>
                    </w:rPr>
                    <w:t>，主要用于暂存一般固废</w:t>
                  </w:r>
                </w:p>
              </w:tc>
              <w:tc>
                <w:tcPr>
                  <w:tcW w:w="0" w:type="auto"/>
                  <w:vAlign w:val="center"/>
                </w:tcPr>
                <w:p w14:paraId="1BB66448">
                  <w:pPr>
                    <w:jc w:val="center"/>
                    <w:rPr>
                      <w:bCs/>
                      <w:szCs w:val="21"/>
                    </w:rPr>
                  </w:pPr>
                  <w:r>
                    <w:rPr>
                      <w:szCs w:val="21"/>
                    </w:rPr>
                    <w:t>新建</w:t>
                  </w:r>
                </w:p>
              </w:tc>
            </w:tr>
            <w:tr w14:paraId="212AF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restart"/>
                  <w:vAlign w:val="center"/>
                </w:tcPr>
                <w:p w14:paraId="6D42848D">
                  <w:pPr>
                    <w:jc w:val="center"/>
                    <w:rPr>
                      <w:szCs w:val="21"/>
                    </w:rPr>
                  </w:pPr>
                  <w:r>
                    <w:rPr>
                      <w:szCs w:val="21"/>
                    </w:rPr>
                    <w:t>公用工程</w:t>
                  </w:r>
                </w:p>
              </w:tc>
              <w:tc>
                <w:tcPr>
                  <w:tcW w:w="0" w:type="auto"/>
                  <w:vAlign w:val="center"/>
                </w:tcPr>
                <w:p w14:paraId="7745AFDB">
                  <w:pPr>
                    <w:jc w:val="center"/>
                    <w:rPr>
                      <w:szCs w:val="21"/>
                    </w:rPr>
                  </w:pPr>
                  <w:r>
                    <w:rPr>
                      <w:szCs w:val="21"/>
                    </w:rPr>
                    <w:t>供水</w:t>
                  </w:r>
                </w:p>
              </w:tc>
              <w:tc>
                <w:tcPr>
                  <w:tcW w:w="0" w:type="auto"/>
                  <w:vAlign w:val="center"/>
                </w:tcPr>
                <w:p w14:paraId="1975BFF5">
                  <w:pPr>
                    <w:rPr>
                      <w:szCs w:val="21"/>
                    </w:rPr>
                  </w:pPr>
                  <w:r>
                    <w:rPr>
                      <w:szCs w:val="21"/>
                    </w:rPr>
                    <w:t>由梁山经济开发区供水网络提供</w:t>
                  </w:r>
                </w:p>
              </w:tc>
              <w:tc>
                <w:tcPr>
                  <w:tcW w:w="0" w:type="auto"/>
                  <w:vAlign w:val="center"/>
                </w:tcPr>
                <w:p w14:paraId="64BA9A52">
                  <w:pPr>
                    <w:jc w:val="center"/>
                    <w:rPr>
                      <w:szCs w:val="21"/>
                    </w:rPr>
                  </w:pPr>
                  <w:r>
                    <w:rPr>
                      <w:szCs w:val="21"/>
                    </w:rPr>
                    <w:t>新建</w:t>
                  </w:r>
                </w:p>
              </w:tc>
            </w:tr>
            <w:tr w14:paraId="6A4DC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continue"/>
                  <w:vAlign w:val="center"/>
                </w:tcPr>
                <w:p w14:paraId="1ACCA3FD">
                  <w:pPr>
                    <w:widowControl/>
                    <w:jc w:val="left"/>
                    <w:rPr>
                      <w:szCs w:val="21"/>
                    </w:rPr>
                  </w:pPr>
                </w:p>
              </w:tc>
              <w:tc>
                <w:tcPr>
                  <w:tcW w:w="0" w:type="auto"/>
                  <w:vAlign w:val="center"/>
                </w:tcPr>
                <w:p w14:paraId="76F0FD5C">
                  <w:pPr>
                    <w:jc w:val="center"/>
                    <w:rPr>
                      <w:szCs w:val="21"/>
                    </w:rPr>
                  </w:pPr>
                  <w:r>
                    <w:rPr>
                      <w:szCs w:val="21"/>
                    </w:rPr>
                    <w:t>供电</w:t>
                  </w:r>
                </w:p>
              </w:tc>
              <w:tc>
                <w:tcPr>
                  <w:tcW w:w="0" w:type="auto"/>
                  <w:vAlign w:val="center"/>
                </w:tcPr>
                <w:p w14:paraId="489D3A86">
                  <w:pPr>
                    <w:rPr>
                      <w:szCs w:val="21"/>
                    </w:rPr>
                  </w:pPr>
                  <w:r>
                    <w:rPr>
                      <w:szCs w:val="21"/>
                    </w:rPr>
                    <w:t xml:space="preserve">由梁山经济开发区供电网络提供  </w:t>
                  </w:r>
                </w:p>
              </w:tc>
              <w:tc>
                <w:tcPr>
                  <w:tcW w:w="0" w:type="auto"/>
                  <w:vAlign w:val="center"/>
                </w:tcPr>
                <w:p w14:paraId="264DDFF7">
                  <w:pPr>
                    <w:jc w:val="center"/>
                    <w:rPr>
                      <w:szCs w:val="21"/>
                    </w:rPr>
                  </w:pPr>
                  <w:r>
                    <w:rPr>
                      <w:szCs w:val="21"/>
                    </w:rPr>
                    <w:t>新建</w:t>
                  </w:r>
                </w:p>
              </w:tc>
            </w:tr>
            <w:tr w14:paraId="1E991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continue"/>
                  <w:vAlign w:val="center"/>
                </w:tcPr>
                <w:p w14:paraId="454B01E4">
                  <w:pPr>
                    <w:widowControl/>
                    <w:jc w:val="left"/>
                    <w:rPr>
                      <w:szCs w:val="21"/>
                    </w:rPr>
                  </w:pPr>
                </w:p>
              </w:tc>
              <w:tc>
                <w:tcPr>
                  <w:tcW w:w="0" w:type="auto"/>
                  <w:vAlign w:val="center"/>
                </w:tcPr>
                <w:p w14:paraId="5A713423">
                  <w:pPr>
                    <w:jc w:val="center"/>
                    <w:rPr>
                      <w:szCs w:val="21"/>
                    </w:rPr>
                  </w:pPr>
                  <w:r>
                    <w:rPr>
                      <w:szCs w:val="21"/>
                    </w:rPr>
                    <w:t>供热</w:t>
                  </w:r>
                </w:p>
              </w:tc>
              <w:tc>
                <w:tcPr>
                  <w:tcW w:w="0" w:type="auto"/>
                  <w:vAlign w:val="center"/>
                </w:tcPr>
                <w:p w14:paraId="14C332FA">
                  <w:pPr>
                    <w:pStyle w:val="24"/>
                    <w:spacing w:after="0"/>
                    <w:ind w:left="0" w:leftChars="0" w:firstLine="0" w:firstLineChars="0"/>
                    <w:rPr>
                      <w:szCs w:val="21"/>
                    </w:rPr>
                  </w:pPr>
                  <w:r>
                    <w:rPr>
                      <w:szCs w:val="21"/>
                    </w:rPr>
                    <w:t>项目冬季办公取暖采用电加热空调</w:t>
                  </w:r>
                </w:p>
              </w:tc>
              <w:tc>
                <w:tcPr>
                  <w:tcW w:w="0" w:type="auto"/>
                  <w:vAlign w:val="center"/>
                </w:tcPr>
                <w:p w14:paraId="0201F810">
                  <w:pPr>
                    <w:jc w:val="center"/>
                    <w:rPr>
                      <w:szCs w:val="21"/>
                    </w:rPr>
                  </w:pPr>
                  <w:bookmarkStart w:id="97" w:name="OLE_LINK93"/>
                  <w:bookmarkStart w:id="98" w:name="OLE_LINK92"/>
                  <w:bookmarkStart w:id="99" w:name="OLE_LINK94"/>
                  <w:bookmarkStart w:id="100" w:name="OLE_LINK96"/>
                  <w:bookmarkStart w:id="101" w:name="OLE_LINK95"/>
                  <w:r>
                    <w:rPr>
                      <w:szCs w:val="21"/>
                    </w:rPr>
                    <w:t>新建</w:t>
                  </w:r>
                  <w:bookmarkEnd w:id="97"/>
                  <w:bookmarkEnd w:id="98"/>
                  <w:bookmarkEnd w:id="99"/>
                  <w:bookmarkEnd w:id="100"/>
                  <w:bookmarkEnd w:id="101"/>
                </w:p>
              </w:tc>
            </w:tr>
            <w:tr w14:paraId="19860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restart"/>
                  <w:vAlign w:val="center"/>
                </w:tcPr>
                <w:p w14:paraId="025D7182">
                  <w:pPr>
                    <w:widowControl/>
                    <w:jc w:val="left"/>
                    <w:rPr>
                      <w:szCs w:val="21"/>
                    </w:rPr>
                  </w:pPr>
                  <w:r>
                    <w:rPr>
                      <w:szCs w:val="21"/>
                    </w:rPr>
                    <w:t>环保工程</w:t>
                  </w:r>
                </w:p>
              </w:tc>
              <w:tc>
                <w:tcPr>
                  <w:tcW w:w="0" w:type="auto"/>
                  <w:vAlign w:val="center"/>
                </w:tcPr>
                <w:p w14:paraId="66868BAE">
                  <w:pPr>
                    <w:jc w:val="center"/>
                    <w:rPr>
                      <w:szCs w:val="21"/>
                    </w:rPr>
                  </w:pPr>
                  <w:r>
                    <w:rPr>
                      <w:szCs w:val="21"/>
                    </w:rPr>
                    <w:t>废气治理</w:t>
                  </w:r>
                </w:p>
              </w:tc>
              <w:tc>
                <w:tcPr>
                  <w:tcW w:w="0" w:type="auto"/>
                  <w:vAlign w:val="center"/>
                </w:tcPr>
                <w:p w14:paraId="5F06DCB6">
                  <w:pPr>
                    <w:pStyle w:val="83"/>
                    <w:adjustRightInd w:val="0"/>
                    <w:rPr>
                      <w:rFonts w:ascii="Times New Roman" w:eastAsia="宋体"/>
                      <w:sz w:val="21"/>
                      <w:szCs w:val="21"/>
                    </w:rPr>
                  </w:pPr>
                  <w:r>
                    <w:rPr>
                      <w:rFonts w:ascii="Times New Roman" w:eastAsia="宋体"/>
                      <w:sz w:val="21"/>
                      <w:szCs w:val="21"/>
                    </w:rPr>
                    <w:t>有组织废气：</w:t>
                  </w:r>
                </w:p>
                <w:p w14:paraId="76B210E4">
                  <w:pPr>
                    <w:pStyle w:val="83"/>
                    <w:adjustRightInd w:val="0"/>
                    <w:rPr>
                      <w:rFonts w:ascii="Times New Roman" w:eastAsia="宋体"/>
                      <w:sz w:val="21"/>
                      <w:szCs w:val="21"/>
                    </w:rPr>
                  </w:pPr>
                  <w:bookmarkStart w:id="102" w:name="OLE_LINK117"/>
                  <w:bookmarkStart w:id="103" w:name="OLE_LINK116"/>
                  <w:r>
                    <w:rPr>
                      <w:rFonts w:ascii="Times New Roman" w:eastAsia="宋体"/>
                      <w:sz w:val="21"/>
                      <w:szCs w:val="21"/>
                    </w:rPr>
                    <w:t>（</w:t>
                  </w:r>
                  <w:r>
                    <w:rPr>
                      <w:rFonts w:hint="eastAsia" w:ascii="Times New Roman" w:eastAsia="宋体"/>
                      <w:sz w:val="21"/>
                      <w:szCs w:val="21"/>
                    </w:rPr>
                    <w:t>1</w:t>
                  </w:r>
                  <w:r>
                    <w:rPr>
                      <w:rFonts w:ascii="Times New Roman" w:eastAsia="宋体"/>
                      <w:sz w:val="21"/>
                      <w:szCs w:val="21"/>
                    </w:rPr>
                    <w:t>）切割粉尘、焊接烟尘、抛光粉尘经过集气罩收集后经布袋除尘器（TA001）处理后，由</w:t>
                  </w:r>
                  <w:r>
                    <w:rPr>
                      <w:rFonts w:hint="eastAsia" w:ascii="Times New Roman" w:eastAsia="宋体"/>
                      <w:sz w:val="21"/>
                      <w:szCs w:val="21"/>
                    </w:rPr>
                    <w:t>1根</w:t>
                  </w:r>
                  <w:r>
                    <w:rPr>
                      <w:rFonts w:ascii="Times New Roman" w:eastAsia="宋体"/>
                      <w:sz w:val="21"/>
                      <w:szCs w:val="21"/>
                    </w:rPr>
                    <w:t>15m高排气筒（DA001）排放；</w:t>
                  </w:r>
                </w:p>
                <w:p w14:paraId="17F4709A">
                  <w:pPr>
                    <w:pStyle w:val="83"/>
                    <w:adjustRightInd w:val="0"/>
                    <w:rPr>
                      <w:rFonts w:ascii="Times New Roman" w:eastAsia="宋体"/>
                      <w:sz w:val="21"/>
                      <w:szCs w:val="21"/>
                    </w:rPr>
                  </w:pPr>
                  <w:r>
                    <w:rPr>
                      <w:rFonts w:ascii="Times New Roman" w:eastAsia="宋体"/>
                      <w:sz w:val="21"/>
                      <w:szCs w:val="21"/>
                    </w:rPr>
                    <w:t>（2）喷塑粉尘经过集气管道收集后经布袋除尘器（TA002）处理后，由</w:t>
                  </w:r>
                  <w:r>
                    <w:rPr>
                      <w:rFonts w:hint="eastAsia" w:ascii="Times New Roman" w:eastAsia="宋体"/>
                      <w:sz w:val="21"/>
                      <w:szCs w:val="21"/>
                    </w:rPr>
                    <w:t>1根</w:t>
                  </w:r>
                  <w:r>
                    <w:rPr>
                      <w:rFonts w:ascii="Times New Roman" w:eastAsia="宋体"/>
                      <w:sz w:val="21"/>
                      <w:szCs w:val="21"/>
                    </w:rPr>
                    <w:t>15m高排气筒（DA002）排放；</w:t>
                  </w:r>
                </w:p>
                <w:p w14:paraId="5C0E48BD">
                  <w:pPr>
                    <w:pStyle w:val="83"/>
                    <w:adjustRightInd w:val="0"/>
                    <w:rPr>
                      <w:rFonts w:ascii="Times New Roman" w:eastAsia="宋体"/>
                      <w:sz w:val="21"/>
                      <w:szCs w:val="21"/>
                    </w:rPr>
                  </w:pPr>
                  <w:r>
                    <w:rPr>
                      <w:rFonts w:hint="eastAsia" w:ascii="Times New Roman" w:eastAsia="宋体"/>
                      <w:sz w:val="21"/>
                      <w:szCs w:val="21"/>
                    </w:rPr>
                    <w:t>（</w:t>
                  </w:r>
                  <w:r>
                    <w:rPr>
                      <w:rFonts w:ascii="Times New Roman" w:eastAsia="宋体"/>
                      <w:sz w:val="21"/>
                      <w:szCs w:val="21"/>
                    </w:rPr>
                    <w:t>3</w:t>
                  </w:r>
                  <w:r>
                    <w:rPr>
                      <w:rFonts w:hint="eastAsia" w:ascii="Times New Roman" w:eastAsia="宋体"/>
                      <w:sz w:val="21"/>
                      <w:szCs w:val="21"/>
                    </w:rPr>
                    <w:t>）</w:t>
                  </w:r>
                  <w:bookmarkStart w:id="104" w:name="OLE_LINK72"/>
                  <w:bookmarkStart w:id="105" w:name="OLE_LINK71"/>
                  <w:r>
                    <w:rPr>
                      <w:rFonts w:hint="eastAsia" w:ascii="Times New Roman" w:eastAsia="宋体"/>
                      <w:sz w:val="21"/>
                      <w:szCs w:val="21"/>
                    </w:rPr>
                    <w:t>固化工序产生的VOCs经集气管道收集后经两级活性炭吸附装置（TA00</w:t>
                  </w:r>
                  <w:r>
                    <w:rPr>
                      <w:rFonts w:ascii="Times New Roman" w:eastAsia="宋体"/>
                      <w:sz w:val="21"/>
                      <w:szCs w:val="21"/>
                    </w:rPr>
                    <w:t>3</w:t>
                  </w:r>
                  <w:r>
                    <w:rPr>
                      <w:rFonts w:hint="eastAsia" w:ascii="Times New Roman" w:eastAsia="宋体"/>
                      <w:sz w:val="21"/>
                      <w:szCs w:val="21"/>
                    </w:rPr>
                    <w:t>）处理后，由1根15m高排气筒（DA00</w:t>
                  </w:r>
                  <w:r>
                    <w:rPr>
                      <w:rFonts w:ascii="Times New Roman" w:eastAsia="宋体"/>
                      <w:sz w:val="21"/>
                      <w:szCs w:val="21"/>
                    </w:rPr>
                    <w:t>3</w:t>
                  </w:r>
                  <w:r>
                    <w:rPr>
                      <w:rFonts w:hint="eastAsia" w:ascii="Times New Roman" w:eastAsia="宋体"/>
                      <w:sz w:val="21"/>
                      <w:szCs w:val="21"/>
                    </w:rPr>
                    <w:t>）排放</w:t>
                  </w:r>
                  <w:r>
                    <w:rPr>
                      <w:rFonts w:ascii="Times New Roman" w:eastAsia="宋体"/>
                      <w:sz w:val="21"/>
                      <w:szCs w:val="21"/>
                    </w:rPr>
                    <w:t>。</w:t>
                  </w:r>
                </w:p>
                <w:bookmarkEnd w:id="102"/>
                <w:bookmarkEnd w:id="103"/>
                <w:bookmarkEnd w:id="104"/>
                <w:bookmarkEnd w:id="105"/>
                <w:p w14:paraId="7B22B3F2">
                  <w:pPr>
                    <w:pStyle w:val="83"/>
                    <w:adjustRightInd w:val="0"/>
                    <w:rPr>
                      <w:rFonts w:ascii="Times New Roman" w:eastAsia="宋体"/>
                      <w:sz w:val="21"/>
                      <w:szCs w:val="21"/>
                    </w:rPr>
                  </w:pPr>
                  <w:r>
                    <w:rPr>
                      <w:rFonts w:ascii="Times New Roman" w:eastAsia="宋体"/>
                      <w:sz w:val="21"/>
                      <w:szCs w:val="21"/>
                    </w:rPr>
                    <w:t>无组织废气：</w:t>
                  </w:r>
                </w:p>
                <w:p w14:paraId="672CD374">
                  <w:pPr>
                    <w:rPr>
                      <w:szCs w:val="21"/>
                    </w:rPr>
                  </w:pPr>
                  <w:r>
                    <w:rPr>
                      <w:szCs w:val="21"/>
                    </w:rPr>
                    <w:t>未被收集的颗粒物、</w:t>
                  </w:r>
                  <w:r>
                    <w:rPr>
                      <w:rFonts w:hint="eastAsia"/>
                      <w:szCs w:val="21"/>
                    </w:rPr>
                    <w:t>V</w:t>
                  </w:r>
                  <w:r>
                    <w:rPr>
                      <w:szCs w:val="21"/>
                    </w:rPr>
                    <w:t>OCs在密闭生产车间内无组织排放。</w:t>
                  </w:r>
                </w:p>
              </w:tc>
              <w:tc>
                <w:tcPr>
                  <w:tcW w:w="0" w:type="auto"/>
                  <w:vAlign w:val="center"/>
                </w:tcPr>
                <w:p w14:paraId="124AD540">
                  <w:pPr>
                    <w:jc w:val="center"/>
                    <w:rPr>
                      <w:szCs w:val="21"/>
                    </w:rPr>
                  </w:pPr>
                  <w:bookmarkStart w:id="106" w:name="OLE_LINK98"/>
                  <w:bookmarkStart w:id="107" w:name="OLE_LINK97"/>
                  <w:bookmarkStart w:id="108" w:name="OLE_LINK99"/>
                  <w:bookmarkStart w:id="109" w:name="OLE_LINK101"/>
                  <w:bookmarkStart w:id="110" w:name="OLE_LINK100"/>
                  <w:r>
                    <w:rPr>
                      <w:szCs w:val="21"/>
                    </w:rPr>
                    <w:t>新建</w:t>
                  </w:r>
                  <w:bookmarkEnd w:id="106"/>
                  <w:bookmarkEnd w:id="107"/>
                  <w:bookmarkEnd w:id="108"/>
                  <w:bookmarkEnd w:id="109"/>
                  <w:bookmarkEnd w:id="110"/>
                </w:p>
              </w:tc>
            </w:tr>
            <w:tr w14:paraId="5D34C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5FDE93B4">
                  <w:pPr>
                    <w:widowControl/>
                    <w:jc w:val="left"/>
                    <w:rPr>
                      <w:szCs w:val="21"/>
                    </w:rPr>
                  </w:pPr>
                </w:p>
              </w:tc>
              <w:tc>
                <w:tcPr>
                  <w:tcW w:w="0" w:type="auto"/>
                  <w:vAlign w:val="center"/>
                </w:tcPr>
                <w:p w14:paraId="33C65301">
                  <w:pPr>
                    <w:jc w:val="center"/>
                    <w:rPr>
                      <w:szCs w:val="21"/>
                    </w:rPr>
                  </w:pPr>
                  <w:r>
                    <w:rPr>
                      <w:szCs w:val="21"/>
                    </w:rPr>
                    <w:t>废水治理</w:t>
                  </w:r>
                </w:p>
              </w:tc>
              <w:tc>
                <w:tcPr>
                  <w:tcW w:w="0" w:type="auto"/>
                  <w:vAlign w:val="center"/>
                </w:tcPr>
                <w:p w14:paraId="27828EB2">
                  <w:pPr>
                    <w:rPr>
                      <w:szCs w:val="21"/>
                    </w:rPr>
                  </w:pPr>
                  <w:r>
                    <w:rPr>
                      <w:bCs/>
                      <w:szCs w:val="21"/>
                    </w:rPr>
                    <w:t>生活污水经化粪池沉淀处理后由环卫部门定期清运。</w:t>
                  </w:r>
                </w:p>
              </w:tc>
              <w:tc>
                <w:tcPr>
                  <w:tcW w:w="0" w:type="auto"/>
                  <w:vAlign w:val="center"/>
                </w:tcPr>
                <w:p w14:paraId="470293FD">
                  <w:pPr>
                    <w:jc w:val="center"/>
                    <w:rPr>
                      <w:szCs w:val="21"/>
                    </w:rPr>
                  </w:pPr>
                  <w:r>
                    <w:rPr>
                      <w:szCs w:val="21"/>
                    </w:rPr>
                    <w:t>新建</w:t>
                  </w:r>
                </w:p>
              </w:tc>
            </w:tr>
            <w:tr w14:paraId="1FEC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continue"/>
                  <w:vAlign w:val="center"/>
                </w:tcPr>
                <w:p w14:paraId="0C65F69B">
                  <w:pPr>
                    <w:widowControl/>
                    <w:jc w:val="left"/>
                    <w:rPr>
                      <w:szCs w:val="21"/>
                    </w:rPr>
                  </w:pPr>
                </w:p>
              </w:tc>
              <w:tc>
                <w:tcPr>
                  <w:tcW w:w="0" w:type="auto"/>
                  <w:vAlign w:val="center"/>
                </w:tcPr>
                <w:p w14:paraId="4032A3B3">
                  <w:pPr>
                    <w:jc w:val="center"/>
                    <w:rPr>
                      <w:szCs w:val="21"/>
                    </w:rPr>
                  </w:pPr>
                  <w:r>
                    <w:rPr>
                      <w:szCs w:val="21"/>
                    </w:rPr>
                    <w:t>噪声治理</w:t>
                  </w:r>
                </w:p>
              </w:tc>
              <w:tc>
                <w:tcPr>
                  <w:tcW w:w="0" w:type="auto"/>
                  <w:vAlign w:val="center"/>
                </w:tcPr>
                <w:p w14:paraId="226550D3">
                  <w:pPr>
                    <w:rPr>
                      <w:szCs w:val="21"/>
                    </w:rPr>
                  </w:pPr>
                  <w:r>
                    <w:rPr>
                      <w:szCs w:val="21"/>
                    </w:rPr>
                    <w:t>选用低噪声设备，合理布局，加强管理维护，加强厂房门窗密闭、安装减振基础后，厂界噪声达标排放</w:t>
                  </w:r>
                </w:p>
              </w:tc>
              <w:tc>
                <w:tcPr>
                  <w:tcW w:w="0" w:type="auto"/>
                  <w:vAlign w:val="center"/>
                </w:tcPr>
                <w:p w14:paraId="368CA5F7">
                  <w:pPr>
                    <w:jc w:val="center"/>
                    <w:rPr>
                      <w:szCs w:val="21"/>
                    </w:rPr>
                  </w:pPr>
                  <w:r>
                    <w:rPr>
                      <w:szCs w:val="21"/>
                    </w:rPr>
                    <w:t>新建</w:t>
                  </w:r>
                </w:p>
              </w:tc>
            </w:tr>
            <w:tr w14:paraId="4E174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vMerge w:val="continue"/>
                  <w:vAlign w:val="center"/>
                </w:tcPr>
                <w:p w14:paraId="2C2F9370">
                  <w:pPr>
                    <w:widowControl/>
                    <w:jc w:val="left"/>
                    <w:rPr>
                      <w:szCs w:val="21"/>
                    </w:rPr>
                  </w:pPr>
                </w:p>
              </w:tc>
              <w:tc>
                <w:tcPr>
                  <w:tcW w:w="0" w:type="auto"/>
                  <w:vAlign w:val="center"/>
                </w:tcPr>
                <w:p w14:paraId="1646F507">
                  <w:pPr>
                    <w:jc w:val="center"/>
                    <w:rPr>
                      <w:szCs w:val="21"/>
                    </w:rPr>
                  </w:pPr>
                  <w:r>
                    <w:rPr>
                      <w:szCs w:val="21"/>
                    </w:rPr>
                    <w:t>固废处置</w:t>
                  </w:r>
                </w:p>
              </w:tc>
              <w:tc>
                <w:tcPr>
                  <w:tcW w:w="0" w:type="auto"/>
                  <w:vAlign w:val="center"/>
                </w:tcPr>
                <w:p w14:paraId="636EC579">
                  <w:pPr>
                    <w:rPr>
                      <w:szCs w:val="21"/>
                    </w:rPr>
                  </w:pPr>
                  <w:r>
                    <w:rPr>
                      <w:szCs w:val="21"/>
                    </w:rPr>
                    <w:t>废包装材料、焊渣、除尘器收尘、废布袋、下脚料、不合格品收集后外售物资回收单位；</w:t>
                  </w:r>
                  <w:r>
                    <w:rPr>
                      <w:rFonts w:hint="eastAsia"/>
                      <w:szCs w:val="21"/>
                    </w:rPr>
                    <w:t>喷塑工序布袋除尘器收集的塑粉收集后回用于生产</w:t>
                  </w:r>
                  <w:r>
                    <w:rPr>
                      <w:szCs w:val="21"/>
                    </w:rPr>
                    <w:t>；生活垃圾由环卫部门统一收集处理；废液压油、废液压油桶、</w:t>
                  </w:r>
                  <w:r>
                    <w:rPr>
                      <w:rFonts w:hint="eastAsia"/>
                      <w:szCs w:val="21"/>
                    </w:rPr>
                    <w:t>废润滑油、废润滑油桶、废活性炭</w:t>
                  </w:r>
                  <w:r>
                    <w:rPr>
                      <w:szCs w:val="21"/>
                    </w:rPr>
                    <w:t>收集后暂存于危废暂存间内，委托有危废处置资质的单位处置</w:t>
                  </w:r>
                </w:p>
              </w:tc>
              <w:tc>
                <w:tcPr>
                  <w:tcW w:w="0" w:type="auto"/>
                  <w:vAlign w:val="center"/>
                </w:tcPr>
                <w:p w14:paraId="7B74E554">
                  <w:pPr>
                    <w:jc w:val="center"/>
                    <w:rPr>
                      <w:szCs w:val="21"/>
                    </w:rPr>
                  </w:pPr>
                  <w:r>
                    <w:rPr>
                      <w:szCs w:val="21"/>
                    </w:rPr>
                    <w:t>新建</w:t>
                  </w:r>
                </w:p>
              </w:tc>
            </w:tr>
          </w:tbl>
          <w:p w14:paraId="6366415D">
            <w:pPr>
              <w:spacing w:line="360" w:lineRule="auto"/>
              <w:ind w:firstLine="482" w:firstLineChars="200"/>
              <w:rPr>
                <w:bCs/>
                <w:sz w:val="24"/>
              </w:rPr>
            </w:pPr>
            <w:r>
              <w:rPr>
                <w:b/>
                <w:bCs/>
                <w:sz w:val="24"/>
              </w:rPr>
              <w:t>三、项目平面布置</w:t>
            </w:r>
          </w:p>
          <w:p w14:paraId="2B2A5DC4">
            <w:pPr>
              <w:spacing w:line="360" w:lineRule="auto"/>
              <w:ind w:firstLine="480" w:firstLineChars="200"/>
              <w:rPr>
                <w:bCs/>
                <w:sz w:val="24"/>
              </w:rPr>
            </w:pPr>
            <w:r>
              <w:rPr>
                <w:sz w:val="24"/>
              </w:rPr>
              <w:t>本项目位于</w:t>
            </w:r>
            <w:r>
              <w:rPr>
                <w:rFonts w:hint="eastAsia"/>
                <w:sz w:val="24"/>
              </w:rPr>
              <w:t>山东省济宁市梁山经济开发区三利路南、东王村北180m处</w:t>
            </w:r>
            <w:r>
              <w:rPr>
                <w:sz w:val="24"/>
              </w:rPr>
              <w:t>，</w:t>
            </w:r>
            <w:r>
              <w:rPr>
                <w:bCs/>
                <w:sz w:val="24"/>
              </w:rPr>
              <w:t>生产车间位于厂区</w:t>
            </w:r>
            <w:r>
              <w:rPr>
                <w:rFonts w:hint="eastAsia"/>
                <w:bCs/>
                <w:sz w:val="24"/>
              </w:rPr>
              <w:t>西北</w:t>
            </w:r>
            <w:r>
              <w:rPr>
                <w:bCs/>
                <w:sz w:val="24"/>
              </w:rPr>
              <w:t>角。生产车间从北向南内部依次设置下料区、</w:t>
            </w:r>
            <w:r>
              <w:rPr>
                <w:rFonts w:hint="eastAsia"/>
                <w:bCs/>
                <w:sz w:val="24"/>
              </w:rPr>
              <w:t>焊接</w:t>
            </w:r>
            <w:r>
              <w:rPr>
                <w:bCs/>
                <w:sz w:val="24"/>
              </w:rPr>
              <w:t>区、探伤室、抛光区、喷塑房、固化间、</w:t>
            </w:r>
            <w:r>
              <w:rPr>
                <w:rFonts w:hint="eastAsia"/>
                <w:bCs/>
                <w:sz w:val="24"/>
              </w:rPr>
              <w:t>装配区</w:t>
            </w:r>
            <w:r>
              <w:rPr>
                <w:bCs/>
                <w:sz w:val="24"/>
              </w:rPr>
              <w:t>、仓库，一般固废暂存区位于生产车间内</w:t>
            </w:r>
            <w:r>
              <w:rPr>
                <w:rFonts w:hint="eastAsia"/>
                <w:bCs/>
                <w:sz w:val="24"/>
              </w:rPr>
              <w:t>东南角</w:t>
            </w:r>
            <w:r>
              <w:rPr>
                <w:bCs/>
                <w:sz w:val="24"/>
              </w:rPr>
              <w:t>，</w:t>
            </w:r>
            <w:r>
              <w:rPr>
                <w:rFonts w:hint="eastAsia"/>
                <w:bCs/>
                <w:sz w:val="24"/>
              </w:rPr>
              <w:t>危废暂存间位于生产车间内西南角，生产车间南侧设置</w:t>
            </w:r>
            <w:bookmarkStart w:id="111" w:name="OLE_LINK147"/>
            <w:bookmarkStart w:id="112" w:name="OLE_LINK148"/>
            <w:r>
              <w:rPr>
                <w:rFonts w:hint="eastAsia"/>
                <w:bCs/>
                <w:sz w:val="24"/>
              </w:rPr>
              <w:t>检测中心</w:t>
            </w:r>
            <w:bookmarkEnd w:id="111"/>
            <w:bookmarkEnd w:id="112"/>
            <w:r>
              <w:rPr>
                <w:rFonts w:hint="eastAsia"/>
                <w:bCs/>
                <w:sz w:val="24"/>
              </w:rPr>
              <w:t>，检测中心南部设置</w:t>
            </w:r>
            <w:bookmarkStart w:id="113" w:name="OLE_LINK111"/>
            <w:bookmarkStart w:id="114" w:name="OLE_LINK110"/>
            <w:r>
              <w:rPr>
                <w:rFonts w:hint="eastAsia"/>
                <w:bCs/>
                <w:sz w:val="24"/>
              </w:rPr>
              <w:t>特种压力容器研发中心</w:t>
            </w:r>
            <w:bookmarkEnd w:id="113"/>
            <w:bookmarkEnd w:id="114"/>
            <w:r>
              <w:rPr>
                <w:bCs/>
                <w:sz w:val="24"/>
              </w:rPr>
              <w:t>。本项目</w:t>
            </w:r>
            <w:r>
              <w:rPr>
                <w:sz w:val="24"/>
              </w:rPr>
              <w:t>厂区布局符合工艺流程中的物料走向，减少了物流的运输时间和成本。总体而言，此布局功能区相对独立设置，生产联系紧密，便于生产和管理。项目总平面布置图见附图8。</w:t>
            </w:r>
          </w:p>
          <w:p w14:paraId="28BFF8E0">
            <w:pPr>
              <w:spacing w:line="360" w:lineRule="auto"/>
              <w:ind w:firstLine="482" w:firstLineChars="200"/>
              <w:rPr>
                <w:b/>
                <w:bCs/>
                <w:sz w:val="24"/>
              </w:rPr>
            </w:pPr>
            <w:r>
              <w:rPr>
                <w:b/>
                <w:bCs/>
                <w:sz w:val="24"/>
              </w:rPr>
              <w:t>四、主要产品、原辅材料及生产设备</w:t>
            </w:r>
          </w:p>
          <w:p w14:paraId="0F61FB34">
            <w:pPr>
              <w:spacing w:line="360" w:lineRule="auto"/>
              <w:ind w:firstLine="480" w:firstLineChars="200"/>
              <w:rPr>
                <w:sz w:val="24"/>
              </w:rPr>
            </w:pPr>
            <w:r>
              <w:rPr>
                <w:sz w:val="24"/>
              </w:rPr>
              <w:t>1、产品方案</w:t>
            </w:r>
          </w:p>
          <w:p w14:paraId="66FFA68F">
            <w:pPr>
              <w:adjustRightInd w:val="0"/>
              <w:snapToGrid w:val="0"/>
              <w:spacing w:line="360" w:lineRule="auto"/>
              <w:jc w:val="center"/>
              <w:rPr>
                <w:b/>
                <w:bCs/>
                <w:sz w:val="24"/>
              </w:rPr>
            </w:pPr>
            <w:r>
              <w:rPr>
                <w:b/>
                <w:kern w:val="0"/>
                <w:sz w:val="24"/>
              </w:rPr>
              <w:t xml:space="preserve">表16 </w:t>
            </w:r>
            <w:r>
              <w:rPr>
                <w:b/>
                <w:bCs/>
                <w:sz w:val="24"/>
              </w:rPr>
              <w:t>项目主要产品方案一览表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701"/>
              <w:gridCol w:w="1060"/>
              <w:gridCol w:w="2582"/>
              <w:gridCol w:w="2309"/>
            </w:tblGrid>
            <w:tr w14:paraId="7727C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31" w:type="pct"/>
                  <w:vAlign w:val="center"/>
                </w:tcPr>
                <w:p w14:paraId="1A4C9F4C">
                  <w:pPr>
                    <w:snapToGrid w:val="0"/>
                    <w:jc w:val="center"/>
                    <w:rPr>
                      <w:szCs w:val="21"/>
                    </w:rPr>
                  </w:pPr>
                  <w:r>
                    <w:rPr>
                      <w:szCs w:val="21"/>
                    </w:rPr>
                    <w:t>序号</w:t>
                  </w:r>
                </w:p>
              </w:tc>
              <w:tc>
                <w:tcPr>
                  <w:tcW w:w="971" w:type="pct"/>
                  <w:tcBorders>
                    <w:right w:val="single" w:color="auto" w:sz="4" w:space="0"/>
                  </w:tcBorders>
                  <w:vAlign w:val="center"/>
                </w:tcPr>
                <w:p w14:paraId="711407FA">
                  <w:pPr>
                    <w:snapToGrid w:val="0"/>
                    <w:jc w:val="center"/>
                    <w:rPr>
                      <w:szCs w:val="21"/>
                    </w:rPr>
                  </w:pPr>
                  <w:r>
                    <w:rPr>
                      <w:szCs w:val="21"/>
                    </w:rPr>
                    <w:t>产品名称</w:t>
                  </w:r>
                </w:p>
              </w:tc>
              <w:tc>
                <w:tcPr>
                  <w:tcW w:w="605" w:type="pct"/>
                  <w:tcBorders>
                    <w:top w:val="single" w:color="auto" w:sz="4" w:space="0"/>
                    <w:left w:val="single" w:color="auto" w:sz="4" w:space="0"/>
                    <w:bottom w:val="single" w:color="auto" w:sz="4" w:space="0"/>
                    <w:right w:val="single" w:color="auto" w:sz="4" w:space="0"/>
                  </w:tcBorders>
                  <w:vAlign w:val="center"/>
                </w:tcPr>
                <w:p w14:paraId="67A71512">
                  <w:pPr>
                    <w:snapToGrid w:val="0"/>
                    <w:jc w:val="center"/>
                    <w:rPr>
                      <w:szCs w:val="21"/>
                    </w:rPr>
                  </w:pPr>
                  <w:r>
                    <w:rPr>
                      <w:szCs w:val="21"/>
                    </w:rPr>
                    <w:t>单位</w:t>
                  </w:r>
                </w:p>
              </w:tc>
              <w:tc>
                <w:tcPr>
                  <w:tcW w:w="1474" w:type="pct"/>
                  <w:vAlign w:val="center"/>
                </w:tcPr>
                <w:p w14:paraId="5821943F">
                  <w:pPr>
                    <w:snapToGrid w:val="0"/>
                    <w:jc w:val="center"/>
                    <w:rPr>
                      <w:szCs w:val="21"/>
                    </w:rPr>
                  </w:pPr>
                  <w:r>
                    <w:rPr>
                      <w:szCs w:val="21"/>
                    </w:rPr>
                    <w:t>产量</w:t>
                  </w:r>
                </w:p>
              </w:tc>
              <w:tc>
                <w:tcPr>
                  <w:tcW w:w="1318" w:type="pct"/>
                  <w:vAlign w:val="center"/>
                </w:tcPr>
                <w:p w14:paraId="3C0A3DD4">
                  <w:pPr>
                    <w:snapToGrid w:val="0"/>
                    <w:jc w:val="center"/>
                    <w:rPr>
                      <w:szCs w:val="21"/>
                    </w:rPr>
                  </w:pPr>
                  <w:r>
                    <w:rPr>
                      <w:szCs w:val="21"/>
                    </w:rPr>
                    <w:t>备注</w:t>
                  </w:r>
                </w:p>
              </w:tc>
            </w:tr>
            <w:tr w14:paraId="0C61D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31" w:type="pct"/>
                  <w:vAlign w:val="center"/>
                </w:tcPr>
                <w:p w14:paraId="7B8CBB70">
                  <w:pPr>
                    <w:snapToGrid w:val="0"/>
                    <w:jc w:val="center"/>
                    <w:rPr>
                      <w:szCs w:val="21"/>
                    </w:rPr>
                  </w:pPr>
                  <w:r>
                    <w:rPr>
                      <w:szCs w:val="21"/>
                    </w:rPr>
                    <w:t>1</w:t>
                  </w:r>
                </w:p>
              </w:tc>
              <w:tc>
                <w:tcPr>
                  <w:tcW w:w="971" w:type="pct"/>
                  <w:tcBorders>
                    <w:right w:val="single" w:color="auto" w:sz="4" w:space="0"/>
                  </w:tcBorders>
                  <w:vAlign w:val="center"/>
                </w:tcPr>
                <w:p w14:paraId="2BFE043A">
                  <w:pPr>
                    <w:snapToGrid w:val="0"/>
                    <w:jc w:val="center"/>
                    <w:rPr>
                      <w:szCs w:val="21"/>
                    </w:rPr>
                  </w:pPr>
                  <w:r>
                    <w:rPr>
                      <w:szCs w:val="21"/>
                    </w:rPr>
                    <w:t>特种压力容器</w:t>
                  </w:r>
                </w:p>
              </w:tc>
              <w:tc>
                <w:tcPr>
                  <w:tcW w:w="605" w:type="pct"/>
                  <w:tcBorders>
                    <w:top w:val="single" w:color="auto" w:sz="4" w:space="0"/>
                    <w:left w:val="single" w:color="auto" w:sz="4" w:space="0"/>
                    <w:bottom w:val="single" w:color="auto" w:sz="4" w:space="0"/>
                    <w:right w:val="single" w:color="auto" w:sz="4" w:space="0"/>
                  </w:tcBorders>
                  <w:vAlign w:val="center"/>
                </w:tcPr>
                <w:p w14:paraId="69589800">
                  <w:pPr>
                    <w:snapToGrid w:val="0"/>
                    <w:jc w:val="center"/>
                    <w:rPr>
                      <w:szCs w:val="21"/>
                    </w:rPr>
                  </w:pPr>
                  <w:r>
                    <w:rPr>
                      <w:szCs w:val="21"/>
                    </w:rPr>
                    <w:t>套/年</w:t>
                  </w:r>
                </w:p>
              </w:tc>
              <w:tc>
                <w:tcPr>
                  <w:tcW w:w="1474" w:type="pct"/>
                  <w:vAlign w:val="center"/>
                </w:tcPr>
                <w:p w14:paraId="3E9D67EE">
                  <w:pPr>
                    <w:jc w:val="center"/>
                  </w:pPr>
                  <w:bookmarkStart w:id="115" w:name="OLE_LINK119"/>
                  <w:bookmarkStart w:id="116" w:name="OLE_LINK120"/>
                  <w:r>
                    <w:t>8000</w:t>
                  </w:r>
                  <w:bookmarkEnd w:id="115"/>
                  <w:bookmarkEnd w:id="116"/>
                </w:p>
              </w:tc>
              <w:tc>
                <w:tcPr>
                  <w:tcW w:w="1318" w:type="pct"/>
                  <w:vAlign w:val="center"/>
                </w:tcPr>
                <w:p w14:paraId="3B1B8FFB">
                  <w:r>
                    <w:rPr>
                      <w:rFonts w:hint="eastAsia"/>
                    </w:rPr>
                    <w:t>压力容器为圆柱形，底面直径约</w:t>
                  </w:r>
                  <w:r>
                    <w:t>2</w:t>
                  </w:r>
                  <w:r>
                    <w:rPr>
                      <w:rFonts w:hint="eastAsia"/>
                    </w:rPr>
                    <w:t>m，高约4.23m，</w:t>
                  </w:r>
                </w:p>
              </w:tc>
            </w:tr>
          </w:tbl>
          <w:p w14:paraId="5A94EBA3">
            <w:pPr>
              <w:spacing w:line="360" w:lineRule="auto"/>
              <w:ind w:firstLine="480" w:firstLineChars="200"/>
              <w:rPr>
                <w:b/>
                <w:sz w:val="24"/>
              </w:rPr>
            </w:pPr>
            <w:r>
              <w:rPr>
                <w:sz w:val="24"/>
              </w:rPr>
              <w:t>2、主要设备</w:t>
            </w:r>
          </w:p>
          <w:p w14:paraId="6E16A0DB">
            <w:pPr>
              <w:spacing w:line="360" w:lineRule="auto"/>
              <w:ind w:firstLine="480" w:firstLineChars="200"/>
              <w:rPr>
                <w:sz w:val="24"/>
              </w:rPr>
            </w:pPr>
            <w:r>
              <w:rPr>
                <w:sz w:val="24"/>
              </w:rPr>
              <w:t>项目主要设备见</w:t>
            </w:r>
            <w:r>
              <w:rPr>
                <w:rFonts w:hint="eastAsia"/>
                <w:sz w:val="24"/>
              </w:rPr>
              <w:t>下</w:t>
            </w:r>
            <w:r>
              <w:rPr>
                <w:sz w:val="24"/>
              </w:rPr>
              <w:t>表</w:t>
            </w:r>
            <w:r>
              <w:rPr>
                <w:rFonts w:hint="eastAsia"/>
                <w:sz w:val="24"/>
              </w:rPr>
              <w:t>。</w:t>
            </w:r>
          </w:p>
          <w:p w14:paraId="507C04AE">
            <w:pPr>
              <w:adjustRightInd w:val="0"/>
              <w:snapToGrid w:val="0"/>
              <w:spacing w:line="360" w:lineRule="auto"/>
              <w:jc w:val="center"/>
              <w:rPr>
                <w:b/>
                <w:sz w:val="24"/>
              </w:rPr>
            </w:pPr>
            <w:r>
              <w:rPr>
                <w:b/>
                <w:kern w:val="0"/>
                <w:sz w:val="24"/>
              </w:rPr>
              <w:t xml:space="preserve">表17 </w:t>
            </w:r>
            <w:r>
              <w:rPr>
                <w:b/>
                <w:sz w:val="24"/>
              </w:rPr>
              <w:t>主要生产设备一览表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1369"/>
              <w:gridCol w:w="1217"/>
              <w:gridCol w:w="1879"/>
              <w:gridCol w:w="786"/>
              <w:gridCol w:w="686"/>
              <w:gridCol w:w="1061"/>
              <w:gridCol w:w="1299"/>
            </w:tblGrid>
            <w:tr w14:paraId="04AA9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2" w:type="pct"/>
                  <w:vAlign w:val="center"/>
                </w:tcPr>
                <w:p w14:paraId="42CFA358">
                  <w:pPr>
                    <w:contextualSpacing/>
                    <w:jc w:val="center"/>
                    <w:rPr>
                      <w:szCs w:val="21"/>
                    </w:rPr>
                  </w:pPr>
                  <w:r>
                    <w:rPr>
                      <w:rFonts w:hint="eastAsia"/>
                      <w:szCs w:val="21"/>
                    </w:rPr>
                    <w:t>序号</w:t>
                  </w:r>
                </w:p>
              </w:tc>
              <w:tc>
                <w:tcPr>
                  <w:tcW w:w="782" w:type="pct"/>
                  <w:vAlign w:val="center"/>
                </w:tcPr>
                <w:p w14:paraId="3D72EBA7">
                  <w:pPr>
                    <w:contextualSpacing/>
                    <w:jc w:val="center"/>
                    <w:rPr>
                      <w:szCs w:val="21"/>
                    </w:rPr>
                  </w:pPr>
                  <w:r>
                    <w:rPr>
                      <w:szCs w:val="21"/>
                    </w:rPr>
                    <w:t>主要生产单元</w:t>
                  </w:r>
                </w:p>
              </w:tc>
              <w:tc>
                <w:tcPr>
                  <w:tcW w:w="695" w:type="pct"/>
                  <w:vAlign w:val="center"/>
                </w:tcPr>
                <w:p w14:paraId="288C86DF">
                  <w:pPr>
                    <w:contextualSpacing/>
                    <w:jc w:val="center"/>
                    <w:rPr>
                      <w:szCs w:val="21"/>
                    </w:rPr>
                  </w:pPr>
                  <w:r>
                    <w:rPr>
                      <w:szCs w:val="21"/>
                    </w:rPr>
                    <w:t>生产工艺</w:t>
                  </w:r>
                </w:p>
              </w:tc>
              <w:tc>
                <w:tcPr>
                  <w:tcW w:w="1073" w:type="pct"/>
                  <w:vAlign w:val="center"/>
                </w:tcPr>
                <w:p w14:paraId="3A6C8C97">
                  <w:pPr>
                    <w:contextualSpacing/>
                    <w:jc w:val="center"/>
                    <w:rPr>
                      <w:szCs w:val="21"/>
                    </w:rPr>
                  </w:pPr>
                  <w:r>
                    <w:rPr>
                      <w:szCs w:val="21"/>
                    </w:rPr>
                    <w:t>设备名称</w:t>
                  </w:r>
                </w:p>
              </w:tc>
              <w:tc>
                <w:tcPr>
                  <w:tcW w:w="449" w:type="pct"/>
                  <w:vAlign w:val="center"/>
                </w:tcPr>
                <w:p w14:paraId="510EC6EA">
                  <w:pPr>
                    <w:contextualSpacing/>
                    <w:jc w:val="center"/>
                    <w:rPr>
                      <w:szCs w:val="21"/>
                    </w:rPr>
                  </w:pPr>
                  <w:r>
                    <w:rPr>
                      <w:szCs w:val="21"/>
                    </w:rPr>
                    <w:t>单位</w:t>
                  </w:r>
                </w:p>
              </w:tc>
              <w:tc>
                <w:tcPr>
                  <w:tcW w:w="392" w:type="pct"/>
                  <w:vAlign w:val="center"/>
                </w:tcPr>
                <w:p w14:paraId="063C9CFD">
                  <w:pPr>
                    <w:contextualSpacing/>
                    <w:jc w:val="center"/>
                    <w:rPr>
                      <w:szCs w:val="21"/>
                    </w:rPr>
                  </w:pPr>
                  <w:r>
                    <w:rPr>
                      <w:rFonts w:hint="eastAsia"/>
                      <w:szCs w:val="21"/>
                    </w:rPr>
                    <w:t>数量</w:t>
                  </w:r>
                </w:p>
              </w:tc>
              <w:tc>
                <w:tcPr>
                  <w:tcW w:w="606" w:type="pct"/>
                  <w:vAlign w:val="center"/>
                </w:tcPr>
                <w:p w14:paraId="74E83B1D">
                  <w:pPr>
                    <w:contextualSpacing/>
                    <w:jc w:val="center"/>
                    <w:rPr>
                      <w:szCs w:val="21"/>
                    </w:rPr>
                  </w:pPr>
                  <w:r>
                    <w:rPr>
                      <w:szCs w:val="21"/>
                    </w:rPr>
                    <w:t>规格型号</w:t>
                  </w:r>
                </w:p>
              </w:tc>
              <w:tc>
                <w:tcPr>
                  <w:tcW w:w="741" w:type="pct"/>
                  <w:vAlign w:val="center"/>
                </w:tcPr>
                <w:p w14:paraId="18A2A905">
                  <w:pPr>
                    <w:contextualSpacing/>
                    <w:jc w:val="center"/>
                    <w:rPr>
                      <w:szCs w:val="21"/>
                    </w:rPr>
                  </w:pPr>
                  <w:r>
                    <w:rPr>
                      <w:szCs w:val="21"/>
                    </w:rPr>
                    <w:t>备注</w:t>
                  </w:r>
                </w:p>
              </w:tc>
            </w:tr>
            <w:tr w14:paraId="16B37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5E9008BF">
                  <w:pPr>
                    <w:contextualSpacing/>
                    <w:jc w:val="center"/>
                    <w:rPr>
                      <w:szCs w:val="21"/>
                    </w:rPr>
                  </w:pPr>
                  <w:r>
                    <w:rPr>
                      <w:rFonts w:hint="eastAsia"/>
                      <w:szCs w:val="21"/>
                    </w:rPr>
                    <w:t>1</w:t>
                  </w:r>
                </w:p>
              </w:tc>
              <w:tc>
                <w:tcPr>
                  <w:tcW w:w="782" w:type="pct"/>
                  <w:vMerge w:val="restart"/>
                  <w:vAlign w:val="center"/>
                </w:tcPr>
                <w:p w14:paraId="1F0E54C4">
                  <w:pPr>
                    <w:contextualSpacing/>
                    <w:jc w:val="center"/>
                  </w:pPr>
                  <w:r>
                    <w:rPr>
                      <w:rFonts w:hint="eastAsia"/>
                    </w:rPr>
                    <w:t>公用</w:t>
                  </w:r>
                </w:p>
              </w:tc>
              <w:tc>
                <w:tcPr>
                  <w:tcW w:w="695" w:type="pct"/>
                  <w:vMerge w:val="restart"/>
                  <w:vAlign w:val="center"/>
                </w:tcPr>
                <w:p w14:paraId="29619434">
                  <w:pPr>
                    <w:contextualSpacing/>
                    <w:jc w:val="center"/>
                  </w:pPr>
                  <w:r>
                    <w:t>运输</w:t>
                  </w:r>
                </w:p>
              </w:tc>
              <w:tc>
                <w:tcPr>
                  <w:tcW w:w="1073" w:type="pct"/>
                  <w:vAlign w:val="center"/>
                </w:tcPr>
                <w:p w14:paraId="63103453">
                  <w:pPr>
                    <w:contextualSpacing/>
                    <w:jc w:val="center"/>
                    <w:rPr>
                      <w:szCs w:val="21"/>
                    </w:rPr>
                  </w:pPr>
                  <w:bookmarkStart w:id="117" w:name="OLE_LINK105"/>
                  <w:bookmarkStart w:id="118" w:name="OLE_LINK104"/>
                  <w:r>
                    <w:t>50T 吊车</w:t>
                  </w:r>
                  <w:bookmarkEnd w:id="117"/>
                  <w:bookmarkEnd w:id="118"/>
                </w:p>
              </w:tc>
              <w:tc>
                <w:tcPr>
                  <w:tcW w:w="449" w:type="pct"/>
                  <w:vAlign w:val="center"/>
                </w:tcPr>
                <w:p w14:paraId="2DBDDDAB">
                  <w:pPr>
                    <w:jc w:val="center"/>
                    <w:rPr>
                      <w:kern w:val="0"/>
                      <w:szCs w:val="21"/>
                    </w:rPr>
                  </w:pPr>
                  <w:r>
                    <w:rPr>
                      <w:kern w:val="0"/>
                      <w:szCs w:val="21"/>
                    </w:rPr>
                    <w:t>台</w:t>
                  </w:r>
                </w:p>
              </w:tc>
              <w:tc>
                <w:tcPr>
                  <w:tcW w:w="392" w:type="pct"/>
                  <w:vAlign w:val="center"/>
                </w:tcPr>
                <w:p w14:paraId="3C6B69D0">
                  <w:pPr>
                    <w:contextualSpacing/>
                    <w:jc w:val="center"/>
                    <w:rPr>
                      <w:bCs/>
                      <w:szCs w:val="21"/>
                    </w:rPr>
                  </w:pPr>
                  <w:r>
                    <w:rPr>
                      <w:rFonts w:hint="eastAsia"/>
                      <w:bCs/>
                      <w:szCs w:val="21"/>
                    </w:rPr>
                    <w:t>2</w:t>
                  </w:r>
                </w:p>
              </w:tc>
              <w:tc>
                <w:tcPr>
                  <w:tcW w:w="606" w:type="pct"/>
                  <w:vAlign w:val="center"/>
                </w:tcPr>
                <w:p w14:paraId="4966F256">
                  <w:pPr>
                    <w:contextualSpacing/>
                    <w:jc w:val="center"/>
                    <w:rPr>
                      <w:bCs/>
                      <w:szCs w:val="21"/>
                    </w:rPr>
                  </w:pPr>
                  <w:bookmarkStart w:id="119" w:name="OLE_LINK109"/>
                  <w:bookmarkStart w:id="120" w:name="OLE_LINK108"/>
                  <w:r>
                    <w:rPr>
                      <w:rFonts w:hint="eastAsia"/>
                      <w:bCs/>
                      <w:szCs w:val="21"/>
                    </w:rPr>
                    <w:t>/</w:t>
                  </w:r>
                  <w:bookmarkEnd w:id="119"/>
                  <w:bookmarkEnd w:id="120"/>
                </w:p>
              </w:tc>
              <w:tc>
                <w:tcPr>
                  <w:tcW w:w="741" w:type="pct"/>
                  <w:vMerge w:val="restart"/>
                  <w:vAlign w:val="center"/>
                </w:tcPr>
                <w:p w14:paraId="6318AE29">
                  <w:pPr>
                    <w:contextualSpacing/>
                    <w:jc w:val="center"/>
                    <w:rPr>
                      <w:bCs/>
                      <w:szCs w:val="21"/>
                    </w:rPr>
                  </w:pPr>
                  <w:r>
                    <w:rPr>
                      <w:bCs/>
                      <w:szCs w:val="21"/>
                    </w:rPr>
                    <w:t>位于生产车间</w:t>
                  </w:r>
                </w:p>
              </w:tc>
            </w:tr>
            <w:tr w14:paraId="12A46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96AA7FA">
                  <w:pPr>
                    <w:contextualSpacing/>
                    <w:jc w:val="center"/>
                    <w:rPr>
                      <w:szCs w:val="21"/>
                    </w:rPr>
                  </w:pPr>
                  <w:r>
                    <w:rPr>
                      <w:rFonts w:hint="eastAsia"/>
                      <w:szCs w:val="21"/>
                    </w:rPr>
                    <w:t>2</w:t>
                  </w:r>
                </w:p>
              </w:tc>
              <w:tc>
                <w:tcPr>
                  <w:tcW w:w="782" w:type="pct"/>
                  <w:vMerge w:val="continue"/>
                  <w:vAlign w:val="center"/>
                </w:tcPr>
                <w:p w14:paraId="73DF7D56">
                  <w:pPr>
                    <w:contextualSpacing/>
                    <w:jc w:val="center"/>
                  </w:pPr>
                </w:p>
              </w:tc>
              <w:tc>
                <w:tcPr>
                  <w:tcW w:w="695" w:type="pct"/>
                  <w:vMerge w:val="continue"/>
                  <w:vAlign w:val="center"/>
                </w:tcPr>
                <w:p w14:paraId="3DA83C07">
                  <w:pPr>
                    <w:contextualSpacing/>
                    <w:jc w:val="center"/>
                  </w:pPr>
                </w:p>
              </w:tc>
              <w:tc>
                <w:tcPr>
                  <w:tcW w:w="1073" w:type="pct"/>
                  <w:vAlign w:val="center"/>
                </w:tcPr>
                <w:p w14:paraId="2FA4EE58">
                  <w:pPr>
                    <w:contextualSpacing/>
                    <w:jc w:val="center"/>
                    <w:rPr>
                      <w:szCs w:val="21"/>
                    </w:rPr>
                  </w:pPr>
                  <w:bookmarkStart w:id="121" w:name="OLE_LINK107"/>
                  <w:bookmarkStart w:id="122" w:name="OLE_LINK106"/>
                  <w:r>
                    <w:t>25T 吊车</w:t>
                  </w:r>
                  <w:bookmarkEnd w:id="121"/>
                  <w:bookmarkEnd w:id="122"/>
                </w:p>
              </w:tc>
              <w:tc>
                <w:tcPr>
                  <w:tcW w:w="449" w:type="pct"/>
                  <w:vAlign w:val="center"/>
                </w:tcPr>
                <w:p w14:paraId="3EAE9019">
                  <w:pPr>
                    <w:jc w:val="center"/>
                    <w:rPr>
                      <w:szCs w:val="21"/>
                    </w:rPr>
                  </w:pPr>
                  <w:r>
                    <w:rPr>
                      <w:kern w:val="0"/>
                      <w:szCs w:val="21"/>
                    </w:rPr>
                    <w:t>台</w:t>
                  </w:r>
                </w:p>
              </w:tc>
              <w:tc>
                <w:tcPr>
                  <w:tcW w:w="392" w:type="pct"/>
                  <w:vAlign w:val="center"/>
                </w:tcPr>
                <w:p w14:paraId="09983FCD">
                  <w:pPr>
                    <w:contextualSpacing/>
                    <w:jc w:val="center"/>
                    <w:rPr>
                      <w:bCs/>
                      <w:szCs w:val="21"/>
                    </w:rPr>
                  </w:pPr>
                  <w:r>
                    <w:rPr>
                      <w:rFonts w:hint="eastAsia"/>
                      <w:bCs/>
                      <w:szCs w:val="21"/>
                    </w:rPr>
                    <w:t>1</w:t>
                  </w:r>
                </w:p>
              </w:tc>
              <w:tc>
                <w:tcPr>
                  <w:tcW w:w="606" w:type="pct"/>
                  <w:vAlign w:val="center"/>
                </w:tcPr>
                <w:p w14:paraId="20CD3258">
                  <w:pPr>
                    <w:contextualSpacing/>
                    <w:jc w:val="center"/>
                    <w:rPr>
                      <w:bCs/>
                      <w:szCs w:val="21"/>
                    </w:rPr>
                  </w:pPr>
                  <w:r>
                    <w:rPr>
                      <w:rFonts w:hint="eastAsia"/>
                      <w:bCs/>
                      <w:szCs w:val="21"/>
                    </w:rPr>
                    <w:t>/</w:t>
                  </w:r>
                </w:p>
              </w:tc>
              <w:tc>
                <w:tcPr>
                  <w:tcW w:w="741" w:type="pct"/>
                  <w:vMerge w:val="continue"/>
                  <w:vAlign w:val="center"/>
                </w:tcPr>
                <w:p w14:paraId="173E247F">
                  <w:pPr>
                    <w:contextualSpacing/>
                    <w:jc w:val="center"/>
                    <w:rPr>
                      <w:bCs/>
                      <w:szCs w:val="21"/>
                    </w:rPr>
                  </w:pPr>
                </w:p>
              </w:tc>
            </w:tr>
            <w:tr w14:paraId="5C584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168DB24E">
                  <w:pPr>
                    <w:contextualSpacing/>
                    <w:jc w:val="center"/>
                    <w:rPr>
                      <w:szCs w:val="21"/>
                    </w:rPr>
                  </w:pPr>
                  <w:r>
                    <w:rPr>
                      <w:rFonts w:hint="eastAsia"/>
                      <w:szCs w:val="21"/>
                    </w:rPr>
                    <w:t>3</w:t>
                  </w:r>
                </w:p>
              </w:tc>
              <w:tc>
                <w:tcPr>
                  <w:tcW w:w="782" w:type="pct"/>
                  <w:vMerge w:val="continue"/>
                  <w:vAlign w:val="center"/>
                </w:tcPr>
                <w:p w14:paraId="30B564BA">
                  <w:pPr>
                    <w:contextualSpacing/>
                    <w:jc w:val="center"/>
                  </w:pPr>
                </w:p>
              </w:tc>
              <w:tc>
                <w:tcPr>
                  <w:tcW w:w="695" w:type="pct"/>
                  <w:vMerge w:val="continue"/>
                  <w:vAlign w:val="center"/>
                </w:tcPr>
                <w:p w14:paraId="3337A8B5">
                  <w:pPr>
                    <w:contextualSpacing/>
                    <w:jc w:val="center"/>
                  </w:pPr>
                </w:p>
              </w:tc>
              <w:tc>
                <w:tcPr>
                  <w:tcW w:w="1073" w:type="pct"/>
                  <w:vAlign w:val="center"/>
                </w:tcPr>
                <w:p w14:paraId="2A6EEA65">
                  <w:pPr>
                    <w:contextualSpacing/>
                    <w:jc w:val="center"/>
                    <w:rPr>
                      <w:szCs w:val="21"/>
                    </w:rPr>
                  </w:pPr>
                  <w:r>
                    <w:t>5T 叉车</w:t>
                  </w:r>
                </w:p>
              </w:tc>
              <w:tc>
                <w:tcPr>
                  <w:tcW w:w="449" w:type="pct"/>
                  <w:vAlign w:val="center"/>
                </w:tcPr>
                <w:p w14:paraId="7CC7E7D2">
                  <w:pPr>
                    <w:jc w:val="center"/>
                    <w:rPr>
                      <w:szCs w:val="21"/>
                    </w:rPr>
                  </w:pPr>
                  <w:r>
                    <w:rPr>
                      <w:kern w:val="0"/>
                      <w:szCs w:val="21"/>
                    </w:rPr>
                    <w:t>台</w:t>
                  </w:r>
                </w:p>
              </w:tc>
              <w:tc>
                <w:tcPr>
                  <w:tcW w:w="392" w:type="pct"/>
                  <w:vAlign w:val="center"/>
                </w:tcPr>
                <w:p w14:paraId="59748676">
                  <w:pPr>
                    <w:contextualSpacing/>
                    <w:jc w:val="center"/>
                    <w:rPr>
                      <w:bCs/>
                      <w:szCs w:val="21"/>
                    </w:rPr>
                  </w:pPr>
                  <w:r>
                    <w:rPr>
                      <w:bCs/>
                      <w:szCs w:val="21"/>
                    </w:rPr>
                    <w:t>1</w:t>
                  </w:r>
                </w:p>
              </w:tc>
              <w:tc>
                <w:tcPr>
                  <w:tcW w:w="606" w:type="pct"/>
                  <w:vAlign w:val="center"/>
                </w:tcPr>
                <w:p w14:paraId="160B6A73">
                  <w:pPr>
                    <w:jc w:val="center"/>
                  </w:pPr>
                  <w:r>
                    <w:rPr>
                      <w:bCs/>
                      <w:szCs w:val="21"/>
                    </w:rPr>
                    <w:t>/</w:t>
                  </w:r>
                </w:p>
              </w:tc>
              <w:tc>
                <w:tcPr>
                  <w:tcW w:w="741" w:type="pct"/>
                  <w:vMerge w:val="continue"/>
                  <w:vAlign w:val="center"/>
                </w:tcPr>
                <w:p w14:paraId="0287FDF0">
                  <w:pPr>
                    <w:contextualSpacing/>
                    <w:jc w:val="center"/>
                    <w:rPr>
                      <w:bCs/>
                      <w:szCs w:val="21"/>
                    </w:rPr>
                  </w:pPr>
                </w:p>
              </w:tc>
            </w:tr>
            <w:tr w14:paraId="3FE1E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3261665D">
                  <w:pPr>
                    <w:contextualSpacing/>
                    <w:jc w:val="center"/>
                    <w:rPr>
                      <w:szCs w:val="21"/>
                    </w:rPr>
                  </w:pPr>
                  <w:r>
                    <w:rPr>
                      <w:szCs w:val="21"/>
                    </w:rPr>
                    <w:t>4</w:t>
                  </w:r>
                </w:p>
              </w:tc>
              <w:tc>
                <w:tcPr>
                  <w:tcW w:w="782" w:type="pct"/>
                  <w:vMerge w:val="continue"/>
                  <w:vAlign w:val="center"/>
                </w:tcPr>
                <w:p w14:paraId="3DEA9936">
                  <w:pPr>
                    <w:contextualSpacing/>
                    <w:jc w:val="center"/>
                    <w:rPr>
                      <w:szCs w:val="21"/>
                    </w:rPr>
                  </w:pPr>
                </w:p>
              </w:tc>
              <w:tc>
                <w:tcPr>
                  <w:tcW w:w="695" w:type="pct"/>
                  <w:vMerge w:val="continue"/>
                  <w:vAlign w:val="center"/>
                </w:tcPr>
                <w:p w14:paraId="63BA9F3D">
                  <w:pPr>
                    <w:contextualSpacing/>
                    <w:jc w:val="center"/>
                    <w:rPr>
                      <w:szCs w:val="21"/>
                    </w:rPr>
                  </w:pPr>
                </w:p>
              </w:tc>
              <w:tc>
                <w:tcPr>
                  <w:tcW w:w="1073" w:type="pct"/>
                  <w:vAlign w:val="center"/>
                </w:tcPr>
                <w:p w14:paraId="0CBA2D9A">
                  <w:pPr>
                    <w:contextualSpacing/>
                    <w:jc w:val="center"/>
                    <w:rPr>
                      <w:szCs w:val="21"/>
                    </w:rPr>
                  </w:pPr>
                  <w:r>
                    <w:rPr>
                      <w:rFonts w:hint="eastAsia"/>
                      <w:szCs w:val="21"/>
                    </w:rPr>
                    <w:t>行</w:t>
                  </w:r>
                  <w:r>
                    <w:rPr>
                      <w:szCs w:val="21"/>
                    </w:rPr>
                    <w:t>吊</w:t>
                  </w:r>
                </w:p>
              </w:tc>
              <w:tc>
                <w:tcPr>
                  <w:tcW w:w="449" w:type="pct"/>
                  <w:vAlign w:val="center"/>
                </w:tcPr>
                <w:p w14:paraId="38B1FBE4">
                  <w:pPr>
                    <w:contextualSpacing/>
                    <w:jc w:val="center"/>
                    <w:rPr>
                      <w:kern w:val="0"/>
                      <w:szCs w:val="21"/>
                    </w:rPr>
                  </w:pPr>
                  <w:r>
                    <w:rPr>
                      <w:kern w:val="0"/>
                      <w:szCs w:val="21"/>
                    </w:rPr>
                    <w:t>套</w:t>
                  </w:r>
                </w:p>
              </w:tc>
              <w:tc>
                <w:tcPr>
                  <w:tcW w:w="392" w:type="pct"/>
                  <w:vAlign w:val="center"/>
                </w:tcPr>
                <w:p w14:paraId="3544B610">
                  <w:pPr>
                    <w:jc w:val="center"/>
                    <w:rPr>
                      <w:szCs w:val="21"/>
                    </w:rPr>
                  </w:pPr>
                  <w:r>
                    <w:rPr>
                      <w:rFonts w:hint="eastAsia"/>
                      <w:szCs w:val="21"/>
                    </w:rPr>
                    <w:t>1</w:t>
                  </w:r>
                  <w:r>
                    <w:rPr>
                      <w:szCs w:val="21"/>
                    </w:rPr>
                    <w:t>0</w:t>
                  </w:r>
                </w:p>
              </w:tc>
              <w:tc>
                <w:tcPr>
                  <w:tcW w:w="606" w:type="pct"/>
                  <w:vAlign w:val="center"/>
                </w:tcPr>
                <w:p w14:paraId="49D5D214">
                  <w:pPr>
                    <w:jc w:val="center"/>
                  </w:pPr>
                  <w:r>
                    <w:rPr>
                      <w:bCs/>
                      <w:szCs w:val="21"/>
                    </w:rPr>
                    <w:t>/</w:t>
                  </w:r>
                </w:p>
              </w:tc>
              <w:tc>
                <w:tcPr>
                  <w:tcW w:w="741" w:type="pct"/>
                  <w:vMerge w:val="continue"/>
                  <w:vAlign w:val="center"/>
                </w:tcPr>
                <w:p w14:paraId="36048118">
                  <w:pPr>
                    <w:jc w:val="center"/>
                    <w:rPr>
                      <w:szCs w:val="21"/>
                    </w:rPr>
                  </w:pPr>
                </w:p>
              </w:tc>
            </w:tr>
            <w:tr w14:paraId="35DDB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0D6C9BD0">
                  <w:pPr>
                    <w:widowControl/>
                    <w:jc w:val="center"/>
                    <w:rPr>
                      <w:kern w:val="0"/>
                      <w:sz w:val="20"/>
                      <w:szCs w:val="20"/>
                    </w:rPr>
                  </w:pPr>
                  <w:r>
                    <w:rPr>
                      <w:rFonts w:hint="eastAsia"/>
                      <w:kern w:val="0"/>
                      <w:sz w:val="20"/>
                      <w:szCs w:val="20"/>
                    </w:rPr>
                    <w:t>5</w:t>
                  </w:r>
                </w:p>
              </w:tc>
              <w:tc>
                <w:tcPr>
                  <w:tcW w:w="782" w:type="pct"/>
                  <w:vMerge w:val="restart"/>
                  <w:vAlign w:val="center"/>
                </w:tcPr>
                <w:p w14:paraId="1E0B0786">
                  <w:pPr>
                    <w:contextualSpacing/>
                    <w:jc w:val="center"/>
                    <w:rPr>
                      <w:szCs w:val="21"/>
                    </w:rPr>
                  </w:pPr>
                  <w:r>
                    <w:rPr>
                      <w:szCs w:val="21"/>
                    </w:rPr>
                    <w:t>下料</w:t>
                  </w:r>
                </w:p>
              </w:tc>
              <w:tc>
                <w:tcPr>
                  <w:tcW w:w="695" w:type="pct"/>
                  <w:vMerge w:val="restart"/>
                  <w:vAlign w:val="center"/>
                </w:tcPr>
                <w:p w14:paraId="580AF62E">
                  <w:pPr>
                    <w:contextualSpacing/>
                    <w:jc w:val="center"/>
                    <w:rPr>
                      <w:szCs w:val="21"/>
                    </w:rPr>
                  </w:pPr>
                  <w:r>
                    <w:rPr>
                      <w:szCs w:val="21"/>
                    </w:rPr>
                    <w:t>切割</w:t>
                  </w:r>
                </w:p>
              </w:tc>
              <w:tc>
                <w:tcPr>
                  <w:tcW w:w="1073" w:type="pct"/>
                  <w:vAlign w:val="center"/>
                </w:tcPr>
                <w:p w14:paraId="293A0C3E">
                  <w:pPr>
                    <w:contextualSpacing/>
                    <w:jc w:val="center"/>
                    <w:rPr>
                      <w:szCs w:val="21"/>
                    </w:rPr>
                  </w:pPr>
                  <w:bookmarkStart w:id="123" w:name="OLE_LINK161"/>
                  <w:bookmarkStart w:id="124" w:name="OLE_LINK160"/>
                  <w:r>
                    <w:rPr>
                      <w:szCs w:val="21"/>
                    </w:rPr>
                    <w:t>大型激光切割机</w:t>
                  </w:r>
                  <w:bookmarkEnd w:id="123"/>
                  <w:bookmarkEnd w:id="124"/>
                </w:p>
              </w:tc>
              <w:tc>
                <w:tcPr>
                  <w:tcW w:w="449" w:type="pct"/>
                  <w:vAlign w:val="center"/>
                </w:tcPr>
                <w:p w14:paraId="717A7FDF">
                  <w:pPr>
                    <w:jc w:val="center"/>
                  </w:pPr>
                  <w:r>
                    <w:rPr>
                      <w:kern w:val="0"/>
                      <w:szCs w:val="21"/>
                    </w:rPr>
                    <w:t>台</w:t>
                  </w:r>
                </w:p>
              </w:tc>
              <w:tc>
                <w:tcPr>
                  <w:tcW w:w="392" w:type="pct"/>
                  <w:vAlign w:val="center"/>
                </w:tcPr>
                <w:p w14:paraId="43C53931">
                  <w:pPr>
                    <w:jc w:val="center"/>
                    <w:rPr>
                      <w:szCs w:val="21"/>
                    </w:rPr>
                  </w:pPr>
                  <w:r>
                    <w:rPr>
                      <w:rFonts w:hint="eastAsia"/>
                      <w:szCs w:val="21"/>
                    </w:rPr>
                    <w:t>1</w:t>
                  </w:r>
                </w:p>
              </w:tc>
              <w:tc>
                <w:tcPr>
                  <w:tcW w:w="606" w:type="pct"/>
                  <w:vAlign w:val="center"/>
                </w:tcPr>
                <w:p w14:paraId="76AFC395">
                  <w:pPr>
                    <w:jc w:val="center"/>
                  </w:pPr>
                  <w:r>
                    <w:rPr>
                      <w:bCs/>
                      <w:szCs w:val="21"/>
                    </w:rPr>
                    <w:t>/</w:t>
                  </w:r>
                </w:p>
              </w:tc>
              <w:tc>
                <w:tcPr>
                  <w:tcW w:w="741" w:type="pct"/>
                  <w:vMerge w:val="continue"/>
                  <w:vAlign w:val="center"/>
                </w:tcPr>
                <w:p w14:paraId="7D2DAF0D">
                  <w:pPr>
                    <w:jc w:val="center"/>
                    <w:rPr>
                      <w:szCs w:val="21"/>
                    </w:rPr>
                  </w:pPr>
                </w:p>
              </w:tc>
            </w:tr>
            <w:tr w14:paraId="29102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2BD0E19F">
                  <w:pPr>
                    <w:jc w:val="center"/>
                    <w:rPr>
                      <w:sz w:val="20"/>
                      <w:szCs w:val="20"/>
                    </w:rPr>
                  </w:pPr>
                  <w:r>
                    <w:rPr>
                      <w:rFonts w:hint="eastAsia"/>
                      <w:sz w:val="20"/>
                      <w:szCs w:val="20"/>
                    </w:rPr>
                    <w:t>6</w:t>
                  </w:r>
                </w:p>
              </w:tc>
              <w:tc>
                <w:tcPr>
                  <w:tcW w:w="782" w:type="pct"/>
                  <w:vMerge w:val="continue"/>
                  <w:vAlign w:val="center"/>
                </w:tcPr>
                <w:p w14:paraId="40F4E778">
                  <w:pPr>
                    <w:contextualSpacing/>
                    <w:jc w:val="center"/>
                    <w:rPr>
                      <w:szCs w:val="21"/>
                    </w:rPr>
                  </w:pPr>
                </w:p>
              </w:tc>
              <w:tc>
                <w:tcPr>
                  <w:tcW w:w="695" w:type="pct"/>
                  <w:vMerge w:val="continue"/>
                  <w:vAlign w:val="center"/>
                </w:tcPr>
                <w:p w14:paraId="138C81B1">
                  <w:pPr>
                    <w:contextualSpacing/>
                    <w:jc w:val="center"/>
                    <w:rPr>
                      <w:szCs w:val="21"/>
                    </w:rPr>
                  </w:pPr>
                </w:p>
              </w:tc>
              <w:tc>
                <w:tcPr>
                  <w:tcW w:w="1073" w:type="pct"/>
                  <w:vAlign w:val="center"/>
                </w:tcPr>
                <w:p w14:paraId="262AB3A6">
                  <w:pPr>
                    <w:contextualSpacing/>
                    <w:jc w:val="center"/>
                    <w:rPr>
                      <w:szCs w:val="21"/>
                    </w:rPr>
                  </w:pPr>
                  <w:r>
                    <w:rPr>
                      <w:szCs w:val="21"/>
                    </w:rPr>
                    <w:t>中型激光切割机</w:t>
                  </w:r>
                </w:p>
              </w:tc>
              <w:tc>
                <w:tcPr>
                  <w:tcW w:w="449" w:type="pct"/>
                  <w:vAlign w:val="center"/>
                </w:tcPr>
                <w:p w14:paraId="096D2060">
                  <w:pPr>
                    <w:jc w:val="center"/>
                  </w:pPr>
                  <w:r>
                    <w:rPr>
                      <w:kern w:val="0"/>
                      <w:szCs w:val="21"/>
                    </w:rPr>
                    <w:t>台</w:t>
                  </w:r>
                </w:p>
              </w:tc>
              <w:tc>
                <w:tcPr>
                  <w:tcW w:w="392" w:type="pct"/>
                  <w:vAlign w:val="center"/>
                </w:tcPr>
                <w:p w14:paraId="7A324E1C">
                  <w:pPr>
                    <w:jc w:val="center"/>
                    <w:rPr>
                      <w:szCs w:val="21"/>
                    </w:rPr>
                  </w:pPr>
                  <w:r>
                    <w:rPr>
                      <w:rFonts w:hint="eastAsia"/>
                      <w:szCs w:val="21"/>
                    </w:rPr>
                    <w:t>1</w:t>
                  </w:r>
                </w:p>
              </w:tc>
              <w:tc>
                <w:tcPr>
                  <w:tcW w:w="606" w:type="pct"/>
                  <w:vAlign w:val="center"/>
                </w:tcPr>
                <w:p w14:paraId="1AE8D1C5">
                  <w:pPr>
                    <w:jc w:val="center"/>
                  </w:pPr>
                  <w:r>
                    <w:rPr>
                      <w:bCs/>
                      <w:szCs w:val="21"/>
                    </w:rPr>
                    <w:t>/</w:t>
                  </w:r>
                </w:p>
              </w:tc>
              <w:tc>
                <w:tcPr>
                  <w:tcW w:w="741" w:type="pct"/>
                  <w:vMerge w:val="continue"/>
                  <w:vAlign w:val="center"/>
                </w:tcPr>
                <w:p w14:paraId="6B748F06">
                  <w:pPr>
                    <w:jc w:val="center"/>
                    <w:rPr>
                      <w:szCs w:val="21"/>
                    </w:rPr>
                  </w:pPr>
                </w:p>
              </w:tc>
            </w:tr>
            <w:tr w14:paraId="27DED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7CE4C41D">
                  <w:pPr>
                    <w:jc w:val="center"/>
                    <w:rPr>
                      <w:sz w:val="20"/>
                      <w:szCs w:val="20"/>
                    </w:rPr>
                  </w:pPr>
                  <w:r>
                    <w:rPr>
                      <w:rFonts w:hint="eastAsia"/>
                      <w:sz w:val="20"/>
                      <w:szCs w:val="20"/>
                    </w:rPr>
                    <w:t>7</w:t>
                  </w:r>
                </w:p>
              </w:tc>
              <w:tc>
                <w:tcPr>
                  <w:tcW w:w="782" w:type="pct"/>
                  <w:vMerge w:val="continue"/>
                  <w:vAlign w:val="center"/>
                </w:tcPr>
                <w:p w14:paraId="0D54FA85">
                  <w:pPr>
                    <w:contextualSpacing/>
                    <w:jc w:val="center"/>
                  </w:pPr>
                </w:p>
              </w:tc>
              <w:tc>
                <w:tcPr>
                  <w:tcW w:w="695" w:type="pct"/>
                  <w:vMerge w:val="continue"/>
                  <w:vAlign w:val="center"/>
                </w:tcPr>
                <w:p w14:paraId="21882489">
                  <w:pPr>
                    <w:contextualSpacing/>
                    <w:jc w:val="center"/>
                  </w:pPr>
                </w:p>
              </w:tc>
              <w:tc>
                <w:tcPr>
                  <w:tcW w:w="1073" w:type="pct"/>
                  <w:vAlign w:val="center"/>
                </w:tcPr>
                <w:p w14:paraId="1AAB35EC">
                  <w:pPr>
                    <w:contextualSpacing/>
                    <w:jc w:val="center"/>
                    <w:rPr>
                      <w:rFonts w:ascii="宋体" w:hAnsi="宋体"/>
                    </w:rPr>
                  </w:pPr>
                  <w:r>
                    <w:t>等离子切割机</w:t>
                  </w:r>
                </w:p>
              </w:tc>
              <w:tc>
                <w:tcPr>
                  <w:tcW w:w="449" w:type="pct"/>
                  <w:vAlign w:val="center"/>
                </w:tcPr>
                <w:p w14:paraId="7570DA38">
                  <w:pPr>
                    <w:jc w:val="center"/>
                  </w:pPr>
                  <w:r>
                    <w:rPr>
                      <w:kern w:val="0"/>
                      <w:szCs w:val="21"/>
                    </w:rPr>
                    <w:t>台</w:t>
                  </w:r>
                </w:p>
              </w:tc>
              <w:tc>
                <w:tcPr>
                  <w:tcW w:w="392" w:type="pct"/>
                  <w:vAlign w:val="center"/>
                </w:tcPr>
                <w:p w14:paraId="5F6ED7B1">
                  <w:pPr>
                    <w:jc w:val="center"/>
                    <w:rPr>
                      <w:szCs w:val="21"/>
                    </w:rPr>
                  </w:pPr>
                  <w:r>
                    <w:rPr>
                      <w:rFonts w:hint="eastAsia"/>
                      <w:szCs w:val="21"/>
                    </w:rPr>
                    <w:t>1</w:t>
                  </w:r>
                </w:p>
              </w:tc>
              <w:tc>
                <w:tcPr>
                  <w:tcW w:w="606" w:type="pct"/>
                  <w:vAlign w:val="center"/>
                </w:tcPr>
                <w:p w14:paraId="3489946B">
                  <w:pPr>
                    <w:jc w:val="center"/>
                  </w:pPr>
                  <w:r>
                    <w:rPr>
                      <w:bCs/>
                      <w:szCs w:val="21"/>
                    </w:rPr>
                    <w:t>/</w:t>
                  </w:r>
                </w:p>
              </w:tc>
              <w:tc>
                <w:tcPr>
                  <w:tcW w:w="741" w:type="pct"/>
                  <w:vMerge w:val="continue"/>
                  <w:vAlign w:val="center"/>
                </w:tcPr>
                <w:p w14:paraId="7FAB0484">
                  <w:pPr>
                    <w:jc w:val="center"/>
                    <w:rPr>
                      <w:szCs w:val="21"/>
                    </w:rPr>
                  </w:pPr>
                </w:p>
              </w:tc>
            </w:tr>
            <w:tr w14:paraId="758F2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0D1D484">
                  <w:pPr>
                    <w:widowControl/>
                    <w:jc w:val="center"/>
                    <w:rPr>
                      <w:kern w:val="0"/>
                      <w:sz w:val="20"/>
                      <w:szCs w:val="20"/>
                    </w:rPr>
                  </w:pPr>
                  <w:r>
                    <w:rPr>
                      <w:sz w:val="20"/>
                      <w:szCs w:val="20"/>
                    </w:rPr>
                    <w:t>8</w:t>
                  </w:r>
                </w:p>
              </w:tc>
              <w:tc>
                <w:tcPr>
                  <w:tcW w:w="782" w:type="pct"/>
                  <w:vMerge w:val="restart"/>
                  <w:vAlign w:val="center"/>
                </w:tcPr>
                <w:p w14:paraId="56621287">
                  <w:pPr>
                    <w:contextualSpacing/>
                    <w:jc w:val="center"/>
                  </w:pPr>
                  <w:r>
                    <w:t>焊接</w:t>
                  </w:r>
                </w:p>
              </w:tc>
              <w:tc>
                <w:tcPr>
                  <w:tcW w:w="695" w:type="pct"/>
                  <w:vMerge w:val="restart"/>
                  <w:vAlign w:val="center"/>
                </w:tcPr>
                <w:p w14:paraId="59B3ADE2">
                  <w:pPr>
                    <w:contextualSpacing/>
                    <w:jc w:val="center"/>
                  </w:pPr>
                  <w:r>
                    <w:t>弧焊</w:t>
                  </w:r>
                </w:p>
              </w:tc>
              <w:tc>
                <w:tcPr>
                  <w:tcW w:w="1073" w:type="pct"/>
                  <w:vAlign w:val="center"/>
                </w:tcPr>
                <w:p w14:paraId="690B9F55">
                  <w:pPr>
                    <w:contextualSpacing/>
                    <w:jc w:val="center"/>
                    <w:rPr>
                      <w:rFonts w:ascii="宋体" w:hAnsi="宋体"/>
                    </w:rPr>
                  </w:pPr>
                  <w:bookmarkStart w:id="125" w:name="OLE_LINK162"/>
                  <w:bookmarkStart w:id="126" w:name="OLE_LINK163"/>
                  <w:r>
                    <w:t>松下氩弧焊</w:t>
                  </w:r>
                  <w:bookmarkEnd w:id="125"/>
                  <w:bookmarkEnd w:id="126"/>
                </w:p>
              </w:tc>
              <w:tc>
                <w:tcPr>
                  <w:tcW w:w="449" w:type="pct"/>
                  <w:vAlign w:val="center"/>
                </w:tcPr>
                <w:p w14:paraId="7C4657CD">
                  <w:pPr>
                    <w:jc w:val="center"/>
                  </w:pPr>
                  <w:r>
                    <w:rPr>
                      <w:kern w:val="0"/>
                      <w:szCs w:val="21"/>
                    </w:rPr>
                    <w:t>台</w:t>
                  </w:r>
                </w:p>
              </w:tc>
              <w:tc>
                <w:tcPr>
                  <w:tcW w:w="392" w:type="pct"/>
                  <w:vAlign w:val="center"/>
                </w:tcPr>
                <w:p w14:paraId="2B1A2A7E">
                  <w:pPr>
                    <w:jc w:val="center"/>
                    <w:rPr>
                      <w:szCs w:val="21"/>
                    </w:rPr>
                  </w:pPr>
                  <w:r>
                    <w:rPr>
                      <w:szCs w:val="21"/>
                    </w:rPr>
                    <w:t>40</w:t>
                  </w:r>
                </w:p>
              </w:tc>
              <w:tc>
                <w:tcPr>
                  <w:tcW w:w="606" w:type="pct"/>
                  <w:vAlign w:val="center"/>
                </w:tcPr>
                <w:p w14:paraId="74AACAAE">
                  <w:pPr>
                    <w:jc w:val="center"/>
                  </w:pPr>
                  <w:r>
                    <w:rPr>
                      <w:bCs/>
                      <w:szCs w:val="21"/>
                    </w:rPr>
                    <w:t>/</w:t>
                  </w:r>
                </w:p>
              </w:tc>
              <w:tc>
                <w:tcPr>
                  <w:tcW w:w="741" w:type="pct"/>
                  <w:vMerge w:val="continue"/>
                  <w:vAlign w:val="center"/>
                </w:tcPr>
                <w:p w14:paraId="1D0937F2">
                  <w:pPr>
                    <w:jc w:val="center"/>
                    <w:rPr>
                      <w:szCs w:val="21"/>
                    </w:rPr>
                  </w:pPr>
                </w:p>
              </w:tc>
            </w:tr>
            <w:tr w14:paraId="77671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0639ECB3">
                  <w:pPr>
                    <w:jc w:val="center"/>
                    <w:rPr>
                      <w:sz w:val="20"/>
                      <w:szCs w:val="20"/>
                    </w:rPr>
                  </w:pPr>
                  <w:r>
                    <w:rPr>
                      <w:sz w:val="20"/>
                      <w:szCs w:val="20"/>
                    </w:rPr>
                    <w:t>9</w:t>
                  </w:r>
                </w:p>
              </w:tc>
              <w:tc>
                <w:tcPr>
                  <w:tcW w:w="782" w:type="pct"/>
                  <w:vMerge w:val="continue"/>
                  <w:vAlign w:val="center"/>
                </w:tcPr>
                <w:p w14:paraId="701A5FA9">
                  <w:pPr>
                    <w:contextualSpacing/>
                    <w:jc w:val="center"/>
                  </w:pPr>
                </w:p>
              </w:tc>
              <w:tc>
                <w:tcPr>
                  <w:tcW w:w="695" w:type="pct"/>
                  <w:vMerge w:val="continue"/>
                  <w:vAlign w:val="center"/>
                </w:tcPr>
                <w:p w14:paraId="0F63B07C">
                  <w:pPr>
                    <w:contextualSpacing/>
                    <w:jc w:val="center"/>
                  </w:pPr>
                </w:p>
              </w:tc>
              <w:tc>
                <w:tcPr>
                  <w:tcW w:w="1073" w:type="pct"/>
                  <w:vAlign w:val="center"/>
                </w:tcPr>
                <w:p w14:paraId="71F8A2A5">
                  <w:pPr>
                    <w:contextualSpacing/>
                    <w:jc w:val="center"/>
                  </w:pPr>
                  <w:r>
                    <w:t>松下</w:t>
                  </w:r>
                  <w:bookmarkStart w:id="127" w:name="OLE_LINK124"/>
                  <w:bookmarkStart w:id="128" w:name="OLE_LINK123"/>
                  <w:r>
                    <w:t>气保</w:t>
                  </w:r>
                  <w:bookmarkEnd w:id="127"/>
                  <w:bookmarkEnd w:id="128"/>
                  <w:r>
                    <w:t>焊</w:t>
                  </w:r>
                </w:p>
              </w:tc>
              <w:tc>
                <w:tcPr>
                  <w:tcW w:w="449" w:type="pct"/>
                  <w:vAlign w:val="center"/>
                </w:tcPr>
                <w:p w14:paraId="3031DE84">
                  <w:pPr>
                    <w:jc w:val="center"/>
                  </w:pPr>
                  <w:r>
                    <w:rPr>
                      <w:kern w:val="0"/>
                      <w:szCs w:val="21"/>
                    </w:rPr>
                    <w:t>台</w:t>
                  </w:r>
                </w:p>
              </w:tc>
              <w:tc>
                <w:tcPr>
                  <w:tcW w:w="392" w:type="pct"/>
                  <w:vAlign w:val="center"/>
                </w:tcPr>
                <w:p w14:paraId="2119AE4A">
                  <w:pPr>
                    <w:jc w:val="center"/>
                    <w:rPr>
                      <w:szCs w:val="21"/>
                    </w:rPr>
                  </w:pPr>
                  <w:r>
                    <w:rPr>
                      <w:rFonts w:hint="eastAsia"/>
                      <w:szCs w:val="21"/>
                    </w:rPr>
                    <w:t>3</w:t>
                  </w:r>
                  <w:r>
                    <w:rPr>
                      <w:szCs w:val="21"/>
                    </w:rPr>
                    <w:t>0</w:t>
                  </w:r>
                </w:p>
              </w:tc>
              <w:tc>
                <w:tcPr>
                  <w:tcW w:w="606" w:type="pct"/>
                  <w:vAlign w:val="center"/>
                </w:tcPr>
                <w:p w14:paraId="6040E977">
                  <w:pPr>
                    <w:jc w:val="center"/>
                  </w:pPr>
                  <w:r>
                    <w:rPr>
                      <w:bCs/>
                      <w:szCs w:val="21"/>
                    </w:rPr>
                    <w:t>/</w:t>
                  </w:r>
                </w:p>
              </w:tc>
              <w:tc>
                <w:tcPr>
                  <w:tcW w:w="741" w:type="pct"/>
                  <w:vMerge w:val="continue"/>
                  <w:vAlign w:val="center"/>
                </w:tcPr>
                <w:p w14:paraId="4C8C70D4">
                  <w:pPr>
                    <w:jc w:val="center"/>
                    <w:rPr>
                      <w:szCs w:val="21"/>
                    </w:rPr>
                  </w:pPr>
                </w:p>
              </w:tc>
            </w:tr>
            <w:tr w14:paraId="55757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2A28D409">
                  <w:pPr>
                    <w:jc w:val="center"/>
                    <w:rPr>
                      <w:sz w:val="20"/>
                      <w:szCs w:val="20"/>
                    </w:rPr>
                  </w:pPr>
                  <w:r>
                    <w:rPr>
                      <w:sz w:val="20"/>
                      <w:szCs w:val="20"/>
                    </w:rPr>
                    <w:t>10</w:t>
                  </w:r>
                </w:p>
              </w:tc>
              <w:tc>
                <w:tcPr>
                  <w:tcW w:w="782" w:type="pct"/>
                  <w:vMerge w:val="continue"/>
                  <w:vAlign w:val="center"/>
                </w:tcPr>
                <w:p w14:paraId="779D11CB">
                  <w:pPr>
                    <w:contextualSpacing/>
                    <w:jc w:val="center"/>
                  </w:pPr>
                </w:p>
              </w:tc>
              <w:tc>
                <w:tcPr>
                  <w:tcW w:w="695" w:type="pct"/>
                  <w:vMerge w:val="continue"/>
                  <w:vAlign w:val="center"/>
                </w:tcPr>
                <w:p w14:paraId="06BD1A22">
                  <w:pPr>
                    <w:contextualSpacing/>
                    <w:jc w:val="center"/>
                  </w:pPr>
                </w:p>
              </w:tc>
              <w:tc>
                <w:tcPr>
                  <w:tcW w:w="1073" w:type="pct"/>
                  <w:vAlign w:val="center"/>
                </w:tcPr>
                <w:p w14:paraId="2DFCA061">
                  <w:pPr>
                    <w:contextualSpacing/>
                    <w:jc w:val="center"/>
                  </w:pPr>
                  <w:r>
                    <w:t>埋弧自动焊</w:t>
                  </w:r>
                </w:p>
              </w:tc>
              <w:tc>
                <w:tcPr>
                  <w:tcW w:w="449" w:type="pct"/>
                  <w:vAlign w:val="center"/>
                </w:tcPr>
                <w:p w14:paraId="1D0C67C8">
                  <w:pPr>
                    <w:jc w:val="center"/>
                  </w:pPr>
                  <w:r>
                    <w:rPr>
                      <w:kern w:val="0"/>
                      <w:szCs w:val="21"/>
                    </w:rPr>
                    <w:t>台</w:t>
                  </w:r>
                </w:p>
              </w:tc>
              <w:tc>
                <w:tcPr>
                  <w:tcW w:w="392" w:type="pct"/>
                  <w:vAlign w:val="center"/>
                </w:tcPr>
                <w:p w14:paraId="64C0611D">
                  <w:pPr>
                    <w:jc w:val="center"/>
                    <w:rPr>
                      <w:szCs w:val="21"/>
                    </w:rPr>
                  </w:pPr>
                  <w:r>
                    <w:rPr>
                      <w:rFonts w:hint="eastAsia"/>
                      <w:szCs w:val="21"/>
                    </w:rPr>
                    <w:t>2</w:t>
                  </w:r>
                </w:p>
              </w:tc>
              <w:tc>
                <w:tcPr>
                  <w:tcW w:w="606" w:type="pct"/>
                  <w:vAlign w:val="center"/>
                </w:tcPr>
                <w:p w14:paraId="25400F34">
                  <w:pPr>
                    <w:jc w:val="center"/>
                  </w:pPr>
                </w:p>
              </w:tc>
              <w:tc>
                <w:tcPr>
                  <w:tcW w:w="741" w:type="pct"/>
                  <w:vMerge w:val="continue"/>
                  <w:vAlign w:val="center"/>
                </w:tcPr>
                <w:p w14:paraId="1755D619">
                  <w:pPr>
                    <w:jc w:val="center"/>
                    <w:rPr>
                      <w:szCs w:val="21"/>
                    </w:rPr>
                  </w:pPr>
                </w:p>
              </w:tc>
            </w:tr>
            <w:tr w14:paraId="5BFFC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0D9CC50F">
                  <w:pPr>
                    <w:jc w:val="center"/>
                    <w:rPr>
                      <w:sz w:val="20"/>
                      <w:szCs w:val="20"/>
                    </w:rPr>
                  </w:pPr>
                  <w:r>
                    <w:rPr>
                      <w:sz w:val="20"/>
                      <w:szCs w:val="20"/>
                    </w:rPr>
                    <w:t>11</w:t>
                  </w:r>
                </w:p>
              </w:tc>
              <w:tc>
                <w:tcPr>
                  <w:tcW w:w="782" w:type="pct"/>
                  <w:vMerge w:val="continue"/>
                  <w:vAlign w:val="center"/>
                </w:tcPr>
                <w:p w14:paraId="7C2E2C7B">
                  <w:pPr>
                    <w:contextualSpacing/>
                    <w:jc w:val="center"/>
                  </w:pPr>
                </w:p>
              </w:tc>
              <w:tc>
                <w:tcPr>
                  <w:tcW w:w="695" w:type="pct"/>
                  <w:vMerge w:val="continue"/>
                  <w:vAlign w:val="center"/>
                </w:tcPr>
                <w:p w14:paraId="737F9014">
                  <w:pPr>
                    <w:contextualSpacing/>
                    <w:jc w:val="center"/>
                  </w:pPr>
                </w:p>
              </w:tc>
              <w:tc>
                <w:tcPr>
                  <w:tcW w:w="1073" w:type="pct"/>
                  <w:vAlign w:val="center"/>
                </w:tcPr>
                <w:p w14:paraId="4439A8CF">
                  <w:pPr>
                    <w:contextualSpacing/>
                    <w:jc w:val="center"/>
                  </w:pPr>
                  <w:r>
                    <w:t>管板自动焊</w:t>
                  </w:r>
                </w:p>
              </w:tc>
              <w:tc>
                <w:tcPr>
                  <w:tcW w:w="449" w:type="pct"/>
                  <w:vAlign w:val="center"/>
                </w:tcPr>
                <w:p w14:paraId="6DE9520E">
                  <w:pPr>
                    <w:contextualSpacing/>
                    <w:jc w:val="center"/>
                    <w:rPr>
                      <w:kern w:val="0"/>
                      <w:szCs w:val="21"/>
                    </w:rPr>
                  </w:pPr>
                  <w:r>
                    <w:rPr>
                      <w:kern w:val="0"/>
                      <w:szCs w:val="21"/>
                    </w:rPr>
                    <w:t>套</w:t>
                  </w:r>
                </w:p>
              </w:tc>
              <w:tc>
                <w:tcPr>
                  <w:tcW w:w="392" w:type="pct"/>
                  <w:vAlign w:val="center"/>
                </w:tcPr>
                <w:p w14:paraId="0D8CA215">
                  <w:pPr>
                    <w:jc w:val="center"/>
                    <w:rPr>
                      <w:szCs w:val="21"/>
                    </w:rPr>
                  </w:pPr>
                  <w:r>
                    <w:rPr>
                      <w:rFonts w:hint="eastAsia"/>
                      <w:szCs w:val="21"/>
                    </w:rPr>
                    <w:t>2</w:t>
                  </w:r>
                </w:p>
              </w:tc>
              <w:tc>
                <w:tcPr>
                  <w:tcW w:w="606" w:type="pct"/>
                  <w:vAlign w:val="center"/>
                </w:tcPr>
                <w:p w14:paraId="38841374">
                  <w:pPr>
                    <w:jc w:val="center"/>
                  </w:pPr>
                </w:p>
              </w:tc>
              <w:tc>
                <w:tcPr>
                  <w:tcW w:w="741" w:type="pct"/>
                  <w:vMerge w:val="continue"/>
                  <w:vAlign w:val="center"/>
                </w:tcPr>
                <w:p w14:paraId="04C12C29">
                  <w:pPr>
                    <w:jc w:val="center"/>
                    <w:rPr>
                      <w:szCs w:val="21"/>
                    </w:rPr>
                  </w:pPr>
                </w:p>
              </w:tc>
            </w:tr>
            <w:tr w14:paraId="60E25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E3E3676">
                  <w:pPr>
                    <w:jc w:val="center"/>
                    <w:rPr>
                      <w:sz w:val="20"/>
                      <w:szCs w:val="20"/>
                    </w:rPr>
                  </w:pPr>
                  <w:r>
                    <w:rPr>
                      <w:sz w:val="20"/>
                      <w:szCs w:val="20"/>
                    </w:rPr>
                    <w:t>12</w:t>
                  </w:r>
                </w:p>
              </w:tc>
              <w:tc>
                <w:tcPr>
                  <w:tcW w:w="782" w:type="pct"/>
                  <w:vMerge w:val="continue"/>
                  <w:vAlign w:val="center"/>
                </w:tcPr>
                <w:p w14:paraId="68C4FB7B">
                  <w:pPr>
                    <w:contextualSpacing/>
                    <w:jc w:val="center"/>
                  </w:pPr>
                </w:p>
              </w:tc>
              <w:tc>
                <w:tcPr>
                  <w:tcW w:w="695" w:type="pct"/>
                  <w:vMerge w:val="continue"/>
                  <w:vAlign w:val="center"/>
                </w:tcPr>
                <w:p w14:paraId="3F9CE818">
                  <w:pPr>
                    <w:contextualSpacing/>
                    <w:jc w:val="center"/>
                  </w:pPr>
                </w:p>
              </w:tc>
              <w:tc>
                <w:tcPr>
                  <w:tcW w:w="1073" w:type="pct"/>
                  <w:vAlign w:val="center"/>
                </w:tcPr>
                <w:p w14:paraId="7E0E7A93">
                  <w:pPr>
                    <w:contextualSpacing/>
                    <w:jc w:val="center"/>
                  </w:pPr>
                  <w:r>
                    <w:t>氩弧自动焊</w:t>
                  </w:r>
                </w:p>
              </w:tc>
              <w:tc>
                <w:tcPr>
                  <w:tcW w:w="449" w:type="pct"/>
                  <w:vAlign w:val="center"/>
                </w:tcPr>
                <w:p w14:paraId="24F6BD8F">
                  <w:pPr>
                    <w:jc w:val="center"/>
                  </w:pPr>
                  <w:r>
                    <w:rPr>
                      <w:kern w:val="0"/>
                      <w:szCs w:val="21"/>
                    </w:rPr>
                    <w:t>台</w:t>
                  </w:r>
                </w:p>
              </w:tc>
              <w:tc>
                <w:tcPr>
                  <w:tcW w:w="392" w:type="pct"/>
                  <w:vAlign w:val="center"/>
                </w:tcPr>
                <w:p w14:paraId="653A7FC6">
                  <w:pPr>
                    <w:jc w:val="center"/>
                    <w:rPr>
                      <w:szCs w:val="21"/>
                    </w:rPr>
                  </w:pPr>
                  <w:r>
                    <w:rPr>
                      <w:rFonts w:hint="eastAsia"/>
                      <w:szCs w:val="21"/>
                    </w:rPr>
                    <w:t>2</w:t>
                  </w:r>
                </w:p>
              </w:tc>
              <w:tc>
                <w:tcPr>
                  <w:tcW w:w="606" w:type="pct"/>
                  <w:vAlign w:val="center"/>
                </w:tcPr>
                <w:p w14:paraId="4464948E">
                  <w:pPr>
                    <w:jc w:val="center"/>
                  </w:pPr>
                  <w:r>
                    <w:rPr>
                      <w:bCs/>
                      <w:szCs w:val="21"/>
                    </w:rPr>
                    <w:t>/</w:t>
                  </w:r>
                </w:p>
              </w:tc>
              <w:tc>
                <w:tcPr>
                  <w:tcW w:w="741" w:type="pct"/>
                  <w:vMerge w:val="continue"/>
                  <w:vAlign w:val="center"/>
                </w:tcPr>
                <w:p w14:paraId="4A58FE73">
                  <w:pPr>
                    <w:jc w:val="center"/>
                    <w:rPr>
                      <w:szCs w:val="21"/>
                    </w:rPr>
                  </w:pPr>
                </w:p>
              </w:tc>
            </w:tr>
            <w:tr w14:paraId="125D1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64194EAE">
                  <w:pPr>
                    <w:jc w:val="center"/>
                    <w:rPr>
                      <w:sz w:val="20"/>
                      <w:szCs w:val="20"/>
                    </w:rPr>
                  </w:pPr>
                  <w:r>
                    <w:rPr>
                      <w:sz w:val="20"/>
                      <w:szCs w:val="20"/>
                    </w:rPr>
                    <w:t>13</w:t>
                  </w:r>
                </w:p>
              </w:tc>
              <w:tc>
                <w:tcPr>
                  <w:tcW w:w="782" w:type="pct"/>
                  <w:vMerge w:val="continue"/>
                  <w:vAlign w:val="center"/>
                </w:tcPr>
                <w:p w14:paraId="54302059">
                  <w:pPr>
                    <w:contextualSpacing/>
                    <w:jc w:val="center"/>
                  </w:pPr>
                </w:p>
              </w:tc>
              <w:tc>
                <w:tcPr>
                  <w:tcW w:w="695" w:type="pct"/>
                  <w:vMerge w:val="restart"/>
                  <w:vAlign w:val="center"/>
                </w:tcPr>
                <w:p w14:paraId="4AD7C688">
                  <w:pPr>
                    <w:contextualSpacing/>
                    <w:jc w:val="center"/>
                  </w:pPr>
                  <w:r>
                    <w:t>激光焊</w:t>
                  </w:r>
                </w:p>
              </w:tc>
              <w:tc>
                <w:tcPr>
                  <w:tcW w:w="1073" w:type="pct"/>
                  <w:vAlign w:val="center"/>
                </w:tcPr>
                <w:p w14:paraId="72FC35D4">
                  <w:pPr>
                    <w:contextualSpacing/>
                    <w:jc w:val="center"/>
                  </w:pPr>
                  <w:r>
                    <w:t>等离子自动焊</w:t>
                  </w:r>
                </w:p>
              </w:tc>
              <w:tc>
                <w:tcPr>
                  <w:tcW w:w="449" w:type="pct"/>
                  <w:vAlign w:val="center"/>
                </w:tcPr>
                <w:p w14:paraId="4BAC09BD">
                  <w:pPr>
                    <w:contextualSpacing/>
                    <w:jc w:val="center"/>
                    <w:rPr>
                      <w:kern w:val="0"/>
                      <w:szCs w:val="21"/>
                    </w:rPr>
                  </w:pPr>
                  <w:r>
                    <w:rPr>
                      <w:kern w:val="0"/>
                      <w:szCs w:val="21"/>
                    </w:rPr>
                    <w:t>套</w:t>
                  </w:r>
                </w:p>
              </w:tc>
              <w:tc>
                <w:tcPr>
                  <w:tcW w:w="392" w:type="pct"/>
                  <w:vAlign w:val="center"/>
                </w:tcPr>
                <w:p w14:paraId="397E9EB4">
                  <w:pPr>
                    <w:jc w:val="center"/>
                    <w:rPr>
                      <w:szCs w:val="21"/>
                    </w:rPr>
                  </w:pPr>
                  <w:r>
                    <w:rPr>
                      <w:rFonts w:hint="eastAsia"/>
                      <w:szCs w:val="21"/>
                    </w:rPr>
                    <w:t>4</w:t>
                  </w:r>
                </w:p>
              </w:tc>
              <w:tc>
                <w:tcPr>
                  <w:tcW w:w="606" w:type="pct"/>
                  <w:vAlign w:val="center"/>
                </w:tcPr>
                <w:p w14:paraId="1282BD75">
                  <w:pPr>
                    <w:jc w:val="center"/>
                  </w:pPr>
                  <w:r>
                    <w:rPr>
                      <w:bCs/>
                      <w:szCs w:val="21"/>
                    </w:rPr>
                    <w:t>/</w:t>
                  </w:r>
                </w:p>
              </w:tc>
              <w:tc>
                <w:tcPr>
                  <w:tcW w:w="741" w:type="pct"/>
                  <w:vMerge w:val="continue"/>
                  <w:vAlign w:val="center"/>
                </w:tcPr>
                <w:p w14:paraId="0904302E">
                  <w:pPr>
                    <w:jc w:val="center"/>
                    <w:rPr>
                      <w:szCs w:val="21"/>
                    </w:rPr>
                  </w:pPr>
                </w:p>
              </w:tc>
            </w:tr>
            <w:tr w14:paraId="419E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0AE05989">
                  <w:pPr>
                    <w:jc w:val="center"/>
                    <w:rPr>
                      <w:sz w:val="20"/>
                      <w:szCs w:val="20"/>
                    </w:rPr>
                  </w:pPr>
                  <w:r>
                    <w:rPr>
                      <w:rFonts w:hint="eastAsia"/>
                      <w:sz w:val="20"/>
                      <w:szCs w:val="20"/>
                    </w:rPr>
                    <w:t>1</w:t>
                  </w:r>
                  <w:r>
                    <w:rPr>
                      <w:sz w:val="20"/>
                      <w:szCs w:val="20"/>
                    </w:rPr>
                    <w:t>4</w:t>
                  </w:r>
                </w:p>
              </w:tc>
              <w:tc>
                <w:tcPr>
                  <w:tcW w:w="782" w:type="pct"/>
                  <w:vMerge w:val="continue"/>
                  <w:vAlign w:val="center"/>
                </w:tcPr>
                <w:p w14:paraId="4D1F2999">
                  <w:pPr>
                    <w:contextualSpacing/>
                    <w:jc w:val="center"/>
                  </w:pPr>
                </w:p>
              </w:tc>
              <w:tc>
                <w:tcPr>
                  <w:tcW w:w="695" w:type="pct"/>
                  <w:vMerge w:val="continue"/>
                  <w:vAlign w:val="center"/>
                </w:tcPr>
                <w:p w14:paraId="6424EF67">
                  <w:pPr>
                    <w:contextualSpacing/>
                    <w:jc w:val="center"/>
                  </w:pPr>
                </w:p>
              </w:tc>
              <w:tc>
                <w:tcPr>
                  <w:tcW w:w="1073" w:type="pct"/>
                  <w:vAlign w:val="center"/>
                </w:tcPr>
                <w:p w14:paraId="54C16720">
                  <w:pPr>
                    <w:contextualSpacing/>
                    <w:jc w:val="center"/>
                  </w:pPr>
                  <w:r>
                    <w:t>激光自动焊</w:t>
                  </w:r>
                </w:p>
              </w:tc>
              <w:tc>
                <w:tcPr>
                  <w:tcW w:w="449" w:type="pct"/>
                  <w:vAlign w:val="center"/>
                </w:tcPr>
                <w:p w14:paraId="040F2745">
                  <w:pPr>
                    <w:jc w:val="center"/>
                  </w:pPr>
                  <w:r>
                    <w:rPr>
                      <w:kern w:val="0"/>
                      <w:szCs w:val="21"/>
                    </w:rPr>
                    <w:t>台</w:t>
                  </w:r>
                </w:p>
              </w:tc>
              <w:tc>
                <w:tcPr>
                  <w:tcW w:w="392" w:type="pct"/>
                  <w:vAlign w:val="center"/>
                </w:tcPr>
                <w:p w14:paraId="51A7EE7B">
                  <w:pPr>
                    <w:jc w:val="center"/>
                    <w:rPr>
                      <w:szCs w:val="21"/>
                    </w:rPr>
                  </w:pPr>
                  <w:r>
                    <w:rPr>
                      <w:rFonts w:hint="eastAsia"/>
                      <w:szCs w:val="21"/>
                    </w:rPr>
                    <w:t>3</w:t>
                  </w:r>
                </w:p>
              </w:tc>
              <w:tc>
                <w:tcPr>
                  <w:tcW w:w="606" w:type="pct"/>
                  <w:vAlign w:val="center"/>
                </w:tcPr>
                <w:p w14:paraId="3436B852">
                  <w:pPr>
                    <w:jc w:val="center"/>
                  </w:pPr>
                  <w:r>
                    <w:rPr>
                      <w:bCs/>
                      <w:szCs w:val="21"/>
                    </w:rPr>
                    <w:t>/</w:t>
                  </w:r>
                </w:p>
              </w:tc>
              <w:tc>
                <w:tcPr>
                  <w:tcW w:w="741" w:type="pct"/>
                  <w:vMerge w:val="continue"/>
                  <w:vAlign w:val="center"/>
                </w:tcPr>
                <w:p w14:paraId="23F759C4">
                  <w:pPr>
                    <w:jc w:val="center"/>
                    <w:rPr>
                      <w:szCs w:val="21"/>
                    </w:rPr>
                  </w:pPr>
                </w:p>
              </w:tc>
            </w:tr>
            <w:tr w14:paraId="18661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A089F1B">
                  <w:pPr>
                    <w:jc w:val="center"/>
                    <w:rPr>
                      <w:sz w:val="20"/>
                      <w:szCs w:val="20"/>
                    </w:rPr>
                  </w:pPr>
                  <w:r>
                    <w:rPr>
                      <w:sz w:val="20"/>
                      <w:szCs w:val="20"/>
                    </w:rPr>
                    <w:t>15</w:t>
                  </w:r>
                </w:p>
              </w:tc>
              <w:tc>
                <w:tcPr>
                  <w:tcW w:w="782" w:type="pct"/>
                  <w:vMerge w:val="continue"/>
                  <w:vAlign w:val="center"/>
                </w:tcPr>
                <w:p w14:paraId="09855973">
                  <w:pPr>
                    <w:contextualSpacing/>
                    <w:jc w:val="center"/>
                  </w:pPr>
                </w:p>
              </w:tc>
              <w:tc>
                <w:tcPr>
                  <w:tcW w:w="695" w:type="pct"/>
                  <w:vMerge w:val="continue"/>
                  <w:vAlign w:val="center"/>
                </w:tcPr>
                <w:p w14:paraId="1F494E22">
                  <w:pPr>
                    <w:contextualSpacing/>
                    <w:jc w:val="center"/>
                  </w:pPr>
                </w:p>
              </w:tc>
              <w:tc>
                <w:tcPr>
                  <w:tcW w:w="1073" w:type="pct"/>
                  <w:vAlign w:val="center"/>
                </w:tcPr>
                <w:p w14:paraId="76441D3D">
                  <w:pPr>
                    <w:contextualSpacing/>
                    <w:jc w:val="center"/>
                  </w:pPr>
                  <w:bookmarkStart w:id="129" w:name="OLE_LINK114"/>
                  <w:bookmarkStart w:id="130" w:name="OLE_LINK115"/>
                  <w:r>
                    <w:t>手动激光焊</w:t>
                  </w:r>
                  <w:bookmarkEnd w:id="129"/>
                  <w:bookmarkEnd w:id="130"/>
                </w:p>
              </w:tc>
              <w:tc>
                <w:tcPr>
                  <w:tcW w:w="449" w:type="pct"/>
                  <w:vAlign w:val="center"/>
                </w:tcPr>
                <w:p w14:paraId="7F1D87C6">
                  <w:pPr>
                    <w:jc w:val="center"/>
                  </w:pPr>
                  <w:r>
                    <w:rPr>
                      <w:kern w:val="0"/>
                      <w:szCs w:val="21"/>
                    </w:rPr>
                    <w:t>台</w:t>
                  </w:r>
                </w:p>
              </w:tc>
              <w:tc>
                <w:tcPr>
                  <w:tcW w:w="392" w:type="pct"/>
                  <w:vAlign w:val="center"/>
                </w:tcPr>
                <w:p w14:paraId="2C8FD422">
                  <w:pPr>
                    <w:jc w:val="center"/>
                    <w:rPr>
                      <w:szCs w:val="21"/>
                    </w:rPr>
                  </w:pPr>
                  <w:r>
                    <w:rPr>
                      <w:rFonts w:hint="eastAsia"/>
                      <w:szCs w:val="21"/>
                    </w:rPr>
                    <w:t>6</w:t>
                  </w:r>
                </w:p>
              </w:tc>
              <w:tc>
                <w:tcPr>
                  <w:tcW w:w="606" w:type="pct"/>
                  <w:vAlign w:val="center"/>
                </w:tcPr>
                <w:p w14:paraId="4C73E9D8">
                  <w:pPr>
                    <w:jc w:val="center"/>
                  </w:pPr>
                  <w:r>
                    <w:rPr>
                      <w:bCs/>
                      <w:szCs w:val="21"/>
                    </w:rPr>
                    <w:t>/</w:t>
                  </w:r>
                </w:p>
              </w:tc>
              <w:tc>
                <w:tcPr>
                  <w:tcW w:w="741" w:type="pct"/>
                  <w:vMerge w:val="continue"/>
                  <w:vAlign w:val="center"/>
                </w:tcPr>
                <w:p w14:paraId="0A082DB4">
                  <w:pPr>
                    <w:jc w:val="center"/>
                    <w:rPr>
                      <w:szCs w:val="21"/>
                    </w:rPr>
                  </w:pPr>
                </w:p>
              </w:tc>
            </w:tr>
            <w:tr w14:paraId="3F99C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7F2246D">
                  <w:pPr>
                    <w:jc w:val="center"/>
                    <w:rPr>
                      <w:sz w:val="20"/>
                      <w:szCs w:val="20"/>
                    </w:rPr>
                  </w:pPr>
                  <w:bookmarkStart w:id="131" w:name="_Hlk191042348"/>
                  <w:r>
                    <w:rPr>
                      <w:rFonts w:hint="eastAsia"/>
                      <w:sz w:val="20"/>
                      <w:szCs w:val="20"/>
                    </w:rPr>
                    <w:t>1</w:t>
                  </w:r>
                  <w:r>
                    <w:rPr>
                      <w:sz w:val="20"/>
                      <w:szCs w:val="20"/>
                    </w:rPr>
                    <w:t>6</w:t>
                  </w:r>
                </w:p>
              </w:tc>
              <w:tc>
                <w:tcPr>
                  <w:tcW w:w="782" w:type="pct"/>
                  <w:vAlign w:val="center"/>
                </w:tcPr>
                <w:p w14:paraId="4E89DF56">
                  <w:pPr>
                    <w:contextualSpacing/>
                    <w:jc w:val="center"/>
                  </w:pPr>
                  <w:r>
                    <w:rPr>
                      <w:rFonts w:hint="eastAsia"/>
                    </w:rPr>
                    <w:t>预处理</w:t>
                  </w:r>
                </w:p>
              </w:tc>
              <w:tc>
                <w:tcPr>
                  <w:tcW w:w="695" w:type="pct"/>
                  <w:vAlign w:val="center"/>
                </w:tcPr>
                <w:p w14:paraId="46121884">
                  <w:pPr>
                    <w:contextualSpacing/>
                    <w:jc w:val="center"/>
                  </w:pPr>
                  <w:r>
                    <w:t>抛光</w:t>
                  </w:r>
                </w:p>
              </w:tc>
              <w:tc>
                <w:tcPr>
                  <w:tcW w:w="1073" w:type="pct"/>
                  <w:vAlign w:val="center"/>
                </w:tcPr>
                <w:p w14:paraId="26B7A9D7">
                  <w:pPr>
                    <w:contextualSpacing/>
                    <w:jc w:val="center"/>
                  </w:pPr>
                  <w:r>
                    <w:t>全自动抛光设备</w:t>
                  </w:r>
                </w:p>
              </w:tc>
              <w:tc>
                <w:tcPr>
                  <w:tcW w:w="449" w:type="pct"/>
                  <w:vAlign w:val="center"/>
                </w:tcPr>
                <w:p w14:paraId="4C207389">
                  <w:pPr>
                    <w:contextualSpacing/>
                    <w:jc w:val="center"/>
                    <w:rPr>
                      <w:kern w:val="0"/>
                      <w:szCs w:val="21"/>
                    </w:rPr>
                  </w:pPr>
                  <w:r>
                    <w:rPr>
                      <w:kern w:val="0"/>
                      <w:szCs w:val="21"/>
                    </w:rPr>
                    <w:t>套</w:t>
                  </w:r>
                </w:p>
              </w:tc>
              <w:tc>
                <w:tcPr>
                  <w:tcW w:w="392" w:type="pct"/>
                  <w:vAlign w:val="center"/>
                </w:tcPr>
                <w:p w14:paraId="52C374A4">
                  <w:pPr>
                    <w:jc w:val="center"/>
                    <w:rPr>
                      <w:szCs w:val="21"/>
                    </w:rPr>
                  </w:pPr>
                  <w:r>
                    <w:rPr>
                      <w:rFonts w:hint="eastAsia"/>
                      <w:szCs w:val="21"/>
                    </w:rPr>
                    <w:t>2</w:t>
                  </w:r>
                </w:p>
              </w:tc>
              <w:tc>
                <w:tcPr>
                  <w:tcW w:w="606" w:type="pct"/>
                  <w:vAlign w:val="center"/>
                </w:tcPr>
                <w:p w14:paraId="3BF73DB5">
                  <w:pPr>
                    <w:jc w:val="center"/>
                  </w:pPr>
                  <w:r>
                    <w:rPr>
                      <w:bCs/>
                      <w:szCs w:val="21"/>
                    </w:rPr>
                    <w:t>/</w:t>
                  </w:r>
                </w:p>
              </w:tc>
              <w:tc>
                <w:tcPr>
                  <w:tcW w:w="741" w:type="pct"/>
                  <w:vMerge w:val="continue"/>
                  <w:vAlign w:val="center"/>
                </w:tcPr>
                <w:p w14:paraId="03BB0FB4">
                  <w:pPr>
                    <w:jc w:val="center"/>
                    <w:rPr>
                      <w:szCs w:val="21"/>
                    </w:rPr>
                  </w:pPr>
                </w:p>
              </w:tc>
            </w:tr>
            <w:bookmarkEnd w:id="131"/>
            <w:tr w14:paraId="13D51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02AD0D32">
                  <w:pPr>
                    <w:jc w:val="center"/>
                    <w:rPr>
                      <w:sz w:val="20"/>
                      <w:szCs w:val="20"/>
                    </w:rPr>
                  </w:pPr>
                  <w:r>
                    <w:rPr>
                      <w:sz w:val="20"/>
                      <w:szCs w:val="20"/>
                    </w:rPr>
                    <w:t>17</w:t>
                  </w:r>
                </w:p>
              </w:tc>
              <w:tc>
                <w:tcPr>
                  <w:tcW w:w="782" w:type="pct"/>
                  <w:vMerge w:val="restart"/>
                  <w:vAlign w:val="center"/>
                </w:tcPr>
                <w:p w14:paraId="65EA301D">
                  <w:pPr>
                    <w:contextualSpacing/>
                    <w:jc w:val="center"/>
                  </w:pPr>
                  <w:r>
                    <w:t>机加工</w:t>
                  </w:r>
                </w:p>
              </w:tc>
              <w:tc>
                <w:tcPr>
                  <w:tcW w:w="695" w:type="pct"/>
                  <w:vMerge w:val="restart"/>
                  <w:vAlign w:val="center"/>
                </w:tcPr>
                <w:p w14:paraId="6C00D0B3">
                  <w:pPr>
                    <w:contextualSpacing/>
                    <w:jc w:val="center"/>
                  </w:pPr>
                  <w:r>
                    <w:t>机加工</w:t>
                  </w:r>
                </w:p>
              </w:tc>
              <w:tc>
                <w:tcPr>
                  <w:tcW w:w="1073" w:type="pct"/>
                  <w:vAlign w:val="center"/>
                </w:tcPr>
                <w:p w14:paraId="56C2BF28">
                  <w:pPr>
                    <w:contextualSpacing/>
                    <w:jc w:val="center"/>
                  </w:pPr>
                  <w:r>
                    <w:t>大型车床</w:t>
                  </w:r>
                </w:p>
              </w:tc>
              <w:tc>
                <w:tcPr>
                  <w:tcW w:w="449" w:type="pct"/>
                  <w:vAlign w:val="center"/>
                </w:tcPr>
                <w:p w14:paraId="1EDECF8B">
                  <w:pPr>
                    <w:jc w:val="center"/>
                  </w:pPr>
                  <w:r>
                    <w:rPr>
                      <w:kern w:val="0"/>
                      <w:szCs w:val="21"/>
                    </w:rPr>
                    <w:t>台</w:t>
                  </w:r>
                </w:p>
              </w:tc>
              <w:tc>
                <w:tcPr>
                  <w:tcW w:w="392" w:type="pct"/>
                  <w:vAlign w:val="center"/>
                </w:tcPr>
                <w:p w14:paraId="3B99F008">
                  <w:pPr>
                    <w:jc w:val="center"/>
                    <w:rPr>
                      <w:szCs w:val="21"/>
                    </w:rPr>
                  </w:pPr>
                  <w:r>
                    <w:rPr>
                      <w:rFonts w:hint="eastAsia"/>
                      <w:szCs w:val="21"/>
                    </w:rPr>
                    <w:t>2</w:t>
                  </w:r>
                </w:p>
              </w:tc>
              <w:tc>
                <w:tcPr>
                  <w:tcW w:w="606" w:type="pct"/>
                  <w:vAlign w:val="center"/>
                </w:tcPr>
                <w:p w14:paraId="0965C091">
                  <w:pPr>
                    <w:jc w:val="center"/>
                  </w:pPr>
                  <w:r>
                    <w:rPr>
                      <w:bCs/>
                      <w:szCs w:val="21"/>
                    </w:rPr>
                    <w:t>/</w:t>
                  </w:r>
                </w:p>
              </w:tc>
              <w:tc>
                <w:tcPr>
                  <w:tcW w:w="741" w:type="pct"/>
                  <w:vMerge w:val="continue"/>
                  <w:vAlign w:val="center"/>
                </w:tcPr>
                <w:p w14:paraId="5A62DC5B">
                  <w:pPr>
                    <w:jc w:val="center"/>
                    <w:rPr>
                      <w:szCs w:val="21"/>
                    </w:rPr>
                  </w:pPr>
                </w:p>
              </w:tc>
            </w:tr>
            <w:tr w14:paraId="08AC7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667C09D4">
                  <w:pPr>
                    <w:jc w:val="center"/>
                    <w:rPr>
                      <w:sz w:val="20"/>
                      <w:szCs w:val="20"/>
                    </w:rPr>
                  </w:pPr>
                  <w:r>
                    <w:rPr>
                      <w:sz w:val="20"/>
                      <w:szCs w:val="20"/>
                    </w:rPr>
                    <w:t>18</w:t>
                  </w:r>
                </w:p>
              </w:tc>
              <w:tc>
                <w:tcPr>
                  <w:tcW w:w="782" w:type="pct"/>
                  <w:vMerge w:val="continue"/>
                  <w:vAlign w:val="center"/>
                </w:tcPr>
                <w:p w14:paraId="6F496BFF">
                  <w:pPr>
                    <w:contextualSpacing/>
                    <w:jc w:val="center"/>
                  </w:pPr>
                </w:p>
              </w:tc>
              <w:tc>
                <w:tcPr>
                  <w:tcW w:w="695" w:type="pct"/>
                  <w:vMerge w:val="continue"/>
                  <w:vAlign w:val="center"/>
                </w:tcPr>
                <w:p w14:paraId="76264931">
                  <w:pPr>
                    <w:contextualSpacing/>
                    <w:jc w:val="center"/>
                  </w:pPr>
                </w:p>
              </w:tc>
              <w:tc>
                <w:tcPr>
                  <w:tcW w:w="1073" w:type="pct"/>
                  <w:vAlign w:val="center"/>
                </w:tcPr>
                <w:p w14:paraId="53A9C00A">
                  <w:pPr>
                    <w:contextualSpacing/>
                    <w:jc w:val="center"/>
                  </w:pPr>
                  <w:r>
                    <w:t>镗床</w:t>
                  </w:r>
                </w:p>
              </w:tc>
              <w:tc>
                <w:tcPr>
                  <w:tcW w:w="449" w:type="pct"/>
                  <w:vAlign w:val="center"/>
                </w:tcPr>
                <w:p w14:paraId="2B8149A2">
                  <w:pPr>
                    <w:jc w:val="center"/>
                  </w:pPr>
                  <w:r>
                    <w:rPr>
                      <w:kern w:val="0"/>
                      <w:szCs w:val="21"/>
                    </w:rPr>
                    <w:t>台</w:t>
                  </w:r>
                </w:p>
              </w:tc>
              <w:tc>
                <w:tcPr>
                  <w:tcW w:w="392" w:type="pct"/>
                  <w:vAlign w:val="center"/>
                </w:tcPr>
                <w:p w14:paraId="73570636">
                  <w:pPr>
                    <w:jc w:val="center"/>
                    <w:rPr>
                      <w:szCs w:val="21"/>
                    </w:rPr>
                  </w:pPr>
                  <w:r>
                    <w:rPr>
                      <w:rFonts w:hint="eastAsia"/>
                      <w:szCs w:val="21"/>
                    </w:rPr>
                    <w:t>1</w:t>
                  </w:r>
                </w:p>
              </w:tc>
              <w:tc>
                <w:tcPr>
                  <w:tcW w:w="606" w:type="pct"/>
                  <w:vAlign w:val="center"/>
                </w:tcPr>
                <w:p w14:paraId="7566E11A">
                  <w:pPr>
                    <w:jc w:val="center"/>
                  </w:pPr>
                  <w:r>
                    <w:rPr>
                      <w:bCs/>
                      <w:szCs w:val="21"/>
                    </w:rPr>
                    <w:t>/</w:t>
                  </w:r>
                </w:p>
              </w:tc>
              <w:tc>
                <w:tcPr>
                  <w:tcW w:w="741" w:type="pct"/>
                  <w:vMerge w:val="continue"/>
                  <w:vAlign w:val="center"/>
                </w:tcPr>
                <w:p w14:paraId="7450E7F5">
                  <w:pPr>
                    <w:jc w:val="center"/>
                    <w:rPr>
                      <w:szCs w:val="21"/>
                    </w:rPr>
                  </w:pPr>
                </w:p>
              </w:tc>
            </w:tr>
            <w:tr w14:paraId="0B114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5BF83251">
                  <w:pPr>
                    <w:jc w:val="center"/>
                    <w:rPr>
                      <w:sz w:val="20"/>
                      <w:szCs w:val="20"/>
                    </w:rPr>
                  </w:pPr>
                  <w:r>
                    <w:rPr>
                      <w:sz w:val="20"/>
                      <w:szCs w:val="20"/>
                    </w:rPr>
                    <w:t>19</w:t>
                  </w:r>
                </w:p>
              </w:tc>
              <w:tc>
                <w:tcPr>
                  <w:tcW w:w="782" w:type="pct"/>
                  <w:vMerge w:val="continue"/>
                  <w:vAlign w:val="center"/>
                </w:tcPr>
                <w:p w14:paraId="63D83FA4">
                  <w:pPr>
                    <w:contextualSpacing/>
                    <w:jc w:val="center"/>
                  </w:pPr>
                </w:p>
              </w:tc>
              <w:tc>
                <w:tcPr>
                  <w:tcW w:w="695" w:type="pct"/>
                  <w:vMerge w:val="continue"/>
                  <w:vAlign w:val="center"/>
                </w:tcPr>
                <w:p w14:paraId="58A0FD25">
                  <w:pPr>
                    <w:contextualSpacing/>
                    <w:jc w:val="center"/>
                  </w:pPr>
                </w:p>
              </w:tc>
              <w:tc>
                <w:tcPr>
                  <w:tcW w:w="1073" w:type="pct"/>
                  <w:vAlign w:val="center"/>
                </w:tcPr>
                <w:p w14:paraId="703516DB">
                  <w:pPr>
                    <w:contextualSpacing/>
                    <w:jc w:val="center"/>
                  </w:pPr>
                  <w:r>
                    <w:t>铣床</w:t>
                  </w:r>
                </w:p>
              </w:tc>
              <w:tc>
                <w:tcPr>
                  <w:tcW w:w="449" w:type="pct"/>
                  <w:vAlign w:val="center"/>
                </w:tcPr>
                <w:p w14:paraId="05651CE6">
                  <w:pPr>
                    <w:jc w:val="center"/>
                  </w:pPr>
                  <w:r>
                    <w:rPr>
                      <w:kern w:val="0"/>
                      <w:szCs w:val="21"/>
                    </w:rPr>
                    <w:t>台</w:t>
                  </w:r>
                </w:p>
              </w:tc>
              <w:tc>
                <w:tcPr>
                  <w:tcW w:w="392" w:type="pct"/>
                  <w:vAlign w:val="center"/>
                </w:tcPr>
                <w:p w14:paraId="0C6C5517">
                  <w:pPr>
                    <w:jc w:val="center"/>
                    <w:rPr>
                      <w:szCs w:val="21"/>
                    </w:rPr>
                  </w:pPr>
                  <w:r>
                    <w:rPr>
                      <w:rFonts w:hint="eastAsia"/>
                      <w:szCs w:val="21"/>
                    </w:rPr>
                    <w:t>2</w:t>
                  </w:r>
                </w:p>
              </w:tc>
              <w:tc>
                <w:tcPr>
                  <w:tcW w:w="606" w:type="pct"/>
                  <w:vAlign w:val="center"/>
                </w:tcPr>
                <w:p w14:paraId="57B67FD4">
                  <w:pPr>
                    <w:jc w:val="center"/>
                  </w:pPr>
                  <w:r>
                    <w:rPr>
                      <w:bCs/>
                      <w:szCs w:val="21"/>
                    </w:rPr>
                    <w:t>/</w:t>
                  </w:r>
                </w:p>
              </w:tc>
              <w:tc>
                <w:tcPr>
                  <w:tcW w:w="741" w:type="pct"/>
                  <w:vMerge w:val="continue"/>
                  <w:vAlign w:val="center"/>
                </w:tcPr>
                <w:p w14:paraId="0FB1E8D3">
                  <w:pPr>
                    <w:jc w:val="center"/>
                    <w:rPr>
                      <w:szCs w:val="21"/>
                    </w:rPr>
                  </w:pPr>
                </w:p>
              </w:tc>
            </w:tr>
            <w:tr w14:paraId="3FF6C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B4EDCE7">
                  <w:pPr>
                    <w:jc w:val="center"/>
                    <w:rPr>
                      <w:sz w:val="20"/>
                      <w:szCs w:val="20"/>
                    </w:rPr>
                  </w:pPr>
                  <w:r>
                    <w:rPr>
                      <w:sz w:val="20"/>
                      <w:szCs w:val="20"/>
                    </w:rPr>
                    <w:t>20</w:t>
                  </w:r>
                </w:p>
              </w:tc>
              <w:tc>
                <w:tcPr>
                  <w:tcW w:w="782" w:type="pct"/>
                  <w:vMerge w:val="continue"/>
                  <w:vAlign w:val="center"/>
                </w:tcPr>
                <w:p w14:paraId="7681C995">
                  <w:pPr>
                    <w:contextualSpacing/>
                    <w:jc w:val="center"/>
                  </w:pPr>
                </w:p>
              </w:tc>
              <w:tc>
                <w:tcPr>
                  <w:tcW w:w="695" w:type="pct"/>
                  <w:vMerge w:val="continue"/>
                  <w:vAlign w:val="center"/>
                </w:tcPr>
                <w:p w14:paraId="38AFF510">
                  <w:pPr>
                    <w:contextualSpacing/>
                    <w:jc w:val="center"/>
                  </w:pPr>
                </w:p>
              </w:tc>
              <w:tc>
                <w:tcPr>
                  <w:tcW w:w="1073" w:type="pct"/>
                  <w:vAlign w:val="center"/>
                </w:tcPr>
                <w:p w14:paraId="5E844A0F">
                  <w:pPr>
                    <w:contextualSpacing/>
                    <w:jc w:val="center"/>
                    <w:rPr>
                      <w:szCs w:val="21"/>
                    </w:rPr>
                  </w:pPr>
                  <w:r>
                    <w:rPr>
                      <w:szCs w:val="21"/>
                    </w:rPr>
                    <w:t>万能卷板机</w:t>
                  </w:r>
                </w:p>
              </w:tc>
              <w:tc>
                <w:tcPr>
                  <w:tcW w:w="449" w:type="pct"/>
                  <w:vAlign w:val="center"/>
                </w:tcPr>
                <w:p w14:paraId="33038400">
                  <w:pPr>
                    <w:contextualSpacing/>
                    <w:jc w:val="center"/>
                    <w:rPr>
                      <w:kern w:val="0"/>
                      <w:szCs w:val="21"/>
                    </w:rPr>
                  </w:pPr>
                  <w:r>
                    <w:rPr>
                      <w:kern w:val="0"/>
                      <w:szCs w:val="21"/>
                    </w:rPr>
                    <w:t>台</w:t>
                  </w:r>
                </w:p>
              </w:tc>
              <w:tc>
                <w:tcPr>
                  <w:tcW w:w="392" w:type="pct"/>
                  <w:vAlign w:val="center"/>
                </w:tcPr>
                <w:p w14:paraId="30B6F95B">
                  <w:pPr>
                    <w:contextualSpacing/>
                    <w:jc w:val="center"/>
                    <w:rPr>
                      <w:bCs/>
                      <w:szCs w:val="21"/>
                    </w:rPr>
                  </w:pPr>
                  <w:r>
                    <w:rPr>
                      <w:bCs/>
                      <w:szCs w:val="21"/>
                    </w:rPr>
                    <w:t>3</w:t>
                  </w:r>
                </w:p>
              </w:tc>
              <w:tc>
                <w:tcPr>
                  <w:tcW w:w="606" w:type="pct"/>
                  <w:vAlign w:val="center"/>
                </w:tcPr>
                <w:p w14:paraId="545F4061">
                  <w:pPr>
                    <w:jc w:val="center"/>
                    <w:rPr>
                      <w:bCs/>
                      <w:szCs w:val="21"/>
                    </w:rPr>
                  </w:pPr>
                </w:p>
              </w:tc>
              <w:tc>
                <w:tcPr>
                  <w:tcW w:w="741" w:type="pct"/>
                  <w:vMerge w:val="continue"/>
                  <w:vAlign w:val="center"/>
                </w:tcPr>
                <w:p w14:paraId="6B11932C">
                  <w:pPr>
                    <w:jc w:val="center"/>
                    <w:rPr>
                      <w:szCs w:val="21"/>
                    </w:rPr>
                  </w:pPr>
                </w:p>
              </w:tc>
            </w:tr>
            <w:tr w14:paraId="2592A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2ADE1015">
                  <w:pPr>
                    <w:jc w:val="center"/>
                    <w:rPr>
                      <w:sz w:val="20"/>
                      <w:szCs w:val="20"/>
                    </w:rPr>
                  </w:pPr>
                  <w:r>
                    <w:rPr>
                      <w:rFonts w:hint="eastAsia"/>
                      <w:sz w:val="20"/>
                      <w:szCs w:val="20"/>
                    </w:rPr>
                    <w:t>21</w:t>
                  </w:r>
                </w:p>
              </w:tc>
              <w:tc>
                <w:tcPr>
                  <w:tcW w:w="782" w:type="pct"/>
                  <w:vMerge w:val="continue"/>
                  <w:vAlign w:val="center"/>
                </w:tcPr>
                <w:p w14:paraId="322A1BD5">
                  <w:pPr>
                    <w:contextualSpacing/>
                    <w:jc w:val="center"/>
                  </w:pPr>
                </w:p>
              </w:tc>
              <w:tc>
                <w:tcPr>
                  <w:tcW w:w="695" w:type="pct"/>
                  <w:vMerge w:val="continue"/>
                  <w:vAlign w:val="center"/>
                </w:tcPr>
                <w:p w14:paraId="07DB834B">
                  <w:pPr>
                    <w:contextualSpacing/>
                    <w:jc w:val="center"/>
                  </w:pPr>
                </w:p>
              </w:tc>
              <w:tc>
                <w:tcPr>
                  <w:tcW w:w="1073" w:type="pct"/>
                  <w:vAlign w:val="center"/>
                </w:tcPr>
                <w:p w14:paraId="0F894FC7">
                  <w:pPr>
                    <w:contextualSpacing/>
                    <w:jc w:val="center"/>
                    <w:rPr>
                      <w:szCs w:val="21"/>
                    </w:rPr>
                  </w:pPr>
                  <w:r>
                    <w:rPr>
                      <w:szCs w:val="21"/>
                    </w:rPr>
                    <w:t>全自动四辊卷板机</w:t>
                  </w:r>
                </w:p>
              </w:tc>
              <w:tc>
                <w:tcPr>
                  <w:tcW w:w="449" w:type="pct"/>
                  <w:vAlign w:val="center"/>
                </w:tcPr>
                <w:p w14:paraId="72B3C5EE">
                  <w:pPr>
                    <w:contextualSpacing/>
                    <w:jc w:val="center"/>
                    <w:rPr>
                      <w:kern w:val="0"/>
                      <w:szCs w:val="21"/>
                    </w:rPr>
                  </w:pPr>
                  <w:r>
                    <w:rPr>
                      <w:kern w:val="0"/>
                      <w:szCs w:val="21"/>
                    </w:rPr>
                    <w:t>台</w:t>
                  </w:r>
                </w:p>
              </w:tc>
              <w:tc>
                <w:tcPr>
                  <w:tcW w:w="392" w:type="pct"/>
                  <w:vAlign w:val="center"/>
                </w:tcPr>
                <w:p w14:paraId="4F4AFEBF">
                  <w:pPr>
                    <w:jc w:val="center"/>
                    <w:rPr>
                      <w:szCs w:val="21"/>
                    </w:rPr>
                  </w:pPr>
                  <w:r>
                    <w:rPr>
                      <w:rFonts w:hint="eastAsia"/>
                      <w:szCs w:val="21"/>
                    </w:rPr>
                    <w:t>2</w:t>
                  </w:r>
                </w:p>
              </w:tc>
              <w:tc>
                <w:tcPr>
                  <w:tcW w:w="606" w:type="pct"/>
                  <w:vAlign w:val="center"/>
                </w:tcPr>
                <w:p w14:paraId="52D8E37B">
                  <w:pPr>
                    <w:jc w:val="center"/>
                    <w:rPr>
                      <w:bCs/>
                      <w:szCs w:val="21"/>
                    </w:rPr>
                  </w:pPr>
                </w:p>
              </w:tc>
              <w:tc>
                <w:tcPr>
                  <w:tcW w:w="741" w:type="pct"/>
                  <w:vMerge w:val="continue"/>
                  <w:vAlign w:val="center"/>
                </w:tcPr>
                <w:p w14:paraId="79D71036">
                  <w:pPr>
                    <w:jc w:val="center"/>
                    <w:rPr>
                      <w:szCs w:val="21"/>
                    </w:rPr>
                  </w:pPr>
                </w:p>
              </w:tc>
            </w:tr>
            <w:tr w14:paraId="483F1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3475A634">
                  <w:pPr>
                    <w:jc w:val="center"/>
                    <w:rPr>
                      <w:sz w:val="20"/>
                      <w:szCs w:val="20"/>
                    </w:rPr>
                  </w:pPr>
                  <w:r>
                    <w:rPr>
                      <w:sz w:val="20"/>
                      <w:szCs w:val="20"/>
                    </w:rPr>
                    <w:t>22</w:t>
                  </w:r>
                </w:p>
              </w:tc>
              <w:tc>
                <w:tcPr>
                  <w:tcW w:w="782" w:type="pct"/>
                  <w:vMerge w:val="continue"/>
                  <w:vAlign w:val="center"/>
                </w:tcPr>
                <w:p w14:paraId="7C8CA505">
                  <w:pPr>
                    <w:contextualSpacing/>
                    <w:jc w:val="center"/>
                  </w:pPr>
                </w:p>
              </w:tc>
              <w:tc>
                <w:tcPr>
                  <w:tcW w:w="695" w:type="pct"/>
                  <w:vMerge w:val="continue"/>
                  <w:vAlign w:val="center"/>
                </w:tcPr>
                <w:p w14:paraId="037328B8">
                  <w:pPr>
                    <w:contextualSpacing/>
                    <w:jc w:val="center"/>
                  </w:pPr>
                </w:p>
              </w:tc>
              <w:tc>
                <w:tcPr>
                  <w:tcW w:w="1073" w:type="pct"/>
                  <w:vAlign w:val="center"/>
                </w:tcPr>
                <w:p w14:paraId="34FC6071">
                  <w:pPr>
                    <w:contextualSpacing/>
                    <w:jc w:val="center"/>
                  </w:pPr>
                  <w:bookmarkStart w:id="132" w:name="OLE_LINK164"/>
                  <w:bookmarkStart w:id="133" w:name="OLE_LINK165"/>
                  <w:r>
                    <w:t>锥体卷板机</w:t>
                  </w:r>
                  <w:bookmarkEnd w:id="132"/>
                  <w:bookmarkEnd w:id="133"/>
                </w:p>
              </w:tc>
              <w:tc>
                <w:tcPr>
                  <w:tcW w:w="449" w:type="pct"/>
                  <w:vAlign w:val="center"/>
                </w:tcPr>
                <w:p w14:paraId="157FF13C">
                  <w:pPr>
                    <w:jc w:val="center"/>
                  </w:pPr>
                  <w:r>
                    <w:rPr>
                      <w:kern w:val="0"/>
                      <w:szCs w:val="21"/>
                    </w:rPr>
                    <w:t>台</w:t>
                  </w:r>
                </w:p>
              </w:tc>
              <w:tc>
                <w:tcPr>
                  <w:tcW w:w="392" w:type="pct"/>
                  <w:vAlign w:val="center"/>
                </w:tcPr>
                <w:p w14:paraId="1E405A2D">
                  <w:pPr>
                    <w:jc w:val="center"/>
                    <w:rPr>
                      <w:szCs w:val="21"/>
                    </w:rPr>
                  </w:pPr>
                  <w:r>
                    <w:rPr>
                      <w:rFonts w:hint="eastAsia"/>
                      <w:szCs w:val="21"/>
                    </w:rPr>
                    <w:t>2</w:t>
                  </w:r>
                </w:p>
              </w:tc>
              <w:tc>
                <w:tcPr>
                  <w:tcW w:w="606" w:type="pct"/>
                  <w:vAlign w:val="center"/>
                </w:tcPr>
                <w:p w14:paraId="7879ACFB">
                  <w:pPr>
                    <w:jc w:val="center"/>
                    <w:rPr>
                      <w:bCs/>
                      <w:szCs w:val="21"/>
                    </w:rPr>
                  </w:pPr>
                </w:p>
              </w:tc>
              <w:tc>
                <w:tcPr>
                  <w:tcW w:w="741" w:type="pct"/>
                  <w:vMerge w:val="continue"/>
                  <w:vAlign w:val="center"/>
                </w:tcPr>
                <w:p w14:paraId="5650640A">
                  <w:pPr>
                    <w:jc w:val="center"/>
                    <w:rPr>
                      <w:szCs w:val="21"/>
                    </w:rPr>
                  </w:pPr>
                </w:p>
              </w:tc>
            </w:tr>
            <w:tr w14:paraId="6C348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126F1683">
                  <w:pPr>
                    <w:jc w:val="center"/>
                    <w:rPr>
                      <w:sz w:val="20"/>
                      <w:szCs w:val="20"/>
                    </w:rPr>
                  </w:pPr>
                  <w:r>
                    <w:rPr>
                      <w:sz w:val="20"/>
                      <w:szCs w:val="20"/>
                    </w:rPr>
                    <w:t>23</w:t>
                  </w:r>
                </w:p>
              </w:tc>
              <w:tc>
                <w:tcPr>
                  <w:tcW w:w="782" w:type="pct"/>
                  <w:vMerge w:val="continue"/>
                  <w:vAlign w:val="center"/>
                </w:tcPr>
                <w:p w14:paraId="29D2CA7A">
                  <w:pPr>
                    <w:contextualSpacing/>
                    <w:jc w:val="center"/>
                  </w:pPr>
                </w:p>
              </w:tc>
              <w:tc>
                <w:tcPr>
                  <w:tcW w:w="695" w:type="pct"/>
                  <w:vMerge w:val="continue"/>
                  <w:vAlign w:val="center"/>
                </w:tcPr>
                <w:p w14:paraId="45DC71A7">
                  <w:pPr>
                    <w:contextualSpacing/>
                    <w:jc w:val="center"/>
                  </w:pPr>
                </w:p>
              </w:tc>
              <w:tc>
                <w:tcPr>
                  <w:tcW w:w="1073" w:type="pct"/>
                  <w:vAlign w:val="center"/>
                </w:tcPr>
                <w:p w14:paraId="2BD3215B">
                  <w:pPr>
                    <w:contextualSpacing/>
                    <w:jc w:val="center"/>
                  </w:pPr>
                  <w:r>
                    <w:t>自动坡口机</w:t>
                  </w:r>
                </w:p>
              </w:tc>
              <w:tc>
                <w:tcPr>
                  <w:tcW w:w="449" w:type="pct"/>
                  <w:vAlign w:val="center"/>
                </w:tcPr>
                <w:p w14:paraId="70DE862E">
                  <w:pPr>
                    <w:contextualSpacing/>
                    <w:jc w:val="center"/>
                    <w:rPr>
                      <w:kern w:val="0"/>
                      <w:szCs w:val="21"/>
                    </w:rPr>
                  </w:pPr>
                  <w:r>
                    <w:rPr>
                      <w:kern w:val="0"/>
                      <w:szCs w:val="21"/>
                    </w:rPr>
                    <w:t>台</w:t>
                  </w:r>
                </w:p>
              </w:tc>
              <w:tc>
                <w:tcPr>
                  <w:tcW w:w="392" w:type="pct"/>
                  <w:vAlign w:val="center"/>
                </w:tcPr>
                <w:p w14:paraId="4C3B708E">
                  <w:pPr>
                    <w:jc w:val="center"/>
                    <w:rPr>
                      <w:szCs w:val="21"/>
                    </w:rPr>
                  </w:pPr>
                  <w:r>
                    <w:rPr>
                      <w:rFonts w:hint="eastAsia"/>
                      <w:szCs w:val="21"/>
                    </w:rPr>
                    <w:t>3</w:t>
                  </w:r>
                </w:p>
              </w:tc>
              <w:tc>
                <w:tcPr>
                  <w:tcW w:w="606" w:type="pct"/>
                  <w:vAlign w:val="center"/>
                </w:tcPr>
                <w:p w14:paraId="45AF71F3">
                  <w:pPr>
                    <w:jc w:val="center"/>
                  </w:pPr>
                  <w:r>
                    <w:rPr>
                      <w:bCs/>
                      <w:szCs w:val="21"/>
                    </w:rPr>
                    <w:t>/</w:t>
                  </w:r>
                </w:p>
              </w:tc>
              <w:tc>
                <w:tcPr>
                  <w:tcW w:w="741" w:type="pct"/>
                  <w:vMerge w:val="continue"/>
                  <w:vAlign w:val="center"/>
                </w:tcPr>
                <w:p w14:paraId="212583E8">
                  <w:pPr>
                    <w:jc w:val="center"/>
                    <w:rPr>
                      <w:szCs w:val="21"/>
                    </w:rPr>
                  </w:pPr>
                </w:p>
              </w:tc>
            </w:tr>
            <w:tr w14:paraId="4AF1E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383EDC19">
                  <w:pPr>
                    <w:jc w:val="center"/>
                    <w:rPr>
                      <w:sz w:val="20"/>
                      <w:szCs w:val="20"/>
                    </w:rPr>
                  </w:pPr>
                  <w:r>
                    <w:rPr>
                      <w:sz w:val="20"/>
                      <w:szCs w:val="20"/>
                    </w:rPr>
                    <w:t>24</w:t>
                  </w:r>
                </w:p>
              </w:tc>
              <w:tc>
                <w:tcPr>
                  <w:tcW w:w="782" w:type="pct"/>
                  <w:vMerge w:val="continue"/>
                  <w:vAlign w:val="center"/>
                </w:tcPr>
                <w:p w14:paraId="0221416C">
                  <w:pPr>
                    <w:contextualSpacing/>
                    <w:jc w:val="center"/>
                  </w:pPr>
                </w:p>
              </w:tc>
              <w:tc>
                <w:tcPr>
                  <w:tcW w:w="695" w:type="pct"/>
                  <w:vMerge w:val="continue"/>
                  <w:vAlign w:val="center"/>
                </w:tcPr>
                <w:p w14:paraId="2239CBB1">
                  <w:pPr>
                    <w:contextualSpacing/>
                    <w:jc w:val="center"/>
                  </w:pPr>
                </w:p>
              </w:tc>
              <w:tc>
                <w:tcPr>
                  <w:tcW w:w="1073" w:type="pct"/>
                  <w:vAlign w:val="center"/>
                </w:tcPr>
                <w:p w14:paraId="57324154">
                  <w:pPr>
                    <w:contextualSpacing/>
                    <w:jc w:val="center"/>
                  </w:pPr>
                  <w:r>
                    <w:t>旋边机</w:t>
                  </w:r>
                </w:p>
              </w:tc>
              <w:tc>
                <w:tcPr>
                  <w:tcW w:w="449" w:type="pct"/>
                  <w:vAlign w:val="center"/>
                </w:tcPr>
                <w:p w14:paraId="47565B57">
                  <w:pPr>
                    <w:jc w:val="center"/>
                  </w:pPr>
                  <w:r>
                    <w:rPr>
                      <w:kern w:val="0"/>
                      <w:szCs w:val="21"/>
                    </w:rPr>
                    <w:t>台</w:t>
                  </w:r>
                </w:p>
              </w:tc>
              <w:tc>
                <w:tcPr>
                  <w:tcW w:w="392" w:type="pct"/>
                  <w:vAlign w:val="center"/>
                </w:tcPr>
                <w:p w14:paraId="19B56F72">
                  <w:pPr>
                    <w:jc w:val="center"/>
                    <w:rPr>
                      <w:szCs w:val="21"/>
                    </w:rPr>
                  </w:pPr>
                  <w:r>
                    <w:rPr>
                      <w:rFonts w:hint="eastAsia"/>
                      <w:szCs w:val="21"/>
                    </w:rPr>
                    <w:t>1</w:t>
                  </w:r>
                </w:p>
              </w:tc>
              <w:tc>
                <w:tcPr>
                  <w:tcW w:w="606" w:type="pct"/>
                  <w:vAlign w:val="center"/>
                </w:tcPr>
                <w:p w14:paraId="4BBAEB12">
                  <w:pPr>
                    <w:jc w:val="center"/>
                  </w:pPr>
                  <w:r>
                    <w:rPr>
                      <w:bCs/>
                      <w:szCs w:val="21"/>
                    </w:rPr>
                    <w:t>/</w:t>
                  </w:r>
                </w:p>
              </w:tc>
              <w:tc>
                <w:tcPr>
                  <w:tcW w:w="741" w:type="pct"/>
                  <w:vMerge w:val="continue"/>
                  <w:vAlign w:val="center"/>
                </w:tcPr>
                <w:p w14:paraId="79832889">
                  <w:pPr>
                    <w:jc w:val="center"/>
                    <w:rPr>
                      <w:szCs w:val="21"/>
                    </w:rPr>
                  </w:pPr>
                </w:p>
              </w:tc>
            </w:tr>
            <w:tr w14:paraId="0CF57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7E77241F">
                  <w:pPr>
                    <w:jc w:val="center"/>
                    <w:rPr>
                      <w:sz w:val="20"/>
                      <w:szCs w:val="20"/>
                    </w:rPr>
                  </w:pPr>
                  <w:r>
                    <w:rPr>
                      <w:sz w:val="20"/>
                      <w:szCs w:val="20"/>
                    </w:rPr>
                    <w:t>25</w:t>
                  </w:r>
                </w:p>
              </w:tc>
              <w:tc>
                <w:tcPr>
                  <w:tcW w:w="782" w:type="pct"/>
                  <w:vMerge w:val="restart"/>
                  <w:vAlign w:val="center"/>
                </w:tcPr>
                <w:p w14:paraId="4902C708">
                  <w:pPr>
                    <w:contextualSpacing/>
                    <w:jc w:val="center"/>
                  </w:pPr>
                  <w:r>
                    <w:rPr>
                      <w:rFonts w:hint="eastAsia"/>
                    </w:rPr>
                    <w:t>探伤</w:t>
                  </w:r>
                </w:p>
              </w:tc>
              <w:tc>
                <w:tcPr>
                  <w:tcW w:w="695" w:type="pct"/>
                  <w:vMerge w:val="restart"/>
                  <w:vAlign w:val="center"/>
                </w:tcPr>
                <w:p w14:paraId="1685FE7A">
                  <w:pPr>
                    <w:contextualSpacing/>
                    <w:jc w:val="center"/>
                  </w:pPr>
                  <w:r>
                    <w:rPr>
                      <w:rFonts w:hint="eastAsia"/>
                    </w:rPr>
                    <w:t>探伤</w:t>
                  </w:r>
                </w:p>
              </w:tc>
              <w:tc>
                <w:tcPr>
                  <w:tcW w:w="1073" w:type="pct"/>
                  <w:vAlign w:val="center"/>
                </w:tcPr>
                <w:p w14:paraId="5C678193">
                  <w:pPr>
                    <w:contextualSpacing/>
                    <w:jc w:val="center"/>
                  </w:pPr>
                  <w:r>
                    <w:rPr>
                      <w:rFonts w:hint="eastAsia"/>
                    </w:rPr>
                    <w:t>超声波</w:t>
                  </w:r>
                  <w:r>
                    <w:t>探伤仪</w:t>
                  </w:r>
                </w:p>
              </w:tc>
              <w:tc>
                <w:tcPr>
                  <w:tcW w:w="449" w:type="pct"/>
                  <w:vAlign w:val="center"/>
                </w:tcPr>
                <w:p w14:paraId="05F6C6A3">
                  <w:pPr>
                    <w:contextualSpacing/>
                    <w:jc w:val="center"/>
                    <w:rPr>
                      <w:kern w:val="0"/>
                      <w:szCs w:val="21"/>
                    </w:rPr>
                  </w:pPr>
                  <w:r>
                    <w:rPr>
                      <w:kern w:val="0"/>
                      <w:szCs w:val="21"/>
                    </w:rPr>
                    <w:t>套</w:t>
                  </w:r>
                </w:p>
              </w:tc>
              <w:tc>
                <w:tcPr>
                  <w:tcW w:w="392" w:type="pct"/>
                  <w:vAlign w:val="center"/>
                </w:tcPr>
                <w:p w14:paraId="51E499BE">
                  <w:pPr>
                    <w:jc w:val="center"/>
                    <w:rPr>
                      <w:szCs w:val="21"/>
                    </w:rPr>
                  </w:pPr>
                  <w:r>
                    <w:rPr>
                      <w:rFonts w:hint="eastAsia"/>
                      <w:szCs w:val="21"/>
                    </w:rPr>
                    <w:t>2</w:t>
                  </w:r>
                </w:p>
              </w:tc>
              <w:tc>
                <w:tcPr>
                  <w:tcW w:w="606" w:type="pct"/>
                  <w:vAlign w:val="center"/>
                </w:tcPr>
                <w:p w14:paraId="4FEB9725">
                  <w:pPr>
                    <w:jc w:val="center"/>
                  </w:pPr>
                  <w:r>
                    <w:rPr>
                      <w:bCs/>
                      <w:szCs w:val="21"/>
                    </w:rPr>
                    <w:t>/</w:t>
                  </w:r>
                </w:p>
              </w:tc>
              <w:tc>
                <w:tcPr>
                  <w:tcW w:w="741" w:type="pct"/>
                  <w:vMerge w:val="continue"/>
                  <w:vAlign w:val="center"/>
                </w:tcPr>
                <w:p w14:paraId="1C828DEC">
                  <w:pPr>
                    <w:jc w:val="center"/>
                    <w:rPr>
                      <w:szCs w:val="21"/>
                    </w:rPr>
                  </w:pPr>
                </w:p>
              </w:tc>
            </w:tr>
            <w:tr w14:paraId="60630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2D7676A4">
                  <w:pPr>
                    <w:jc w:val="center"/>
                  </w:pPr>
                  <w:r>
                    <w:t>26</w:t>
                  </w:r>
                </w:p>
              </w:tc>
              <w:tc>
                <w:tcPr>
                  <w:tcW w:w="782" w:type="pct"/>
                  <w:vMerge w:val="continue"/>
                  <w:vAlign w:val="center"/>
                </w:tcPr>
                <w:p w14:paraId="3E77CDD7">
                  <w:pPr>
                    <w:contextualSpacing/>
                    <w:jc w:val="center"/>
                  </w:pPr>
                </w:p>
              </w:tc>
              <w:tc>
                <w:tcPr>
                  <w:tcW w:w="695" w:type="pct"/>
                  <w:vMerge w:val="continue"/>
                  <w:vAlign w:val="center"/>
                </w:tcPr>
                <w:p w14:paraId="73F20EAC">
                  <w:pPr>
                    <w:contextualSpacing/>
                    <w:jc w:val="center"/>
                  </w:pPr>
                </w:p>
              </w:tc>
              <w:tc>
                <w:tcPr>
                  <w:tcW w:w="1073" w:type="pct"/>
                  <w:vAlign w:val="center"/>
                </w:tcPr>
                <w:p w14:paraId="7C4D0FAD">
                  <w:pPr>
                    <w:contextualSpacing/>
                    <w:jc w:val="center"/>
                  </w:pPr>
                  <w:r>
                    <w:t>探伤室</w:t>
                  </w:r>
                </w:p>
              </w:tc>
              <w:tc>
                <w:tcPr>
                  <w:tcW w:w="449" w:type="pct"/>
                  <w:vAlign w:val="center"/>
                </w:tcPr>
                <w:p w14:paraId="1A648862">
                  <w:pPr>
                    <w:contextualSpacing/>
                    <w:jc w:val="center"/>
                    <w:rPr>
                      <w:kern w:val="0"/>
                      <w:szCs w:val="21"/>
                    </w:rPr>
                  </w:pPr>
                  <w:r>
                    <w:rPr>
                      <w:kern w:val="0"/>
                      <w:szCs w:val="21"/>
                    </w:rPr>
                    <w:t>套</w:t>
                  </w:r>
                </w:p>
              </w:tc>
              <w:tc>
                <w:tcPr>
                  <w:tcW w:w="392" w:type="pct"/>
                  <w:vAlign w:val="center"/>
                </w:tcPr>
                <w:p w14:paraId="3C271427">
                  <w:pPr>
                    <w:jc w:val="center"/>
                    <w:rPr>
                      <w:szCs w:val="21"/>
                    </w:rPr>
                  </w:pPr>
                  <w:r>
                    <w:rPr>
                      <w:rFonts w:hint="eastAsia"/>
                      <w:szCs w:val="21"/>
                    </w:rPr>
                    <w:t>2</w:t>
                  </w:r>
                </w:p>
              </w:tc>
              <w:tc>
                <w:tcPr>
                  <w:tcW w:w="606" w:type="pct"/>
                  <w:vAlign w:val="center"/>
                </w:tcPr>
                <w:p w14:paraId="0830979C">
                  <w:pPr>
                    <w:jc w:val="center"/>
                  </w:pPr>
                  <w:r>
                    <w:rPr>
                      <w:bCs/>
                      <w:szCs w:val="21"/>
                    </w:rPr>
                    <w:t>/</w:t>
                  </w:r>
                </w:p>
              </w:tc>
              <w:tc>
                <w:tcPr>
                  <w:tcW w:w="741" w:type="pct"/>
                  <w:vMerge w:val="continue"/>
                  <w:vAlign w:val="center"/>
                </w:tcPr>
                <w:p w14:paraId="33B810D4">
                  <w:pPr>
                    <w:jc w:val="center"/>
                    <w:rPr>
                      <w:szCs w:val="21"/>
                    </w:rPr>
                  </w:pPr>
                </w:p>
              </w:tc>
            </w:tr>
            <w:tr w14:paraId="312FA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3E7D65F5">
                  <w:pPr>
                    <w:jc w:val="center"/>
                  </w:pPr>
                  <w:r>
                    <w:t>27</w:t>
                  </w:r>
                </w:p>
              </w:tc>
              <w:tc>
                <w:tcPr>
                  <w:tcW w:w="782" w:type="pct"/>
                  <w:vMerge w:val="restart"/>
                  <w:vAlign w:val="center"/>
                </w:tcPr>
                <w:p w14:paraId="73761432">
                  <w:pPr>
                    <w:contextualSpacing/>
                    <w:jc w:val="center"/>
                  </w:pPr>
                  <w:r>
                    <w:t>涂装</w:t>
                  </w:r>
                </w:p>
              </w:tc>
              <w:tc>
                <w:tcPr>
                  <w:tcW w:w="695" w:type="pct"/>
                  <w:vAlign w:val="center"/>
                </w:tcPr>
                <w:p w14:paraId="53525287">
                  <w:pPr>
                    <w:contextualSpacing/>
                    <w:jc w:val="center"/>
                  </w:pPr>
                  <w:r>
                    <w:t>喷塑</w:t>
                  </w:r>
                </w:p>
              </w:tc>
              <w:tc>
                <w:tcPr>
                  <w:tcW w:w="1073" w:type="pct"/>
                  <w:vAlign w:val="center"/>
                </w:tcPr>
                <w:p w14:paraId="32E94B41">
                  <w:pPr>
                    <w:contextualSpacing/>
                    <w:jc w:val="center"/>
                  </w:pPr>
                  <w:r>
                    <w:rPr>
                      <w:rFonts w:hint="eastAsia"/>
                      <w:szCs w:val="21"/>
                    </w:rPr>
                    <w:t>喷塑房</w:t>
                  </w:r>
                </w:p>
              </w:tc>
              <w:tc>
                <w:tcPr>
                  <w:tcW w:w="449" w:type="pct"/>
                  <w:vAlign w:val="center"/>
                </w:tcPr>
                <w:p w14:paraId="1596A3F8">
                  <w:pPr>
                    <w:jc w:val="center"/>
                    <w:rPr>
                      <w:kern w:val="0"/>
                      <w:szCs w:val="21"/>
                    </w:rPr>
                  </w:pPr>
                  <w:r>
                    <w:rPr>
                      <w:kern w:val="0"/>
                      <w:szCs w:val="21"/>
                    </w:rPr>
                    <w:t>座</w:t>
                  </w:r>
                </w:p>
              </w:tc>
              <w:tc>
                <w:tcPr>
                  <w:tcW w:w="392" w:type="pct"/>
                  <w:vAlign w:val="center"/>
                </w:tcPr>
                <w:p w14:paraId="6F802E94">
                  <w:pPr>
                    <w:jc w:val="center"/>
                    <w:rPr>
                      <w:szCs w:val="21"/>
                    </w:rPr>
                  </w:pPr>
                  <w:r>
                    <w:rPr>
                      <w:rFonts w:hint="eastAsia"/>
                      <w:szCs w:val="21"/>
                    </w:rPr>
                    <w:t>1</w:t>
                  </w:r>
                </w:p>
              </w:tc>
              <w:tc>
                <w:tcPr>
                  <w:tcW w:w="606" w:type="pct"/>
                  <w:vAlign w:val="center"/>
                </w:tcPr>
                <w:p w14:paraId="2D4E975C">
                  <w:pPr>
                    <w:jc w:val="center"/>
                    <w:rPr>
                      <w:bCs/>
                      <w:szCs w:val="21"/>
                    </w:rPr>
                  </w:pPr>
                  <w:r>
                    <w:rPr>
                      <w:bCs/>
                      <w:szCs w:val="21"/>
                    </w:rPr>
                    <w:t>/</w:t>
                  </w:r>
                </w:p>
              </w:tc>
              <w:tc>
                <w:tcPr>
                  <w:tcW w:w="741" w:type="pct"/>
                  <w:vMerge w:val="continue"/>
                  <w:vAlign w:val="center"/>
                </w:tcPr>
                <w:p w14:paraId="52DE90D5">
                  <w:pPr>
                    <w:jc w:val="center"/>
                    <w:rPr>
                      <w:szCs w:val="21"/>
                    </w:rPr>
                  </w:pPr>
                </w:p>
              </w:tc>
            </w:tr>
            <w:tr w14:paraId="1DB4F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7C5BA75D">
                  <w:pPr>
                    <w:jc w:val="center"/>
                  </w:pPr>
                  <w:r>
                    <w:t>28</w:t>
                  </w:r>
                </w:p>
              </w:tc>
              <w:tc>
                <w:tcPr>
                  <w:tcW w:w="782" w:type="pct"/>
                  <w:vMerge w:val="continue"/>
                  <w:vAlign w:val="center"/>
                </w:tcPr>
                <w:p w14:paraId="3C082ABE">
                  <w:pPr>
                    <w:contextualSpacing/>
                    <w:jc w:val="center"/>
                  </w:pPr>
                </w:p>
              </w:tc>
              <w:tc>
                <w:tcPr>
                  <w:tcW w:w="695" w:type="pct"/>
                  <w:vAlign w:val="center"/>
                </w:tcPr>
                <w:p w14:paraId="7144085D">
                  <w:pPr>
                    <w:contextualSpacing/>
                    <w:jc w:val="center"/>
                  </w:pPr>
                  <w:r>
                    <w:t>粉末粉料固化</w:t>
                  </w:r>
                </w:p>
              </w:tc>
              <w:tc>
                <w:tcPr>
                  <w:tcW w:w="1073" w:type="pct"/>
                  <w:vAlign w:val="center"/>
                </w:tcPr>
                <w:p w14:paraId="5E106171">
                  <w:pPr>
                    <w:contextualSpacing/>
                    <w:jc w:val="center"/>
                    <w:rPr>
                      <w:szCs w:val="21"/>
                    </w:rPr>
                  </w:pPr>
                  <w:r>
                    <w:rPr>
                      <w:rFonts w:hint="eastAsia"/>
                      <w:szCs w:val="21"/>
                    </w:rPr>
                    <w:t>固化间</w:t>
                  </w:r>
                </w:p>
              </w:tc>
              <w:tc>
                <w:tcPr>
                  <w:tcW w:w="449" w:type="pct"/>
                  <w:vAlign w:val="center"/>
                </w:tcPr>
                <w:p w14:paraId="76A31166">
                  <w:pPr>
                    <w:jc w:val="center"/>
                    <w:rPr>
                      <w:kern w:val="0"/>
                      <w:szCs w:val="21"/>
                    </w:rPr>
                  </w:pPr>
                  <w:r>
                    <w:rPr>
                      <w:kern w:val="0"/>
                      <w:szCs w:val="21"/>
                    </w:rPr>
                    <w:t>座</w:t>
                  </w:r>
                </w:p>
              </w:tc>
              <w:tc>
                <w:tcPr>
                  <w:tcW w:w="392" w:type="pct"/>
                  <w:vAlign w:val="center"/>
                </w:tcPr>
                <w:p w14:paraId="7DC8B9F7">
                  <w:pPr>
                    <w:jc w:val="center"/>
                    <w:rPr>
                      <w:szCs w:val="21"/>
                    </w:rPr>
                  </w:pPr>
                  <w:r>
                    <w:rPr>
                      <w:rFonts w:hint="eastAsia"/>
                      <w:szCs w:val="21"/>
                    </w:rPr>
                    <w:t>1</w:t>
                  </w:r>
                </w:p>
              </w:tc>
              <w:tc>
                <w:tcPr>
                  <w:tcW w:w="606" w:type="pct"/>
                  <w:vAlign w:val="center"/>
                </w:tcPr>
                <w:p w14:paraId="78CC2F13">
                  <w:pPr>
                    <w:jc w:val="center"/>
                    <w:rPr>
                      <w:bCs/>
                      <w:szCs w:val="21"/>
                    </w:rPr>
                  </w:pPr>
                  <w:r>
                    <w:rPr>
                      <w:bCs/>
                      <w:szCs w:val="21"/>
                    </w:rPr>
                    <w:t>/</w:t>
                  </w:r>
                </w:p>
              </w:tc>
              <w:tc>
                <w:tcPr>
                  <w:tcW w:w="741" w:type="pct"/>
                  <w:vMerge w:val="continue"/>
                  <w:vAlign w:val="center"/>
                </w:tcPr>
                <w:p w14:paraId="4881D08D">
                  <w:pPr>
                    <w:jc w:val="center"/>
                    <w:rPr>
                      <w:szCs w:val="21"/>
                    </w:rPr>
                  </w:pPr>
                </w:p>
              </w:tc>
            </w:tr>
            <w:tr w14:paraId="0A7CD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7D384A88">
                  <w:pPr>
                    <w:jc w:val="center"/>
                  </w:pPr>
                  <w:r>
                    <w:t>29</w:t>
                  </w:r>
                </w:p>
              </w:tc>
              <w:tc>
                <w:tcPr>
                  <w:tcW w:w="782" w:type="pct"/>
                  <w:vAlign w:val="center"/>
                </w:tcPr>
                <w:p w14:paraId="51B45D23">
                  <w:pPr>
                    <w:contextualSpacing/>
                    <w:jc w:val="center"/>
                  </w:pPr>
                  <w:r>
                    <w:t>检测试验</w:t>
                  </w:r>
                </w:p>
              </w:tc>
              <w:tc>
                <w:tcPr>
                  <w:tcW w:w="695" w:type="pct"/>
                  <w:vAlign w:val="center"/>
                </w:tcPr>
                <w:p w14:paraId="1777B691">
                  <w:pPr>
                    <w:contextualSpacing/>
                    <w:jc w:val="center"/>
                  </w:pPr>
                  <w:r>
                    <w:t>产品检测试验</w:t>
                  </w:r>
                </w:p>
              </w:tc>
              <w:tc>
                <w:tcPr>
                  <w:tcW w:w="1073" w:type="pct"/>
                  <w:vAlign w:val="center"/>
                </w:tcPr>
                <w:p w14:paraId="1C641FBC">
                  <w:pPr>
                    <w:contextualSpacing/>
                    <w:jc w:val="center"/>
                  </w:pPr>
                  <w:r>
                    <w:t>冲击试验设备</w:t>
                  </w:r>
                </w:p>
              </w:tc>
              <w:tc>
                <w:tcPr>
                  <w:tcW w:w="449" w:type="pct"/>
                  <w:vAlign w:val="center"/>
                </w:tcPr>
                <w:p w14:paraId="12BE791A">
                  <w:pPr>
                    <w:contextualSpacing/>
                    <w:jc w:val="center"/>
                    <w:rPr>
                      <w:kern w:val="0"/>
                      <w:szCs w:val="21"/>
                    </w:rPr>
                  </w:pPr>
                  <w:r>
                    <w:rPr>
                      <w:kern w:val="0"/>
                      <w:szCs w:val="21"/>
                    </w:rPr>
                    <w:t>套</w:t>
                  </w:r>
                </w:p>
              </w:tc>
              <w:tc>
                <w:tcPr>
                  <w:tcW w:w="392" w:type="pct"/>
                  <w:vAlign w:val="center"/>
                </w:tcPr>
                <w:p w14:paraId="28F8725F">
                  <w:pPr>
                    <w:jc w:val="center"/>
                    <w:rPr>
                      <w:szCs w:val="21"/>
                    </w:rPr>
                  </w:pPr>
                  <w:r>
                    <w:rPr>
                      <w:rFonts w:hint="eastAsia"/>
                      <w:szCs w:val="21"/>
                    </w:rPr>
                    <w:t>9</w:t>
                  </w:r>
                </w:p>
              </w:tc>
              <w:tc>
                <w:tcPr>
                  <w:tcW w:w="606" w:type="pct"/>
                  <w:vAlign w:val="center"/>
                </w:tcPr>
                <w:p w14:paraId="4ED19F76">
                  <w:pPr>
                    <w:jc w:val="center"/>
                  </w:pPr>
                  <w:r>
                    <w:rPr>
                      <w:bCs/>
                      <w:szCs w:val="21"/>
                    </w:rPr>
                    <w:t>/</w:t>
                  </w:r>
                </w:p>
              </w:tc>
              <w:tc>
                <w:tcPr>
                  <w:tcW w:w="741" w:type="pct"/>
                  <w:vAlign w:val="center"/>
                </w:tcPr>
                <w:p w14:paraId="69690479">
                  <w:pPr>
                    <w:jc w:val="center"/>
                    <w:rPr>
                      <w:szCs w:val="21"/>
                    </w:rPr>
                  </w:pPr>
                  <w:r>
                    <w:rPr>
                      <w:szCs w:val="21"/>
                    </w:rPr>
                    <w:t>位于检测中心</w:t>
                  </w:r>
                </w:p>
              </w:tc>
            </w:tr>
            <w:tr w14:paraId="19CA4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2" w:type="pct"/>
                  <w:vAlign w:val="center"/>
                </w:tcPr>
                <w:p w14:paraId="4DEF580E">
                  <w:pPr>
                    <w:jc w:val="center"/>
                  </w:pPr>
                  <w:r>
                    <w:rPr>
                      <w:rFonts w:hint="eastAsia"/>
                    </w:rPr>
                    <w:t>3</w:t>
                  </w:r>
                  <w:r>
                    <w:t>0</w:t>
                  </w:r>
                </w:p>
              </w:tc>
              <w:tc>
                <w:tcPr>
                  <w:tcW w:w="2550" w:type="pct"/>
                  <w:gridSpan w:val="3"/>
                  <w:vAlign w:val="center"/>
                </w:tcPr>
                <w:p w14:paraId="17A24836">
                  <w:pPr>
                    <w:contextualSpacing/>
                    <w:jc w:val="center"/>
                  </w:pPr>
                  <w:r>
                    <w:t>合计</w:t>
                  </w:r>
                </w:p>
              </w:tc>
              <w:tc>
                <w:tcPr>
                  <w:tcW w:w="449" w:type="pct"/>
                  <w:vAlign w:val="center"/>
                </w:tcPr>
                <w:p w14:paraId="2657D4D4">
                  <w:pPr>
                    <w:contextualSpacing/>
                    <w:jc w:val="center"/>
                    <w:rPr>
                      <w:kern w:val="0"/>
                      <w:szCs w:val="21"/>
                    </w:rPr>
                  </w:pPr>
                  <w:r>
                    <w:rPr>
                      <w:kern w:val="0"/>
                      <w:szCs w:val="21"/>
                    </w:rPr>
                    <w:t>台</w:t>
                  </w:r>
                  <w:r>
                    <w:rPr>
                      <w:rFonts w:hint="eastAsia"/>
                      <w:kern w:val="0"/>
                      <w:szCs w:val="21"/>
                    </w:rPr>
                    <w:t>/套</w:t>
                  </w:r>
                </w:p>
              </w:tc>
              <w:tc>
                <w:tcPr>
                  <w:tcW w:w="392" w:type="pct"/>
                  <w:vAlign w:val="center"/>
                </w:tcPr>
                <w:p w14:paraId="2D53E1FC">
                  <w:pPr>
                    <w:jc w:val="center"/>
                    <w:rPr>
                      <w:szCs w:val="21"/>
                    </w:rPr>
                  </w:pPr>
                  <w:r>
                    <w:rPr>
                      <w:rFonts w:hint="eastAsia"/>
                      <w:szCs w:val="21"/>
                    </w:rPr>
                    <w:t>1</w:t>
                  </w:r>
                  <w:r>
                    <w:rPr>
                      <w:szCs w:val="21"/>
                    </w:rPr>
                    <w:t>39</w:t>
                  </w:r>
                </w:p>
              </w:tc>
              <w:tc>
                <w:tcPr>
                  <w:tcW w:w="606" w:type="pct"/>
                  <w:vAlign w:val="center"/>
                </w:tcPr>
                <w:p w14:paraId="4F46502F">
                  <w:pPr>
                    <w:jc w:val="center"/>
                    <w:rPr>
                      <w:szCs w:val="21"/>
                    </w:rPr>
                  </w:pPr>
                  <w:r>
                    <w:rPr>
                      <w:rFonts w:hint="eastAsia"/>
                      <w:szCs w:val="21"/>
                    </w:rPr>
                    <w:t>/</w:t>
                  </w:r>
                </w:p>
              </w:tc>
              <w:tc>
                <w:tcPr>
                  <w:tcW w:w="741" w:type="pct"/>
                  <w:vAlign w:val="center"/>
                </w:tcPr>
                <w:p w14:paraId="363280AA">
                  <w:pPr>
                    <w:jc w:val="center"/>
                    <w:rPr>
                      <w:szCs w:val="21"/>
                    </w:rPr>
                  </w:pPr>
                  <w:r>
                    <w:rPr>
                      <w:rFonts w:hint="eastAsia"/>
                      <w:szCs w:val="21"/>
                    </w:rPr>
                    <w:t>/</w:t>
                  </w:r>
                </w:p>
              </w:tc>
            </w:tr>
          </w:tbl>
          <w:p w14:paraId="6BBC72CC">
            <w:pPr>
              <w:adjustRightInd w:val="0"/>
              <w:spacing w:line="360" w:lineRule="auto"/>
              <w:jc w:val="left"/>
              <w:rPr>
                <w:kern w:val="0"/>
                <w:szCs w:val="21"/>
                <w:lang w:val="zh-CN"/>
              </w:rPr>
            </w:pPr>
            <w:r>
              <w:rPr>
                <w:kern w:val="0"/>
                <w:szCs w:val="21"/>
                <w:lang w:val="zh-CN"/>
              </w:rPr>
              <w:t>注：本项目设备选型均不在《产业结构调整指导目录（2024年本）》淘汰类及限制类之列。</w:t>
            </w:r>
            <w:bookmarkStart w:id="134" w:name="OLE_LINK76"/>
            <w:bookmarkStart w:id="135" w:name="OLE_LINK77"/>
            <w:bookmarkStart w:id="136" w:name="OLE_LINK56"/>
            <w:bookmarkStart w:id="137" w:name="OLE_LINK55"/>
            <w:bookmarkStart w:id="138" w:name="OLE_LINK29"/>
            <w:r>
              <w:rPr>
                <w:rFonts w:hint="eastAsia"/>
                <w:kern w:val="0"/>
                <w:szCs w:val="21"/>
                <w:lang w:val="zh-CN"/>
              </w:rPr>
              <w:t>本项目使用的设备中包含超声波探伤仪，</w:t>
            </w:r>
            <w:bookmarkEnd w:id="134"/>
            <w:bookmarkEnd w:id="135"/>
            <w:r>
              <w:rPr>
                <w:rFonts w:hint="eastAsia"/>
                <w:kern w:val="0"/>
                <w:szCs w:val="21"/>
                <w:lang w:val="zh-CN"/>
              </w:rPr>
              <w:t>根据《建设项目环境影响评价分类管理名录》（2021 版），无需编制辐射类环境影响评价文件</w:t>
            </w:r>
            <w:bookmarkEnd w:id="136"/>
            <w:bookmarkEnd w:id="137"/>
            <w:bookmarkEnd w:id="138"/>
            <w:r>
              <w:rPr>
                <w:rFonts w:hint="eastAsia"/>
                <w:kern w:val="0"/>
                <w:szCs w:val="21"/>
                <w:lang w:val="zh-CN"/>
              </w:rPr>
              <w:t>。</w:t>
            </w:r>
          </w:p>
          <w:p w14:paraId="53067104">
            <w:pPr>
              <w:numPr>
                <w:ilvl w:val="0"/>
                <w:numId w:val="2"/>
              </w:numPr>
              <w:spacing w:line="360" w:lineRule="auto"/>
              <w:ind w:firstLine="480" w:firstLineChars="200"/>
              <w:rPr>
                <w:sz w:val="24"/>
              </w:rPr>
            </w:pPr>
            <w:r>
              <w:rPr>
                <w:sz w:val="24"/>
              </w:rPr>
              <w:t>主要原辅材料</w:t>
            </w:r>
          </w:p>
          <w:p w14:paraId="3E4FE9F7">
            <w:pPr>
              <w:spacing w:line="360" w:lineRule="auto"/>
              <w:ind w:firstLine="480" w:firstLineChars="200"/>
            </w:pPr>
            <w:r>
              <w:rPr>
                <w:sz w:val="24"/>
              </w:rPr>
              <w:t>（1）主要原辅材料及用量</w:t>
            </w:r>
          </w:p>
          <w:p w14:paraId="104C914D">
            <w:pPr>
              <w:spacing w:line="360" w:lineRule="auto"/>
              <w:ind w:firstLine="480" w:firstLineChars="200"/>
              <w:rPr>
                <w:sz w:val="24"/>
              </w:rPr>
            </w:pPr>
            <w:r>
              <w:rPr>
                <w:sz w:val="24"/>
              </w:rPr>
              <w:t>项目主要原辅材料见表18。</w:t>
            </w:r>
          </w:p>
          <w:p w14:paraId="519944DB">
            <w:pPr>
              <w:adjustRightInd w:val="0"/>
              <w:snapToGrid w:val="0"/>
              <w:spacing w:line="360" w:lineRule="auto"/>
              <w:jc w:val="center"/>
              <w:rPr>
                <w:b/>
                <w:bCs/>
                <w:sz w:val="24"/>
              </w:rPr>
            </w:pPr>
            <w:r>
              <w:rPr>
                <w:b/>
                <w:kern w:val="0"/>
                <w:sz w:val="24"/>
              </w:rPr>
              <w:t xml:space="preserve">表18 </w:t>
            </w:r>
            <w:r>
              <w:rPr>
                <w:b/>
                <w:bCs/>
                <w:sz w:val="24"/>
              </w:rPr>
              <w:t>项目主要原辅材料一览表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618"/>
              <w:gridCol w:w="846"/>
              <w:gridCol w:w="1891"/>
              <w:gridCol w:w="1427"/>
              <w:gridCol w:w="2158"/>
            </w:tblGrid>
            <w:tr w14:paraId="14B0D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6" w:type="pct"/>
                  <w:vAlign w:val="center"/>
                </w:tcPr>
                <w:p w14:paraId="7B10724F">
                  <w:pPr>
                    <w:widowControl/>
                    <w:jc w:val="center"/>
                    <w:rPr>
                      <w:kern w:val="0"/>
                      <w:szCs w:val="21"/>
                    </w:rPr>
                  </w:pPr>
                  <w:r>
                    <w:rPr>
                      <w:kern w:val="0"/>
                      <w:szCs w:val="21"/>
                    </w:rPr>
                    <w:t>序号</w:t>
                  </w:r>
                </w:p>
              </w:tc>
              <w:tc>
                <w:tcPr>
                  <w:tcW w:w="924" w:type="pct"/>
                  <w:vAlign w:val="center"/>
                </w:tcPr>
                <w:p w14:paraId="0842A058">
                  <w:pPr>
                    <w:widowControl/>
                    <w:jc w:val="center"/>
                    <w:rPr>
                      <w:kern w:val="0"/>
                      <w:szCs w:val="21"/>
                    </w:rPr>
                  </w:pPr>
                  <w:r>
                    <w:rPr>
                      <w:kern w:val="0"/>
                      <w:szCs w:val="21"/>
                    </w:rPr>
                    <w:t>原辅料名称</w:t>
                  </w:r>
                </w:p>
              </w:tc>
              <w:tc>
                <w:tcPr>
                  <w:tcW w:w="483" w:type="pct"/>
                  <w:vAlign w:val="center"/>
                </w:tcPr>
                <w:p w14:paraId="705AECC6">
                  <w:pPr>
                    <w:widowControl/>
                    <w:jc w:val="center"/>
                    <w:rPr>
                      <w:kern w:val="0"/>
                      <w:szCs w:val="21"/>
                    </w:rPr>
                  </w:pPr>
                  <w:r>
                    <w:rPr>
                      <w:kern w:val="0"/>
                      <w:szCs w:val="21"/>
                    </w:rPr>
                    <w:t>单位</w:t>
                  </w:r>
                </w:p>
              </w:tc>
              <w:tc>
                <w:tcPr>
                  <w:tcW w:w="1080" w:type="pct"/>
                  <w:vAlign w:val="center"/>
                </w:tcPr>
                <w:p w14:paraId="065B54BC">
                  <w:pPr>
                    <w:widowControl/>
                    <w:jc w:val="center"/>
                    <w:rPr>
                      <w:kern w:val="0"/>
                      <w:szCs w:val="21"/>
                    </w:rPr>
                  </w:pPr>
                  <w:r>
                    <w:rPr>
                      <w:kern w:val="0"/>
                      <w:szCs w:val="21"/>
                    </w:rPr>
                    <w:t>用量</w:t>
                  </w:r>
                </w:p>
              </w:tc>
              <w:tc>
                <w:tcPr>
                  <w:tcW w:w="815" w:type="pct"/>
                  <w:vAlign w:val="center"/>
                </w:tcPr>
                <w:p w14:paraId="119470BC">
                  <w:pPr>
                    <w:widowControl/>
                    <w:jc w:val="center"/>
                    <w:rPr>
                      <w:kern w:val="0"/>
                      <w:szCs w:val="21"/>
                    </w:rPr>
                  </w:pPr>
                  <w:r>
                    <w:rPr>
                      <w:kern w:val="0"/>
                      <w:szCs w:val="21"/>
                    </w:rPr>
                    <w:t>性状</w:t>
                  </w:r>
                </w:p>
              </w:tc>
              <w:tc>
                <w:tcPr>
                  <w:tcW w:w="1232" w:type="pct"/>
                  <w:vAlign w:val="center"/>
                </w:tcPr>
                <w:p w14:paraId="10CC7CEF">
                  <w:pPr>
                    <w:widowControl/>
                    <w:jc w:val="center"/>
                    <w:rPr>
                      <w:kern w:val="0"/>
                      <w:szCs w:val="21"/>
                    </w:rPr>
                  </w:pPr>
                  <w:r>
                    <w:rPr>
                      <w:kern w:val="0"/>
                      <w:szCs w:val="21"/>
                    </w:rPr>
                    <w:t>备注</w:t>
                  </w:r>
                </w:p>
              </w:tc>
            </w:tr>
            <w:tr w14:paraId="37E2F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466" w:type="pct"/>
                  <w:vAlign w:val="center"/>
                </w:tcPr>
                <w:p w14:paraId="07DFB870">
                  <w:pPr>
                    <w:widowControl/>
                    <w:jc w:val="center"/>
                    <w:rPr>
                      <w:rFonts w:eastAsia="等线"/>
                      <w:kern w:val="0"/>
                      <w:szCs w:val="21"/>
                    </w:rPr>
                  </w:pPr>
                  <w:r>
                    <w:rPr>
                      <w:rFonts w:eastAsia="等线"/>
                      <w:kern w:val="0"/>
                      <w:szCs w:val="21"/>
                    </w:rPr>
                    <w:t>1</w:t>
                  </w:r>
                </w:p>
              </w:tc>
              <w:tc>
                <w:tcPr>
                  <w:tcW w:w="924" w:type="pct"/>
                  <w:vAlign w:val="center"/>
                </w:tcPr>
                <w:p w14:paraId="1438C78C">
                  <w:pPr>
                    <w:widowControl/>
                    <w:jc w:val="center"/>
                    <w:rPr>
                      <w:kern w:val="0"/>
                      <w:szCs w:val="21"/>
                    </w:rPr>
                  </w:pPr>
                  <w:r>
                    <w:rPr>
                      <w:rFonts w:hint="eastAsia"/>
                      <w:kern w:val="0"/>
                      <w:szCs w:val="21"/>
                    </w:rPr>
                    <w:t>不锈钢</w:t>
                  </w:r>
                </w:p>
              </w:tc>
              <w:tc>
                <w:tcPr>
                  <w:tcW w:w="483" w:type="pct"/>
                  <w:vAlign w:val="center"/>
                </w:tcPr>
                <w:p w14:paraId="6354C5DE">
                  <w:pPr>
                    <w:widowControl/>
                    <w:jc w:val="center"/>
                    <w:rPr>
                      <w:kern w:val="0"/>
                      <w:szCs w:val="21"/>
                    </w:rPr>
                  </w:pPr>
                  <w:bookmarkStart w:id="139" w:name="OLE_LINK198"/>
                  <w:bookmarkStart w:id="140" w:name="OLE_LINK199"/>
                  <w:r>
                    <w:rPr>
                      <w:kern w:val="0"/>
                      <w:szCs w:val="21"/>
                    </w:rPr>
                    <w:t>t/a</w:t>
                  </w:r>
                  <w:bookmarkEnd w:id="139"/>
                  <w:bookmarkEnd w:id="140"/>
                </w:p>
              </w:tc>
              <w:tc>
                <w:tcPr>
                  <w:tcW w:w="1080" w:type="pct"/>
                  <w:vAlign w:val="center"/>
                </w:tcPr>
                <w:p w14:paraId="107AEC8B">
                  <w:pPr>
                    <w:widowControl/>
                    <w:jc w:val="center"/>
                    <w:rPr>
                      <w:rFonts w:eastAsia="等线"/>
                      <w:kern w:val="0"/>
                      <w:szCs w:val="21"/>
                    </w:rPr>
                  </w:pPr>
                  <w:r>
                    <w:rPr>
                      <w:rFonts w:hint="eastAsia" w:eastAsia="等线"/>
                      <w:kern w:val="0"/>
                      <w:szCs w:val="21"/>
                    </w:rPr>
                    <w:t>17700</w:t>
                  </w:r>
                </w:p>
              </w:tc>
              <w:tc>
                <w:tcPr>
                  <w:tcW w:w="815" w:type="pct"/>
                  <w:vAlign w:val="center"/>
                </w:tcPr>
                <w:p w14:paraId="20F6C6C4">
                  <w:pPr>
                    <w:widowControl/>
                    <w:jc w:val="center"/>
                    <w:rPr>
                      <w:kern w:val="0"/>
                      <w:szCs w:val="21"/>
                    </w:rPr>
                  </w:pPr>
                  <w:r>
                    <w:rPr>
                      <w:kern w:val="0"/>
                      <w:szCs w:val="21"/>
                    </w:rPr>
                    <w:t>固体</w:t>
                  </w:r>
                </w:p>
              </w:tc>
              <w:tc>
                <w:tcPr>
                  <w:tcW w:w="1232" w:type="pct"/>
                  <w:vAlign w:val="center"/>
                </w:tcPr>
                <w:p w14:paraId="7635622E">
                  <w:pPr>
                    <w:widowControl/>
                    <w:jc w:val="center"/>
                    <w:rPr>
                      <w:kern w:val="0"/>
                      <w:szCs w:val="21"/>
                    </w:rPr>
                  </w:pPr>
                  <w:r>
                    <w:rPr>
                      <w:kern w:val="0"/>
                      <w:szCs w:val="21"/>
                    </w:rPr>
                    <w:t>箱装、</w:t>
                  </w:r>
                  <w:r>
                    <w:rPr>
                      <w:rFonts w:hint="eastAsia"/>
                      <w:kern w:val="0"/>
                      <w:szCs w:val="21"/>
                    </w:rPr>
                    <w:t>仓库</w:t>
                  </w:r>
                  <w:r>
                    <w:rPr>
                      <w:kern w:val="0"/>
                      <w:szCs w:val="21"/>
                    </w:rPr>
                    <w:t>存放</w:t>
                  </w:r>
                </w:p>
              </w:tc>
            </w:tr>
            <w:tr w14:paraId="2F3F5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6" w:type="pct"/>
                  <w:vAlign w:val="center"/>
                </w:tcPr>
                <w:p w14:paraId="1884E7E5">
                  <w:pPr>
                    <w:widowControl/>
                    <w:jc w:val="center"/>
                    <w:rPr>
                      <w:rFonts w:eastAsia="等线"/>
                      <w:kern w:val="0"/>
                      <w:szCs w:val="21"/>
                    </w:rPr>
                  </w:pPr>
                  <w:bookmarkStart w:id="141" w:name="_Hlk191039109"/>
                  <w:r>
                    <w:rPr>
                      <w:rFonts w:eastAsia="等线"/>
                      <w:kern w:val="0"/>
                      <w:szCs w:val="21"/>
                    </w:rPr>
                    <w:t>2</w:t>
                  </w:r>
                </w:p>
              </w:tc>
              <w:tc>
                <w:tcPr>
                  <w:tcW w:w="924" w:type="pct"/>
                  <w:vAlign w:val="center"/>
                </w:tcPr>
                <w:p w14:paraId="45355D66">
                  <w:pPr>
                    <w:widowControl/>
                    <w:jc w:val="center"/>
                    <w:rPr>
                      <w:kern w:val="0"/>
                      <w:szCs w:val="21"/>
                    </w:rPr>
                  </w:pPr>
                  <w:bookmarkStart w:id="142" w:name="OLE_LINK14"/>
                  <w:bookmarkStart w:id="143" w:name="OLE_LINK13"/>
                  <w:r>
                    <w:rPr>
                      <w:kern w:val="0"/>
                      <w:szCs w:val="21"/>
                    </w:rPr>
                    <w:t>焊丝</w:t>
                  </w:r>
                  <w:bookmarkEnd w:id="142"/>
                  <w:bookmarkEnd w:id="143"/>
                </w:p>
              </w:tc>
              <w:tc>
                <w:tcPr>
                  <w:tcW w:w="483" w:type="pct"/>
                  <w:vAlign w:val="center"/>
                </w:tcPr>
                <w:p w14:paraId="4B00B8A5">
                  <w:pPr>
                    <w:widowControl/>
                    <w:jc w:val="center"/>
                    <w:rPr>
                      <w:kern w:val="0"/>
                      <w:szCs w:val="21"/>
                    </w:rPr>
                  </w:pPr>
                  <w:r>
                    <w:rPr>
                      <w:kern w:val="0"/>
                      <w:szCs w:val="21"/>
                    </w:rPr>
                    <w:t>t/a</w:t>
                  </w:r>
                </w:p>
              </w:tc>
              <w:tc>
                <w:tcPr>
                  <w:tcW w:w="1080" w:type="pct"/>
                  <w:vAlign w:val="center"/>
                </w:tcPr>
                <w:p w14:paraId="0BCD2175">
                  <w:pPr>
                    <w:widowControl/>
                    <w:jc w:val="center"/>
                    <w:rPr>
                      <w:rFonts w:eastAsia="等线"/>
                      <w:kern w:val="0"/>
                      <w:szCs w:val="21"/>
                    </w:rPr>
                  </w:pPr>
                  <w:r>
                    <w:rPr>
                      <w:rFonts w:eastAsia="等线"/>
                      <w:kern w:val="0"/>
                      <w:szCs w:val="21"/>
                    </w:rPr>
                    <w:t>30</w:t>
                  </w:r>
                </w:p>
              </w:tc>
              <w:tc>
                <w:tcPr>
                  <w:tcW w:w="815" w:type="pct"/>
                  <w:vAlign w:val="center"/>
                </w:tcPr>
                <w:p w14:paraId="4BC4B63B">
                  <w:pPr>
                    <w:widowControl/>
                    <w:jc w:val="center"/>
                    <w:rPr>
                      <w:kern w:val="0"/>
                      <w:szCs w:val="21"/>
                    </w:rPr>
                  </w:pPr>
                  <w:r>
                    <w:rPr>
                      <w:kern w:val="0"/>
                      <w:szCs w:val="21"/>
                    </w:rPr>
                    <w:t>固体</w:t>
                  </w:r>
                </w:p>
              </w:tc>
              <w:tc>
                <w:tcPr>
                  <w:tcW w:w="1232" w:type="pct"/>
                  <w:vAlign w:val="center"/>
                </w:tcPr>
                <w:p w14:paraId="38A1FFF3">
                  <w:pPr>
                    <w:widowControl/>
                    <w:jc w:val="center"/>
                    <w:rPr>
                      <w:kern w:val="0"/>
                      <w:szCs w:val="21"/>
                    </w:rPr>
                  </w:pPr>
                  <w:r>
                    <w:rPr>
                      <w:kern w:val="0"/>
                      <w:szCs w:val="21"/>
                    </w:rPr>
                    <w:t>箱装、</w:t>
                  </w:r>
                  <w:r>
                    <w:rPr>
                      <w:rFonts w:hint="eastAsia"/>
                      <w:kern w:val="0"/>
                      <w:szCs w:val="21"/>
                    </w:rPr>
                    <w:t>仓库</w:t>
                  </w:r>
                  <w:r>
                    <w:rPr>
                      <w:kern w:val="0"/>
                      <w:szCs w:val="21"/>
                    </w:rPr>
                    <w:t>存放</w:t>
                  </w:r>
                </w:p>
              </w:tc>
            </w:tr>
            <w:bookmarkEnd w:id="141"/>
            <w:tr w14:paraId="0CF0B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66" w:type="pct"/>
                  <w:vAlign w:val="center"/>
                </w:tcPr>
                <w:p w14:paraId="6C5AA1D0">
                  <w:pPr>
                    <w:widowControl/>
                    <w:jc w:val="center"/>
                    <w:rPr>
                      <w:kern w:val="0"/>
                      <w:szCs w:val="21"/>
                    </w:rPr>
                  </w:pPr>
                  <w:r>
                    <w:rPr>
                      <w:kern w:val="0"/>
                      <w:szCs w:val="21"/>
                    </w:rPr>
                    <w:t>3</w:t>
                  </w:r>
                </w:p>
              </w:tc>
              <w:tc>
                <w:tcPr>
                  <w:tcW w:w="924" w:type="pct"/>
                  <w:vAlign w:val="center"/>
                </w:tcPr>
                <w:p w14:paraId="12900C96">
                  <w:pPr>
                    <w:widowControl/>
                    <w:jc w:val="center"/>
                    <w:rPr>
                      <w:kern w:val="0"/>
                      <w:szCs w:val="21"/>
                    </w:rPr>
                  </w:pPr>
                  <w:r>
                    <w:rPr>
                      <w:kern w:val="0"/>
                      <w:szCs w:val="21"/>
                    </w:rPr>
                    <w:t>塑粉</w:t>
                  </w:r>
                </w:p>
              </w:tc>
              <w:tc>
                <w:tcPr>
                  <w:tcW w:w="483" w:type="pct"/>
                  <w:vAlign w:val="center"/>
                </w:tcPr>
                <w:p w14:paraId="29642837">
                  <w:pPr>
                    <w:widowControl/>
                    <w:jc w:val="center"/>
                    <w:rPr>
                      <w:kern w:val="0"/>
                      <w:szCs w:val="21"/>
                    </w:rPr>
                  </w:pPr>
                  <w:r>
                    <w:rPr>
                      <w:rFonts w:hint="eastAsia"/>
                      <w:kern w:val="0"/>
                      <w:szCs w:val="21"/>
                    </w:rPr>
                    <w:t>t</w:t>
                  </w:r>
                  <w:r>
                    <w:rPr>
                      <w:kern w:val="0"/>
                      <w:szCs w:val="21"/>
                    </w:rPr>
                    <w:t>/a</w:t>
                  </w:r>
                </w:p>
              </w:tc>
              <w:tc>
                <w:tcPr>
                  <w:tcW w:w="1080" w:type="pct"/>
                  <w:vAlign w:val="center"/>
                </w:tcPr>
                <w:p w14:paraId="1E485F93">
                  <w:pPr>
                    <w:widowControl/>
                    <w:jc w:val="center"/>
                    <w:rPr>
                      <w:rFonts w:eastAsia="等线"/>
                      <w:kern w:val="0"/>
                      <w:szCs w:val="21"/>
                    </w:rPr>
                  </w:pPr>
                  <w:r>
                    <w:rPr>
                      <w:rFonts w:eastAsia="等线"/>
                      <w:kern w:val="0"/>
                      <w:szCs w:val="21"/>
                    </w:rPr>
                    <w:t>48.5</w:t>
                  </w:r>
                </w:p>
              </w:tc>
              <w:tc>
                <w:tcPr>
                  <w:tcW w:w="815" w:type="pct"/>
                  <w:vAlign w:val="center"/>
                </w:tcPr>
                <w:p w14:paraId="4A2FB067">
                  <w:pPr>
                    <w:widowControl/>
                    <w:jc w:val="center"/>
                    <w:rPr>
                      <w:kern w:val="0"/>
                      <w:szCs w:val="21"/>
                    </w:rPr>
                  </w:pPr>
                  <w:r>
                    <w:rPr>
                      <w:rFonts w:hint="eastAsia"/>
                      <w:kern w:val="0"/>
                      <w:szCs w:val="21"/>
                    </w:rPr>
                    <w:t>粉末状</w:t>
                  </w:r>
                </w:p>
              </w:tc>
              <w:tc>
                <w:tcPr>
                  <w:tcW w:w="1232" w:type="pct"/>
                  <w:vAlign w:val="center"/>
                </w:tcPr>
                <w:p w14:paraId="07BBD1DC">
                  <w:pPr>
                    <w:widowControl/>
                    <w:jc w:val="center"/>
                    <w:rPr>
                      <w:kern w:val="0"/>
                      <w:szCs w:val="21"/>
                    </w:rPr>
                  </w:pPr>
                  <w:r>
                    <w:rPr>
                      <w:snapToGrid w:val="0"/>
                      <w:szCs w:val="21"/>
                    </w:rPr>
                    <w:t>外购，本项目塑粉为单色塑粉</w:t>
                  </w:r>
                </w:p>
              </w:tc>
            </w:tr>
            <w:tr w14:paraId="36CCF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66" w:type="pct"/>
                  <w:vAlign w:val="center"/>
                </w:tcPr>
                <w:p w14:paraId="090BE3AE">
                  <w:pPr>
                    <w:widowControl/>
                    <w:jc w:val="center"/>
                    <w:rPr>
                      <w:kern w:val="0"/>
                      <w:szCs w:val="21"/>
                    </w:rPr>
                  </w:pPr>
                  <w:r>
                    <w:rPr>
                      <w:szCs w:val="21"/>
                    </w:rPr>
                    <w:t>4</w:t>
                  </w:r>
                </w:p>
              </w:tc>
              <w:tc>
                <w:tcPr>
                  <w:tcW w:w="924" w:type="pct"/>
                  <w:vAlign w:val="center"/>
                </w:tcPr>
                <w:p w14:paraId="4DF95C42">
                  <w:pPr>
                    <w:widowControl/>
                    <w:jc w:val="center"/>
                    <w:rPr>
                      <w:kern w:val="0"/>
                      <w:szCs w:val="21"/>
                    </w:rPr>
                  </w:pPr>
                  <w:r>
                    <w:rPr>
                      <w:kern w:val="0"/>
                      <w:szCs w:val="21"/>
                    </w:rPr>
                    <w:t>二氧化碳</w:t>
                  </w:r>
                </w:p>
              </w:tc>
              <w:tc>
                <w:tcPr>
                  <w:tcW w:w="483" w:type="pct"/>
                  <w:vAlign w:val="center"/>
                </w:tcPr>
                <w:p w14:paraId="7099F5B9">
                  <w:pPr>
                    <w:widowControl/>
                    <w:jc w:val="center"/>
                    <w:rPr>
                      <w:kern w:val="0"/>
                      <w:szCs w:val="21"/>
                    </w:rPr>
                  </w:pPr>
                  <w:bookmarkStart w:id="144" w:name="OLE_LINK16"/>
                  <w:bookmarkStart w:id="145" w:name="OLE_LINK15"/>
                  <w:bookmarkStart w:id="146" w:name="OLE_LINK200"/>
                  <w:r>
                    <w:rPr>
                      <w:kern w:val="0"/>
                      <w:szCs w:val="21"/>
                    </w:rPr>
                    <w:t>瓶/a</w:t>
                  </w:r>
                  <w:bookmarkEnd w:id="144"/>
                  <w:bookmarkEnd w:id="145"/>
                  <w:bookmarkEnd w:id="146"/>
                </w:p>
              </w:tc>
              <w:tc>
                <w:tcPr>
                  <w:tcW w:w="1080" w:type="pct"/>
                  <w:vAlign w:val="center"/>
                </w:tcPr>
                <w:p w14:paraId="2E9563A1">
                  <w:pPr>
                    <w:widowControl/>
                    <w:jc w:val="center"/>
                    <w:rPr>
                      <w:kern w:val="0"/>
                      <w:szCs w:val="21"/>
                    </w:rPr>
                  </w:pPr>
                  <w:r>
                    <w:rPr>
                      <w:kern w:val="0"/>
                      <w:szCs w:val="21"/>
                    </w:rPr>
                    <w:t>600</w:t>
                  </w:r>
                </w:p>
              </w:tc>
              <w:tc>
                <w:tcPr>
                  <w:tcW w:w="815" w:type="pct"/>
                  <w:vAlign w:val="center"/>
                </w:tcPr>
                <w:p w14:paraId="3A43022C">
                  <w:pPr>
                    <w:widowControl/>
                    <w:jc w:val="center"/>
                    <w:rPr>
                      <w:kern w:val="0"/>
                      <w:szCs w:val="21"/>
                    </w:rPr>
                  </w:pPr>
                  <w:r>
                    <w:rPr>
                      <w:kern w:val="0"/>
                      <w:szCs w:val="21"/>
                    </w:rPr>
                    <w:t>气体</w:t>
                  </w:r>
                </w:p>
              </w:tc>
              <w:tc>
                <w:tcPr>
                  <w:tcW w:w="1232" w:type="pct"/>
                  <w:vAlign w:val="center"/>
                </w:tcPr>
                <w:p w14:paraId="2315CC03">
                  <w:pPr>
                    <w:widowControl/>
                    <w:jc w:val="center"/>
                    <w:rPr>
                      <w:kern w:val="0"/>
                      <w:szCs w:val="21"/>
                    </w:rPr>
                  </w:pPr>
                  <w:r>
                    <w:rPr>
                      <w:kern w:val="0"/>
                      <w:szCs w:val="21"/>
                    </w:rPr>
                    <w:t>箱装、</w:t>
                  </w:r>
                  <w:r>
                    <w:rPr>
                      <w:rFonts w:hint="eastAsia"/>
                      <w:kern w:val="0"/>
                      <w:szCs w:val="21"/>
                    </w:rPr>
                    <w:t>仓库</w:t>
                  </w:r>
                  <w:r>
                    <w:rPr>
                      <w:kern w:val="0"/>
                      <w:szCs w:val="21"/>
                    </w:rPr>
                    <w:t>存放</w:t>
                  </w:r>
                </w:p>
              </w:tc>
            </w:tr>
            <w:tr w14:paraId="05188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66" w:type="pct"/>
                  <w:vAlign w:val="center"/>
                </w:tcPr>
                <w:p w14:paraId="07DE182F">
                  <w:pPr>
                    <w:widowControl/>
                    <w:jc w:val="center"/>
                    <w:rPr>
                      <w:kern w:val="0"/>
                      <w:szCs w:val="21"/>
                    </w:rPr>
                  </w:pPr>
                  <w:r>
                    <w:rPr>
                      <w:szCs w:val="21"/>
                    </w:rPr>
                    <w:t>5</w:t>
                  </w:r>
                </w:p>
              </w:tc>
              <w:tc>
                <w:tcPr>
                  <w:tcW w:w="924" w:type="pct"/>
                  <w:vAlign w:val="center"/>
                </w:tcPr>
                <w:p w14:paraId="09D809E4">
                  <w:pPr>
                    <w:widowControl/>
                    <w:jc w:val="center"/>
                    <w:rPr>
                      <w:kern w:val="0"/>
                      <w:szCs w:val="21"/>
                    </w:rPr>
                  </w:pPr>
                  <w:r>
                    <w:rPr>
                      <w:kern w:val="0"/>
                      <w:szCs w:val="21"/>
                    </w:rPr>
                    <w:t>液压油</w:t>
                  </w:r>
                </w:p>
              </w:tc>
              <w:tc>
                <w:tcPr>
                  <w:tcW w:w="483" w:type="pct"/>
                  <w:vAlign w:val="center"/>
                </w:tcPr>
                <w:p w14:paraId="408B7FDB">
                  <w:pPr>
                    <w:widowControl/>
                    <w:jc w:val="center"/>
                    <w:rPr>
                      <w:kern w:val="0"/>
                      <w:szCs w:val="21"/>
                    </w:rPr>
                  </w:pPr>
                  <w:r>
                    <w:rPr>
                      <w:snapToGrid w:val="0"/>
                      <w:szCs w:val="21"/>
                    </w:rPr>
                    <w:t>t/a</w:t>
                  </w:r>
                </w:p>
              </w:tc>
              <w:tc>
                <w:tcPr>
                  <w:tcW w:w="1080" w:type="pct"/>
                  <w:vAlign w:val="center"/>
                </w:tcPr>
                <w:p w14:paraId="7E93AEB7">
                  <w:pPr>
                    <w:widowControl/>
                    <w:jc w:val="center"/>
                    <w:rPr>
                      <w:kern w:val="0"/>
                      <w:szCs w:val="21"/>
                    </w:rPr>
                  </w:pPr>
                  <w:bookmarkStart w:id="147" w:name="OLE_LINK201"/>
                  <w:r>
                    <w:rPr>
                      <w:rFonts w:hint="eastAsia"/>
                      <w:snapToGrid w:val="0"/>
                      <w:szCs w:val="21"/>
                    </w:rPr>
                    <w:t>0.8</w:t>
                  </w:r>
                  <w:bookmarkEnd w:id="147"/>
                </w:p>
              </w:tc>
              <w:tc>
                <w:tcPr>
                  <w:tcW w:w="815" w:type="pct"/>
                  <w:vAlign w:val="center"/>
                </w:tcPr>
                <w:p w14:paraId="623A56C1">
                  <w:pPr>
                    <w:widowControl/>
                    <w:jc w:val="center"/>
                    <w:rPr>
                      <w:kern w:val="0"/>
                      <w:szCs w:val="21"/>
                    </w:rPr>
                  </w:pPr>
                  <w:r>
                    <w:rPr>
                      <w:kern w:val="0"/>
                      <w:szCs w:val="21"/>
                    </w:rPr>
                    <w:t>液体</w:t>
                  </w:r>
                </w:p>
              </w:tc>
              <w:tc>
                <w:tcPr>
                  <w:tcW w:w="1232" w:type="pct"/>
                  <w:vAlign w:val="center"/>
                </w:tcPr>
                <w:p w14:paraId="33BD31FF">
                  <w:pPr>
                    <w:widowControl/>
                    <w:jc w:val="center"/>
                    <w:rPr>
                      <w:kern w:val="0"/>
                      <w:szCs w:val="21"/>
                    </w:rPr>
                  </w:pPr>
                  <w:r>
                    <w:rPr>
                      <w:snapToGrid w:val="0"/>
                      <w:szCs w:val="21"/>
                    </w:rPr>
                    <w:t>桶装</w:t>
                  </w:r>
                  <w:r>
                    <w:rPr>
                      <w:kern w:val="0"/>
                      <w:szCs w:val="21"/>
                    </w:rPr>
                    <w:t>、</w:t>
                  </w:r>
                  <w:r>
                    <w:rPr>
                      <w:rFonts w:hint="eastAsia"/>
                      <w:kern w:val="0"/>
                      <w:szCs w:val="21"/>
                    </w:rPr>
                    <w:t>油类暂存区</w:t>
                  </w:r>
                  <w:r>
                    <w:rPr>
                      <w:kern w:val="0"/>
                      <w:szCs w:val="21"/>
                    </w:rPr>
                    <w:t>、</w:t>
                  </w:r>
                  <w:r>
                    <w:rPr>
                      <w:snapToGrid w:val="0"/>
                      <w:szCs w:val="21"/>
                    </w:rPr>
                    <w:t>180kg/桶，</w:t>
                  </w:r>
                  <w:r>
                    <w:rPr>
                      <w:kern w:val="0"/>
                      <w:szCs w:val="21"/>
                    </w:rPr>
                    <w:t>最大贮存</w:t>
                  </w:r>
                  <w:r>
                    <w:rPr>
                      <w:snapToGrid w:val="0"/>
                      <w:szCs w:val="21"/>
                    </w:rPr>
                    <w:t>量0.</w:t>
                  </w:r>
                  <w:r>
                    <w:rPr>
                      <w:rFonts w:hint="eastAsia"/>
                      <w:snapToGrid w:val="0"/>
                      <w:szCs w:val="21"/>
                    </w:rPr>
                    <w:t>36</w:t>
                  </w:r>
                  <w:r>
                    <w:rPr>
                      <w:snapToGrid w:val="0"/>
                      <w:szCs w:val="21"/>
                    </w:rPr>
                    <w:t>t</w:t>
                  </w:r>
                </w:p>
              </w:tc>
            </w:tr>
            <w:tr w14:paraId="1DB1F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6" w:type="pct"/>
                  <w:vAlign w:val="center"/>
                </w:tcPr>
                <w:p w14:paraId="27F9A44F">
                  <w:pPr>
                    <w:widowControl/>
                    <w:jc w:val="center"/>
                    <w:rPr>
                      <w:kern w:val="0"/>
                      <w:szCs w:val="21"/>
                    </w:rPr>
                  </w:pPr>
                  <w:r>
                    <w:rPr>
                      <w:rFonts w:hint="eastAsia"/>
                      <w:kern w:val="0"/>
                      <w:szCs w:val="21"/>
                    </w:rPr>
                    <w:t>6</w:t>
                  </w:r>
                </w:p>
              </w:tc>
              <w:tc>
                <w:tcPr>
                  <w:tcW w:w="924" w:type="pct"/>
                  <w:vAlign w:val="center"/>
                </w:tcPr>
                <w:p w14:paraId="6D7F3D66">
                  <w:pPr>
                    <w:widowControl/>
                    <w:jc w:val="center"/>
                    <w:rPr>
                      <w:kern w:val="0"/>
                      <w:szCs w:val="21"/>
                    </w:rPr>
                  </w:pPr>
                  <w:bookmarkStart w:id="148" w:name="OLE_LINK19"/>
                  <w:bookmarkStart w:id="149" w:name="OLE_LINK18"/>
                  <w:bookmarkStart w:id="150" w:name="OLE_LINK197"/>
                  <w:r>
                    <w:rPr>
                      <w:szCs w:val="21"/>
                    </w:rPr>
                    <w:t>润滑油</w:t>
                  </w:r>
                  <w:bookmarkEnd w:id="148"/>
                  <w:bookmarkEnd w:id="149"/>
                  <w:bookmarkEnd w:id="150"/>
                </w:p>
              </w:tc>
              <w:tc>
                <w:tcPr>
                  <w:tcW w:w="483" w:type="pct"/>
                  <w:vAlign w:val="center"/>
                </w:tcPr>
                <w:p w14:paraId="4D818FC5">
                  <w:pPr>
                    <w:widowControl/>
                    <w:jc w:val="center"/>
                    <w:rPr>
                      <w:kern w:val="0"/>
                      <w:szCs w:val="21"/>
                    </w:rPr>
                  </w:pPr>
                  <w:r>
                    <w:rPr>
                      <w:snapToGrid w:val="0"/>
                      <w:szCs w:val="21"/>
                    </w:rPr>
                    <w:t>t/a</w:t>
                  </w:r>
                </w:p>
              </w:tc>
              <w:tc>
                <w:tcPr>
                  <w:tcW w:w="1080" w:type="pct"/>
                  <w:vAlign w:val="center"/>
                </w:tcPr>
                <w:p w14:paraId="098AF4AC">
                  <w:pPr>
                    <w:widowControl/>
                    <w:jc w:val="center"/>
                    <w:rPr>
                      <w:kern w:val="0"/>
                      <w:szCs w:val="21"/>
                    </w:rPr>
                  </w:pPr>
                  <w:r>
                    <w:rPr>
                      <w:rFonts w:hint="eastAsia"/>
                      <w:kern w:val="0"/>
                      <w:szCs w:val="21"/>
                    </w:rPr>
                    <w:t>0.8</w:t>
                  </w:r>
                </w:p>
              </w:tc>
              <w:tc>
                <w:tcPr>
                  <w:tcW w:w="815" w:type="pct"/>
                  <w:vAlign w:val="center"/>
                </w:tcPr>
                <w:p w14:paraId="4868A0EB">
                  <w:pPr>
                    <w:widowControl/>
                    <w:jc w:val="center"/>
                    <w:rPr>
                      <w:kern w:val="0"/>
                      <w:szCs w:val="21"/>
                    </w:rPr>
                  </w:pPr>
                  <w:r>
                    <w:rPr>
                      <w:kern w:val="0"/>
                      <w:szCs w:val="21"/>
                    </w:rPr>
                    <w:t>液体</w:t>
                  </w:r>
                </w:p>
              </w:tc>
              <w:tc>
                <w:tcPr>
                  <w:tcW w:w="1232" w:type="pct"/>
                  <w:vAlign w:val="center"/>
                </w:tcPr>
                <w:p w14:paraId="29BDCB68">
                  <w:pPr>
                    <w:widowControl/>
                    <w:jc w:val="center"/>
                    <w:rPr>
                      <w:kern w:val="0"/>
                      <w:szCs w:val="21"/>
                    </w:rPr>
                  </w:pPr>
                  <w:r>
                    <w:rPr>
                      <w:snapToGrid w:val="0"/>
                      <w:szCs w:val="21"/>
                    </w:rPr>
                    <w:t>桶装</w:t>
                  </w:r>
                  <w:r>
                    <w:rPr>
                      <w:kern w:val="0"/>
                      <w:szCs w:val="21"/>
                    </w:rPr>
                    <w:t>、</w:t>
                  </w:r>
                  <w:r>
                    <w:rPr>
                      <w:rFonts w:hint="eastAsia"/>
                      <w:kern w:val="0"/>
                      <w:szCs w:val="21"/>
                    </w:rPr>
                    <w:t>油类暂存区</w:t>
                  </w:r>
                  <w:r>
                    <w:rPr>
                      <w:kern w:val="0"/>
                      <w:szCs w:val="21"/>
                    </w:rPr>
                    <w:t>、</w:t>
                  </w:r>
                  <w:r>
                    <w:rPr>
                      <w:snapToGrid w:val="0"/>
                      <w:szCs w:val="21"/>
                    </w:rPr>
                    <w:t>180kg/桶，</w:t>
                  </w:r>
                  <w:r>
                    <w:rPr>
                      <w:kern w:val="0"/>
                      <w:szCs w:val="21"/>
                    </w:rPr>
                    <w:t>最大贮存</w:t>
                  </w:r>
                  <w:r>
                    <w:rPr>
                      <w:snapToGrid w:val="0"/>
                      <w:szCs w:val="21"/>
                    </w:rPr>
                    <w:t>0.</w:t>
                  </w:r>
                  <w:r>
                    <w:rPr>
                      <w:rFonts w:hint="eastAsia"/>
                      <w:snapToGrid w:val="0"/>
                      <w:szCs w:val="21"/>
                    </w:rPr>
                    <w:t>36</w:t>
                  </w:r>
                  <w:r>
                    <w:rPr>
                      <w:snapToGrid w:val="0"/>
                      <w:szCs w:val="21"/>
                    </w:rPr>
                    <w:t>t</w:t>
                  </w:r>
                </w:p>
              </w:tc>
            </w:tr>
          </w:tbl>
          <w:p w14:paraId="57D4CBF8">
            <w:pPr>
              <w:pStyle w:val="61"/>
              <w:snapToGrid w:val="0"/>
              <w:spacing w:line="360" w:lineRule="auto"/>
              <w:ind w:firstLine="422" w:firstLineChars="200"/>
              <w:rPr>
                <w:kern w:val="2"/>
                <w:szCs w:val="24"/>
              </w:rPr>
            </w:pPr>
            <w:r>
              <w:rPr>
                <w:rFonts w:hint="eastAsia"/>
                <w:b/>
                <w:kern w:val="2"/>
                <w:szCs w:val="24"/>
              </w:rPr>
              <w:t>塑粉</w:t>
            </w:r>
            <w:r>
              <w:rPr>
                <w:b/>
                <w:kern w:val="2"/>
                <w:szCs w:val="24"/>
              </w:rPr>
              <w:t>：</w:t>
            </w:r>
            <w:r>
              <w:rPr>
                <w:kern w:val="2"/>
                <w:szCs w:val="24"/>
              </w:rPr>
              <w:t>是热固性粉末涂料</w:t>
            </w:r>
            <w:r>
              <w:rPr>
                <w:rFonts w:hint="eastAsia"/>
                <w:kern w:val="2"/>
                <w:szCs w:val="24"/>
              </w:rPr>
              <w:t>，</w:t>
            </w:r>
            <w:r>
              <w:rPr>
                <w:kern w:val="2"/>
                <w:szCs w:val="24"/>
              </w:rPr>
              <w:t>其组分主要为聚酯树脂60%、填料（硫酸钡）33%、固化剂（异氰尿酸三缩水甘油酯）6%及颜料1%。其固化后具有良好的理化性能，对金属和非金属材料的表面具有优异的粘接强度，介电性良，对碱及大部分溶剂稳定等，被广泛用作浇注、浸渍、层压料、粘接剂、涂料等</w:t>
            </w:r>
            <w:r>
              <w:rPr>
                <w:rFonts w:hint="eastAsia"/>
                <w:kern w:val="2"/>
                <w:szCs w:val="24"/>
              </w:rPr>
              <w:t>。</w:t>
            </w:r>
          </w:p>
          <w:p w14:paraId="499048A3">
            <w:pPr>
              <w:pStyle w:val="61"/>
              <w:snapToGrid w:val="0"/>
              <w:spacing w:line="360" w:lineRule="auto"/>
              <w:ind w:firstLine="420" w:firstLineChars="200"/>
              <w:rPr>
                <w:kern w:val="2"/>
                <w:szCs w:val="24"/>
              </w:rPr>
            </w:pPr>
            <w:r>
              <w:rPr>
                <w:rFonts w:hint="eastAsia"/>
                <w:kern w:val="2"/>
                <w:szCs w:val="24"/>
              </w:rPr>
              <w:t>塑粉用量计算</w:t>
            </w:r>
            <w:r>
              <w:rPr>
                <w:kern w:val="2"/>
                <w:szCs w:val="24"/>
              </w:rPr>
              <w:t>：塑粉计算公式为：塑粉消耗量=涂膜厚度（μm）×面积（m</w:t>
            </w:r>
            <w:r>
              <w:rPr>
                <w:kern w:val="2"/>
                <w:szCs w:val="24"/>
                <w:vertAlign w:val="superscript"/>
              </w:rPr>
              <w:t>2</w:t>
            </w:r>
            <w:r>
              <w:rPr>
                <w:kern w:val="2"/>
                <w:szCs w:val="24"/>
              </w:rPr>
              <w:t>）×比重（kg/m</w:t>
            </w:r>
            <w:r>
              <w:rPr>
                <w:kern w:val="2"/>
                <w:szCs w:val="24"/>
                <w:vertAlign w:val="superscript"/>
              </w:rPr>
              <w:t>3</w:t>
            </w:r>
            <w:r>
              <w:rPr>
                <w:kern w:val="2"/>
                <w:szCs w:val="24"/>
              </w:rPr>
              <w:t>）/附着率×10</w:t>
            </w:r>
            <w:r>
              <w:rPr>
                <w:kern w:val="2"/>
                <w:szCs w:val="24"/>
                <w:vertAlign w:val="superscript"/>
              </w:rPr>
              <w:t>-</w:t>
            </w:r>
            <w:r>
              <w:rPr>
                <w:rFonts w:hint="eastAsia"/>
                <w:kern w:val="2"/>
                <w:szCs w:val="24"/>
                <w:vertAlign w:val="superscript"/>
              </w:rPr>
              <w:t>6</w:t>
            </w:r>
            <w:r>
              <w:rPr>
                <w:kern w:val="2"/>
                <w:szCs w:val="24"/>
              </w:rPr>
              <w:t>。根据企业提供资料，项目产品喷塑厚度约80μm，经查塑粉的密度</w:t>
            </w:r>
            <w:r>
              <w:rPr>
                <w:rFonts w:hint="eastAsia"/>
                <w:kern w:val="2"/>
                <w:szCs w:val="24"/>
              </w:rPr>
              <w:t>为1.2-1.9g/cm</w:t>
            </w:r>
            <w:r>
              <w:rPr>
                <w:rFonts w:hint="eastAsia"/>
                <w:kern w:val="2"/>
                <w:szCs w:val="24"/>
                <w:vertAlign w:val="superscript"/>
              </w:rPr>
              <w:t>3</w:t>
            </w:r>
            <w:r>
              <w:rPr>
                <w:rFonts w:hint="eastAsia"/>
                <w:kern w:val="2"/>
                <w:szCs w:val="24"/>
              </w:rPr>
              <w:t>，本次按照1</w:t>
            </w:r>
            <w:r>
              <w:rPr>
                <w:kern w:val="2"/>
                <w:szCs w:val="24"/>
              </w:rPr>
              <w:t>5</w:t>
            </w:r>
            <w:r>
              <w:rPr>
                <w:rFonts w:hint="eastAsia"/>
                <w:kern w:val="2"/>
                <w:szCs w:val="24"/>
              </w:rPr>
              <w:t>00kg/m</w:t>
            </w:r>
            <w:r>
              <w:rPr>
                <w:rFonts w:hint="eastAsia"/>
                <w:kern w:val="2"/>
                <w:szCs w:val="24"/>
                <w:vertAlign w:val="superscript"/>
              </w:rPr>
              <w:t>3</w:t>
            </w:r>
            <w:r>
              <w:rPr>
                <w:rFonts w:hint="eastAsia"/>
                <w:kern w:val="2"/>
                <w:szCs w:val="24"/>
              </w:rPr>
              <w:t>（1.</w:t>
            </w:r>
            <w:r>
              <w:rPr>
                <w:kern w:val="2"/>
                <w:szCs w:val="24"/>
              </w:rPr>
              <w:t>5</w:t>
            </w:r>
            <w:r>
              <w:rPr>
                <w:rFonts w:hint="eastAsia"/>
                <w:kern w:val="2"/>
                <w:szCs w:val="24"/>
              </w:rPr>
              <w:t>g/cm</w:t>
            </w:r>
            <w:r>
              <w:rPr>
                <w:rFonts w:hint="eastAsia"/>
                <w:kern w:val="2"/>
                <w:szCs w:val="24"/>
                <w:vertAlign w:val="superscript"/>
              </w:rPr>
              <w:t>3</w:t>
            </w:r>
            <w:r>
              <w:rPr>
                <w:rFonts w:hint="eastAsia"/>
                <w:kern w:val="2"/>
                <w:szCs w:val="24"/>
              </w:rPr>
              <w:t>）计算，本次附着率参考《污染源源强核算技术指南汽车制造》（HJ1097—2020），粉末喷涂-静电喷涂-零部件喷涂粉末涂料附着率为65%，根据建设单位提供的产品技术参数，本项目需喷塑8000套压力容器，压力容器为圆柱形，底面直径约</w:t>
            </w:r>
            <w:r>
              <w:rPr>
                <w:kern w:val="2"/>
                <w:szCs w:val="24"/>
              </w:rPr>
              <w:t>2</w:t>
            </w:r>
            <w:r>
              <w:rPr>
                <w:rFonts w:hint="eastAsia"/>
                <w:kern w:val="2"/>
                <w:szCs w:val="24"/>
              </w:rPr>
              <w:t>m，高约</w:t>
            </w:r>
            <w:r>
              <w:rPr>
                <w:kern w:val="2"/>
                <w:szCs w:val="24"/>
              </w:rPr>
              <w:t>4</w:t>
            </w:r>
            <w:r>
              <w:rPr>
                <w:rFonts w:hint="eastAsia"/>
                <w:kern w:val="2"/>
                <w:szCs w:val="24"/>
              </w:rPr>
              <w:t>.23m，每套压力容器涂装面积约为</w:t>
            </w:r>
            <w:r>
              <w:rPr>
                <w:kern w:val="2"/>
                <w:szCs w:val="24"/>
              </w:rPr>
              <w:t>32.84</w:t>
            </w:r>
            <w:r>
              <w:rPr>
                <w:rFonts w:hint="eastAsia"/>
                <w:kern w:val="2"/>
                <w:szCs w:val="24"/>
              </w:rPr>
              <w:t>m</w:t>
            </w:r>
            <w:r>
              <w:rPr>
                <w:rFonts w:hint="eastAsia"/>
                <w:kern w:val="2"/>
                <w:szCs w:val="24"/>
                <w:vertAlign w:val="superscript"/>
              </w:rPr>
              <w:t>2</w:t>
            </w:r>
            <w:r>
              <w:rPr>
                <w:rFonts w:hint="eastAsia"/>
                <w:kern w:val="2"/>
                <w:szCs w:val="24"/>
              </w:rPr>
              <w:t>。项目喷塑压力容器总涂装面积为</w:t>
            </w:r>
            <w:r>
              <w:rPr>
                <w:kern w:val="2"/>
                <w:szCs w:val="24"/>
              </w:rPr>
              <w:t>262720</w:t>
            </w:r>
            <w:r>
              <w:rPr>
                <w:rFonts w:hint="eastAsia"/>
                <w:kern w:val="2"/>
                <w:szCs w:val="24"/>
              </w:rPr>
              <w:t>m</w:t>
            </w:r>
            <w:r>
              <w:rPr>
                <w:rFonts w:hint="eastAsia"/>
                <w:kern w:val="2"/>
                <w:szCs w:val="24"/>
                <w:vertAlign w:val="superscript"/>
              </w:rPr>
              <w:t>2</w:t>
            </w:r>
            <w:r>
              <w:rPr>
                <w:rFonts w:hint="eastAsia"/>
                <w:kern w:val="2"/>
                <w:szCs w:val="24"/>
              </w:rPr>
              <w:t>/a。根据计算，喷塑室塑粉用量约</w:t>
            </w:r>
            <w:r>
              <w:rPr>
                <w:kern w:val="2"/>
                <w:szCs w:val="24"/>
              </w:rPr>
              <w:t>48.5</w:t>
            </w:r>
            <w:r>
              <w:rPr>
                <w:rFonts w:hint="eastAsia"/>
                <w:kern w:val="2"/>
                <w:szCs w:val="24"/>
              </w:rPr>
              <w:t>t/a。</w:t>
            </w:r>
          </w:p>
          <w:p w14:paraId="0849CEA3">
            <w:pPr>
              <w:spacing w:line="360" w:lineRule="auto"/>
              <w:ind w:firstLine="482" w:firstLineChars="200"/>
              <w:rPr>
                <w:b/>
                <w:bCs/>
                <w:sz w:val="24"/>
              </w:rPr>
            </w:pPr>
            <w:r>
              <w:rPr>
                <w:rFonts w:hint="eastAsia"/>
                <w:b/>
                <w:bCs/>
                <w:sz w:val="24"/>
              </w:rPr>
              <w:t>五</w:t>
            </w:r>
            <w:r>
              <w:rPr>
                <w:b/>
                <w:bCs/>
                <w:sz w:val="24"/>
              </w:rPr>
              <w:t>、组织定员</w:t>
            </w:r>
          </w:p>
          <w:p w14:paraId="458C2D6B">
            <w:pPr>
              <w:spacing w:line="360" w:lineRule="auto"/>
              <w:ind w:firstLine="480" w:firstLineChars="200"/>
              <w:rPr>
                <w:sz w:val="24"/>
              </w:rPr>
            </w:pPr>
            <w:r>
              <w:rPr>
                <w:sz w:val="24"/>
              </w:rPr>
              <w:t>职工人数：项目</w:t>
            </w:r>
            <w:r>
              <w:rPr>
                <w:rFonts w:hint="eastAsia"/>
                <w:sz w:val="24"/>
              </w:rPr>
              <w:t>新增</w:t>
            </w:r>
            <w:r>
              <w:rPr>
                <w:sz w:val="24"/>
              </w:rPr>
              <w:t>劳动定员</w:t>
            </w:r>
            <w:r>
              <w:rPr>
                <w:rFonts w:hint="eastAsia"/>
                <w:sz w:val="24"/>
              </w:rPr>
              <w:t>50</w:t>
            </w:r>
            <w:r>
              <w:rPr>
                <w:sz w:val="24"/>
              </w:rPr>
              <w:t>人。</w:t>
            </w:r>
          </w:p>
          <w:p w14:paraId="02405849">
            <w:pPr>
              <w:spacing w:line="360" w:lineRule="auto"/>
              <w:ind w:firstLine="480" w:firstLineChars="200"/>
              <w:rPr>
                <w:sz w:val="24"/>
              </w:rPr>
            </w:pPr>
            <w:r>
              <w:rPr>
                <w:sz w:val="24"/>
              </w:rPr>
              <w:t>工作制度：全厂采用一班工作制，每班工作8小时，全年工作天数为300天，夜间不生产。</w:t>
            </w:r>
          </w:p>
          <w:p w14:paraId="0294B50F">
            <w:pPr>
              <w:spacing w:line="360" w:lineRule="auto"/>
              <w:ind w:firstLine="482" w:firstLineChars="200"/>
              <w:rPr>
                <w:b/>
                <w:bCs/>
                <w:sz w:val="24"/>
              </w:rPr>
            </w:pPr>
            <w:r>
              <w:rPr>
                <w:rFonts w:hint="eastAsia"/>
                <w:b/>
                <w:bCs/>
                <w:sz w:val="24"/>
              </w:rPr>
              <w:t>六</w:t>
            </w:r>
            <w:r>
              <w:rPr>
                <w:b/>
                <w:bCs/>
                <w:sz w:val="24"/>
              </w:rPr>
              <w:t>、公用工程</w:t>
            </w:r>
          </w:p>
          <w:p w14:paraId="6F698B3B">
            <w:pPr>
              <w:spacing w:line="360" w:lineRule="auto"/>
              <w:ind w:firstLine="480"/>
              <w:rPr>
                <w:b/>
                <w:sz w:val="24"/>
              </w:rPr>
            </w:pPr>
            <w:r>
              <w:rPr>
                <w:b/>
                <w:sz w:val="24"/>
              </w:rPr>
              <w:t>1、给排水</w:t>
            </w:r>
          </w:p>
          <w:p w14:paraId="7113D662">
            <w:pPr>
              <w:adjustRightInd w:val="0"/>
              <w:snapToGrid w:val="0"/>
              <w:spacing w:line="360" w:lineRule="auto"/>
              <w:ind w:firstLine="482" w:firstLineChars="200"/>
              <w:rPr>
                <w:sz w:val="24"/>
              </w:rPr>
            </w:pPr>
            <w:r>
              <w:rPr>
                <w:b/>
                <w:sz w:val="24"/>
                <w:szCs w:val="22"/>
              </w:rPr>
              <w:t>给水</w:t>
            </w:r>
            <w:r>
              <w:rPr>
                <w:sz w:val="24"/>
                <w:szCs w:val="22"/>
              </w:rPr>
              <w:t>：</w:t>
            </w:r>
            <w:r>
              <w:rPr>
                <w:rFonts w:hint="eastAsia"/>
                <w:sz w:val="24"/>
                <w:szCs w:val="22"/>
              </w:rPr>
              <w:t>本项目压力容器需要试压，采用空气试压法，不使用水，</w:t>
            </w:r>
            <w:r>
              <w:rPr>
                <w:sz w:val="24"/>
              </w:rPr>
              <w:t>本项目用水主要为</w:t>
            </w:r>
            <w:r>
              <w:rPr>
                <w:rFonts w:hint="eastAsia"/>
                <w:sz w:val="24"/>
              </w:rPr>
              <w:t>新增</w:t>
            </w:r>
            <w:r>
              <w:rPr>
                <w:sz w:val="24"/>
              </w:rPr>
              <w:t>职工生活用水，使用新鲜水，由梁山经济开发区自来水管网提供，其水质、水压、水量能够满足本项目的要求。</w:t>
            </w:r>
          </w:p>
          <w:p w14:paraId="0ED838E4">
            <w:pPr>
              <w:adjustRightInd w:val="0"/>
              <w:snapToGrid w:val="0"/>
              <w:spacing w:line="360" w:lineRule="auto"/>
              <w:ind w:firstLine="480" w:firstLineChars="200"/>
              <w:rPr>
                <w:sz w:val="24"/>
              </w:rPr>
            </w:pPr>
            <w:r>
              <w:rPr>
                <w:rFonts w:hint="eastAsia"/>
                <w:sz w:val="24"/>
              </w:rPr>
              <w:t>根据《建设项目环境影响报告表 污染影响类》编制指南，产生工业废水的建设项目应开展水平衡分析，本项目不涉及工业废水的产生，因此无需设置水平衡。</w:t>
            </w:r>
          </w:p>
          <w:p w14:paraId="77CCADEC">
            <w:pPr>
              <w:adjustRightInd w:val="0"/>
              <w:snapToGrid w:val="0"/>
              <w:spacing w:line="360" w:lineRule="auto"/>
              <w:ind w:firstLine="480" w:firstLineChars="200"/>
              <w:rPr>
                <w:bCs/>
                <w:sz w:val="24"/>
              </w:rPr>
            </w:pPr>
            <w:r>
              <w:rPr>
                <w:rFonts w:hint="eastAsia" w:ascii="宋体" w:hAnsi="宋体" w:cs="宋体"/>
                <w:sz w:val="24"/>
              </w:rPr>
              <w:t>新增</w:t>
            </w:r>
            <w:r>
              <w:rPr>
                <w:sz w:val="24"/>
              </w:rPr>
              <w:t>生活用水：项目劳动定员为</w:t>
            </w:r>
            <w:r>
              <w:rPr>
                <w:rFonts w:hint="eastAsia"/>
                <w:sz w:val="24"/>
              </w:rPr>
              <w:t>50</w:t>
            </w:r>
            <w:r>
              <w:rPr>
                <w:sz w:val="24"/>
              </w:rPr>
              <w:t>人，根据《建筑给水排水设计规范》的要求进行设计，按每人每天40L计算，则用水量为</w:t>
            </w:r>
            <w:r>
              <w:rPr>
                <w:rFonts w:hint="eastAsia"/>
                <w:sz w:val="24"/>
              </w:rPr>
              <w:t>600</w:t>
            </w:r>
            <w:r>
              <w:rPr>
                <w:sz w:val="24"/>
              </w:rPr>
              <w:t>m</w:t>
            </w:r>
            <w:r>
              <w:rPr>
                <w:sz w:val="24"/>
                <w:vertAlign w:val="superscript"/>
              </w:rPr>
              <w:t>3</w:t>
            </w:r>
            <w:r>
              <w:rPr>
                <w:sz w:val="24"/>
              </w:rPr>
              <w:t>/a</w:t>
            </w:r>
            <w:r>
              <w:rPr>
                <w:bCs/>
                <w:sz w:val="24"/>
              </w:rPr>
              <w:t>。</w:t>
            </w:r>
          </w:p>
          <w:p w14:paraId="42655210">
            <w:pPr>
              <w:spacing w:line="360" w:lineRule="auto"/>
              <w:ind w:firstLine="480"/>
              <w:rPr>
                <w:sz w:val="24"/>
              </w:rPr>
            </w:pPr>
            <w:r>
              <w:rPr>
                <w:b/>
                <w:sz w:val="24"/>
              </w:rPr>
              <w:t>排水：</w:t>
            </w:r>
            <w:r>
              <w:rPr>
                <w:sz w:val="24"/>
              </w:rPr>
              <w:t>本项目排水采取雨污分流，雨水由厂区雨水管网收集后，就近排入道路排水沟内。</w:t>
            </w:r>
          </w:p>
          <w:p w14:paraId="03836BD9">
            <w:pPr>
              <w:spacing w:line="360" w:lineRule="auto"/>
              <w:ind w:firstLine="480"/>
              <w:rPr>
                <w:sz w:val="24"/>
              </w:rPr>
            </w:pPr>
            <w:r>
              <w:rPr>
                <w:sz w:val="24"/>
              </w:rPr>
              <w:t>生活污水产生量按生活用水量的80%计，则污水产生量为</w:t>
            </w:r>
            <w:r>
              <w:rPr>
                <w:rFonts w:hint="eastAsia"/>
                <w:sz w:val="24"/>
              </w:rPr>
              <w:t>480</w:t>
            </w:r>
            <w:r>
              <w:rPr>
                <w:sz w:val="24"/>
              </w:rPr>
              <w:t>m</w:t>
            </w:r>
            <w:r>
              <w:rPr>
                <w:sz w:val="24"/>
                <w:vertAlign w:val="superscript"/>
              </w:rPr>
              <w:t>3</w:t>
            </w:r>
            <w:r>
              <w:rPr>
                <w:sz w:val="24"/>
              </w:rPr>
              <w:t>/a，生活污水经化粪池处理后由环卫部门定期清运。</w:t>
            </w:r>
          </w:p>
          <w:p w14:paraId="3E573569">
            <w:pPr>
              <w:spacing w:line="360" w:lineRule="auto"/>
              <w:ind w:firstLine="482" w:firstLineChars="200"/>
              <w:jc w:val="left"/>
              <w:rPr>
                <w:b/>
                <w:sz w:val="24"/>
              </w:rPr>
            </w:pPr>
            <w:r>
              <w:rPr>
                <w:b/>
                <w:sz w:val="24"/>
              </w:rPr>
              <w:t>2、供电</w:t>
            </w:r>
          </w:p>
          <w:p w14:paraId="675DD7E6">
            <w:pPr>
              <w:spacing w:line="360" w:lineRule="auto"/>
              <w:ind w:firstLine="480" w:firstLineChars="200"/>
              <w:rPr>
                <w:sz w:val="24"/>
              </w:rPr>
            </w:pPr>
            <w:r>
              <w:rPr>
                <w:sz w:val="24"/>
              </w:rPr>
              <w:t>该项目供电电源由梁山经济开发区供电系统提供，</w:t>
            </w:r>
            <w:r>
              <w:rPr>
                <w:rFonts w:hint="eastAsia"/>
                <w:sz w:val="24"/>
              </w:rPr>
              <w:t>新增</w:t>
            </w:r>
            <w:r>
              <w:rPr>
                <w:sz w:val="24"/>
              </w:rPr>
              <w:t>用电量为270万kWh/a。</w:t>
            </w:r>
          </w:p>
          <w:p w14:paraId="0192D33F">
            <w:pPr>
              <w:spacing w:line="360" w:lineRule="auto"/>
              <w:ind w:firstLine="482" w:firstLineChars="200"/>
              <w:rPr>
                <w:b/>
                <w:sz w:val="24"/>
              </w:rPr>
            </w:pPr>
            <w:r>
              <w:rPr>
                <w:b/>
                <w:sz w:val="24"/>
              </w:rPr>
              <w:t>3、供热</w:t>
            </w:r>
          </w:p>
          <w:p w14:paraId="7EAEED1E">
            <w:pPr>
              <w:spacing w:line="360" w:lineRule="auto"/>
              <w:ind w:firstLine="480" w:firstLineChars="200"/>
              <w:rPr>
                <w:sz w:val="24"/>
              </w:rPr>
            </w:pPr>
            <w:r>
              <w:rPr>
                <w:sz w:val="24"/>
              </w:rPr>
              <w:t>项目冬季办公取暖采用电加热空调</w:t>
            </w:r>
            <w:r>
              <w:rPr>
                <w:rFonts w:hint="eastAsia"/>
                <w:sz w:val="24"/>
              </w:rPr>
              <w:t>，固化工序采用电加热</w:t>
            </w:r>
            <w:r>
              <w:rPr>
                <w:sz w:val="24"/>
              </w:rPr>
              <w:t>。</w:t>
            </w:r>
          </w:p>
          <w:p w14:paraId="51E3F92C">
            <w:pPr>
              <w:spacing w:line="360" w:lineRule="auto"/>
              <w:ind w:firstLine="482" w:firstLineChars="200"/>
              <w:rPr>
                <w:b/>
                <w:bCs/>
                <w:sz w:val="24"/>
              </w:rPr>
            </w:pPr>
            <w:r>
              <w:rPr>
                <w:rFonts w:hint="eastAsia"/>
                <w:b/>
                <w:bCs/>
                <w:sz w:val="24"/>
              </w:rPr>
              <w:t>七</w:t>
            </w:r>
            <w:r>
              <w:rPr>
                <w:b/>
                <w:bCs/>
                <w:sz w:val="24"/>
              </w:rPr>
              <w:t>、环保投资</w:t>
            </w:r>
          </w:p>
          <w:p w14:paraId="40F6193C">
            <w:pPr>
              <w:adjustRightInd w:val="0"/>
              <w:snapToGrid w:val="0"/>
              <w:spacing w:line="360" w:lineRule="auto"/>
              <w:ind w:firstLine="480" w:firstLineChars="200"/>
              <w:rPr>
                <w:sz w:val="24"/>
              </w:rPr>
            </w:pPr>
            <w:r>
              <w:rPr>
                <w:sz w:val="24"/>
              </w:rPr>
              <w:t>项目总投资30000万元，环保投资为48万元，占总投资的0.16%。项目环保投资见表19。</w:t>
            </w:r>
          </w:p>
          <w:p w14:paraId="32369CC1">
            <w:pPr>
              <w:adjustRightInd w:val="0"/>
              <w:snapToGrid w:val="0"/>
              <w:spacing w:after="120" w:afterLines="50"/>
              <w:ind w:firstLine="482" w:firstLineChars="200"/>
              <w:jc w:val="center"/>
              <w:rPr>
                <w:sz w:val="24"/>
              </w:rPr>
            </w:pPr>
            <w:r>
              <w:rPr>
                <w:b/>
                <w:kern w:val="0"/>
                <w:sz w:val="24"/>
              </w:rPr>
              <w:t xml:space="preserve">表19 </w:t>
            </w:r>
            <w:r>
              <w:rPr>
                <w:b/>
                <w:bCs/>
                <w:sz w:val="24"/>
              </w:rPr>
              <w:t>项目环保投资一览表</w:t>
            </w:r>
          </w:p>
          <w:tbl>
            <w:tblPr>
              <w:tblStyle w:val="25"/>
              <w:tblpPr w:leftFromText="181" w:rightFromText="181" w:bottomFromText="113" w:vertAnchor="text" w:tblpY="1"/>
              <w:tblOverlap w:val="never"/>
              <w:tblW w:w="4974"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15"/>
              <w:gridCol w:w="1329"/>
              <w:gridCol w:w="1815"/>
              <w:gridCol w:w="3351"/>
              <w:gridCol w:w="1405"/>
            </w:tblGrid>
            <w:tr w14:paraId="3EF00E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Align w:val="center"/>
                </w:tcPr>
                <w:p w14:paraId="64B252D7">
                  <w:pPr>
                    <w:jc w:val="center"/>
                    <w:rPr>
                      <w:b/>
                      <w:szCs w:val="21"/>
                    </w:rPr>
                  </w:pPr>
                  <w:r>
                    <w:rPr>
                      <w:b/>
                      <w:szCs w:val="21"/>
                    </w:rPr>
                    <w:t>类型</w:t>
                  </w:r>
                </w:p>
              </w:tc>
              <w:tc>
                <w:tcPr>
                  <w:tcW w:w="3010" w:type="dxa"/>
                  <w:gridSpan w:val="2"/>
                  <w:tcBorders>
                    <w:bottom w:val="single" w:color="auto" w:sz="4" w:space="0"/>
                  </w:tcBorders>
                  <w:vAlign w:val="center"/>
                </w:tcPr>
                <w:p w14:paraId="543B78C6">
                  <w:pPr>
                    <w:jc w:val="center"/>
                    <w:rPr>
                      <w:b/>
                      <w:szCs w:val="21"/>
                    </w:rPr>
                  </w:pPr>
                  <w:r>
                    <w:rPr>
                      <w:b/>
                      <w:szCs w:val="21"/>
                    </w:rPr>
                    <w:t>污染物</w:t>
                  </w:r>
                </w:p>
              </w:tc>
              <w:tc>
                <w:tcPr>
                  <w:tcW w:w="3208" w:type="dxa"/>
                  <w:tcBorders>
                    <w:bottom w:val="single" w:color="auto" w:sz="4" w:space="0"/>
                  </w:tcBorders>
                  <w:vAlign w:val="center"/>
                </w:tcPr>
                <w:p w14:paraId="305A15FB">
                  <w:pPr>
                    <w:jc w:val="center"/>
                    <w:rPr>
                      <w:b/>
                      <w:szCs w:val="21"/>
                    </w:rPr>
                  </w:pPr>
                  <w:r>
                    <w:rPr>
                      <w:b/>
                      <w:szCs w:val="21"/>
                    </w:rPr>
                    <w:t>环保措施</w:t>
                  </w:r>
                </w:p>
              </w:tc>
              <w:tc>
                <w:tcPr>
                  <w:tcW w:w="1345" w:type="dxa"/>
                  <w:tcBorders>
                    <w:bottom w:val="single" w:color="auto" w:sz="4" w:space="0"/>
                  </w:tcBorders>
                  <w:vAlign w:val="center"/>
                </w:tcPr>
                <w:p w14:paraId="587DA141">
                  <w:pPr>
                    <w:jc w:val="center"/>
                    <w:rPr>
                      <w:b/>
                      <w:szCs w:val="21"/>
                    </w:rPr>
                  </w:pPr>
                  <w:r>
                    <w:rPr>
                      <w:b/>
                      <w:szCs w:val="21"/>
                    </w:rPr>
                    <w:t>环保投资(万元)</w:t>
                  </w:r>
                </w:p>
              </w:tc>
            </w:tr>
            <w:tr w14:paraId="1ADC25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71" w:type="dxa"/>
                  <w:vMerge w:val="restart"/>
                  <w:vAlign w:val="center"/>
                </w:tcPr>
                <w:p w14:paraId="39BC5CF8">
                  <w:pPr>
                    <w:jc w:val="center"/>
                    <w:rPr>
                      <w:szCs w:val="21"/>
                    </w:rPr>
                  </w:pPr>
                  <w:bookmarkStart w:id="151" w:name="_Hlk191109923"/>
                  <w:r>
                    <w:rPr>
                      <w:szCs w:val="21"/>
                    </w:rPr>
                    <w:t>废气</w:t>
                  </w:r>
                </w:p>
              </w:tc>
              <w:tc>
                <w:tcPr>
                  <w:tcW w:w="1255" w:type="dxa"/>
                  <w:tcBorders>
                    <w:right w:val="single" w:color="auto" w:sz="4" w:space="0"/>
                  </w:tcBorders>
                  <w:vAlign w:val="center"/>
                </w:tcPr>
                <w:p w14:paraId="43259741">
                  <w:pPr>
                    <w:jc w:val="center"/>
                    <w:rPr>
                      <w:szCs w:val="21"/>
                    </w:rPr>
                  </w:pPr>
                  <w:r>
                    <w:rPr>
                      <w:szCs w:val="21"/>
                    </w:rPr>
                    <w:t>切割、</w:t>
                  </w:r>
                  <w:r>
                    <w:rPr>
                      <w:rFonts w:hint="eastAsia"/>
                      <w:szCs w:val="21"/>
                    </w:rPr>
                    <w:t>焊接、抛</w:t>
                  </w:r>
                  <w:r>
                    <w:rPr>
                      <w:szCs w:val="21"/>
                    </w:rPr>
                    <w:t>光工序</w:t>
                  </w:r>
                </w:p>
              </w:tc>
              <w:tc>
                <w:tcPr>
                  <w:tcW w:w="1715" w:type="dxa"/>
                  <w:tcBorders>
                    <w:left w:val="single" w:color="auto" w:sz="4" w:space="0"/>
                  </w:tcBorders>
                  <w:vAlign w:val="center"/>
                </w:tcPr>
                <w:p w14:paraId="3A5E3704">
                  <w:pPr>
                    <w:jc w:val="center"/>
                    <w:rPr>
                      <w:szCs w:val="21"/>
                    </w:rPr>
                  </w:pPr>
                  <w:r>
                    <w:rPr>
                      <w:szCs w:val="21"/>
                    </w:rPr>
                    <w:t>颗粒物</w:t>
                  </w:r>
                </w:p>
              </w:tc>
              <w:tc>
                <w:tcPr>
                  <w:tcW w:w="3165" w:type="dxa"/>
                  <w:vAlign w:val="center"/>
                </w:tcPr>
                <w:p w14:paraId="2F89EC31">
                  <w:pPr>
                    <w:jc w:val="center"/>
                    <w:rPr>
                      <w:szCs w:val="21"/>
                    </w:rPr>
                  </w:pPr>
                  <w:r>
                    <w:rPr>
                      <w:rFonts w:hint="eastAsia"/>
                      <w:bCs/>
                      <w:szCs w:val="21"/>
                    </w:rPr>
                    <w:t>集气罩</w:t>
                  </w:r>
                  <w:bookmarkStart w:id="152" w:name="OLE_LINK82"/>
                  <w:bookmarkStart w:id="153" w:name="OLE_LINK83"/>
                  <w:r>
                    <w:rPr>
                      <w:bCs/>
                      <w:szCs w:val="21"/>
                    </w:rPr>
                    <w:t>+</w:t>
                  </w:r>
                  <w:r>
                    <w:rPr>
                      <w:rFonts w:hint="eastAsia"/>
                      <w:bCs/>
                      <w:szCs w:val="21"/>
                    </w:rPr>
                    <w:t>布袋除尘器+</w:t>
                  </w:r>
                  <w:r>
                    <w:rPr>
                      <w:bCs/>
                      <w:szCs w:val="21"/>
                    </w:rPr>
                    <w:t>15m</w:t>
                  </w:r>
                  <w:r>
                    <w:rPr>
                      <w:rFonts w:hint="eastAsia"/>
                      <w:bCs/>
                      <w:szCs w:val="21"/>
                    </w:rPr>
                    <w:t>排气筒</w:t>
                  </w:r>
                  <w:r>
                    <w:rPr>
                      <w:szCs w:val="21"/>
                    </w:rPr>
                    <w:t xml:space="preserve"> </w:t>
                  </w:r>
                  <w:bookmarkEnd w:id="152"/>
                  <w:bookmarkEnd w:id="153"/>
                </w:p>
              </w:tc>
              <w:tc>
                <w:tcPr>
                  <w:tcW w:w="1327" w:type="dxa"/>
                  <w:vAlign w:val="center"/>
                </w:tcPr>
                <w:p w14:paraId="7960DD89">
                  <w:pPr>
                    <w:jc w:val="center"/>
                    <w:rPr>
                      <w:szCs w:val="21"/>
                    </w:rPr>
                  </w:pPr>
                  <w:r>
                    <w:rPr>
                      <w:szCs w:val="21"/>
                    </w:rPr>
                    <w:t>20</w:t>
                  </w:r>
                </w:p>
              </w:tc>
            </w:tr>
            <w:tr w14:paraId="368236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71" w:type="dxa"/>
                  <w:vMerge w:val="continue"/>
                  <w:vAlign w:val="center"/>
                </w:tcPr>
                <w:p w14:paraId="29104500">
                  <w:pPr>
                    <w:jc w:val="center"/>
                    <w:rPr>
                      <w:szCs w:val="21"/>
                    </w:rPr>
                  </w:pPr>
                </w:p>
              </w:tc>
              <w:tc>
                <w:tcPr>
                  <w:tcW w:w="1255" w:type="dxa"/>
                  <w:tcBorders>
                    <w:right w:val="single" w:color="auto" w:sz="4" w:space="0"/>
                  </w:tcBorders>
                  <w:vAlign w:val="center"/>
                </w:tcPr>
                <w:p w14:paraId="22C82303">
                  <w:pPr>
                    <w:jc w:val="center"/>
                    <w:rPr>
                      <w:szCs w:val="21"/>
                    </w:rPr>
                  </w:pPr>
                  <w:r>
                    <w:rPr>
                      <w:szCs w:val="21"/>
                    </w:rPr>
                    <w:t>喷塑工序</w:t>
                  </w:r>
                </w:p>
              </w:tc>
              <w:tc>
                <w:tcPr>
                  <w:tcW w:w="1715" w:type="dxa"/>
                  <w:tcBorders>
                    <w:left w:val="single" w:color="auto" w:sz="4" w:space="0"/>
                  </w:tcBorders>
                  <w:vAlign w:val="center"/>
                </w:tcPr>
                <w:p w14:paraId="7825F2A6">
                  <w:pPr>
                    <w:jc w:val="center"/>
                    <w:rPr>
                      <w:szCs w:val="21"/>
                    </w:rPr>
                  </w:pPr>
                  <w:r>
                    <w:rPr>
                      <w:szCs w:val="21"/>
                    </w:rPr>
                    <w:t>颗粒物</w:t>
                  </w:r>
                </w:p>
              </w:tc>
              <w:tc>
                <w:tcPr>
                  <w:tcW w:w="3165" w:type="dxa"/>
                  <w:vAlign w:val="center"/>
                </w:tcPr>
                <w:p w14:paraId="69BB9D97">
                  <w:pPr>
                    <w:jc w:val="center"/>
                    <w:rPr>
                      <w:bCs/>
                      <w:szCs w:val="21"/>
                    </w:rPr>
                  </w:pPr>
                  <w:r>
                    <w:rPr>
                      <w:rFonts w:hint="eastAsia"/>
                      <w:bCs/>
                      <w:szCs w:val="21"/>
                    </w:rPr>
                    <w:t>集气管道</w:t>
                  </w:r>
                  <w:r>
                    <w:rPr>
                      <w:bCs/>
                      <w:szCs w:val="21"/>
                    </w:rPr>
                    <w:t>+</w:t>
                  </w:r>
                  <w:r>
                    <w:rPr>
                      <w:rFonts w:hint="eastAsia"/>
                      <w:bCs/>
                      <w:szCs w:val="21"/>
                    </w:rPr>
                    <w:t>布袋除尘器+</w:t>
                  </w:r>
                  <w:r>
                    <w:rPr>
                      <w:bCs/>
                      <w:szCs w:val="21"/>
                    </w:rPr>
                    <w:t>15m</w:t>
                  </w:r>
                  <w:r>
                    <w:rPr>
                      <w:rFonts w:hint="eastAsia"/>
                      <w:bCs/>
                      <w:szCs w:val="21"/>
                    </w:rPr>
                    <w:t>排气筒</w:t>
                  </w:r>
                </w:p>
              </w:tc>
              <w:tc>
                <w:tcPr>
                  <w:tcW w:w="1327" w:type="dxa"/>
                  <w:vAlign w:val="center"/>
                </w:tcPr>
                <w:p w14:paraId="4B40F53C">
                  <w:pPr>
                    <w:jc w:val="center"/>
                    <w:rPr>
                      <w:szCs w:val="21"/>
                    </w:rPr>
                  </w:pPr>
                  <w:r>
                    <w:rPr>
                      <w:rFonts w:hint="eastAsia"/>
                      <w:szCs w:val="21"/>
                    </w:rPr>
                    <w:t>1</w:t>
                  </w:r>
                  <w:r>
                    <w:rPr>
                      <w:szCs w:val="21"/>
                    </w:rPr>
                    <w:t>0</w:t>
                  </w:r>
                </w:p>
              </w:tc>
            </w:tr>
            <w:tr w14:paraId="168957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Merge w:val="continue"/>
                  <w:vAlign w:val="center"/>
                </w:tcPr>
                <w:p w14:paraId="4320434B">
                  <w:pPr>
                    <w:jc w:val="center"/>
                    <w:rPr>
                      <w:szCs w:val="21"/>
                    </w:rPr>
                  </w:pPr>
                </w:p>
              </w:tc>
              <w:tc>
                <w:tcPr>
                  <w:tcW w:w="1272" w:type="dxa"/>
                  <w:tcBorders>
                    <w:right w:val="single" w:color="auto" w:sz="4" w:space="0"/>
                  </w:tcBorders>
                  <w:vAlign w:val="center"/>
                </w:tcPr>
                <w:p w14:paraId="27CCCC17">
                  <w:pPr>
                    <w:jc w:val="center"/>
                    <w:rPr>
                      <w:szCs w:val="21"/>
                    </w:rPr>
                  </w:pPr>
                  <w:r>
                    <w:rPr>
                      <w:szCs w:val="21"/>
                    </w:rPr>
                    <w:t>固化工序</w:t>
                  </w:r>
                </w:p>
              </w:tc>
              <w:tc>
                <w:tcPr>
                  <w:tcW w:w="1738" w:type="dxa"/>
                  <w:tcBorders>
                    <w:left w:val="single" w:color="auto" w:sz="4" w:space="0"/>
                  </w:tcBorders>
                  <w:vAlign w:val="center"/>
                </w:tcPr>
                <w:p w14:paraId="488332EE">
                  <w:pPr>
                    <w:jc w:val="center"/>
                    <w:rPr>
                      <w:szCs w:val="21"/>
                    </w:rPr>
                  </w:pPr>
                  <w:r>
                    <w:rPr>
                      <w:rFonts w:hint="eastAsia"/>
                      <w:szCs w:val="21"/>
                    </w:rPr>
                    <w:t>V</w:t>
                  </w:r>
                  <w:r>
                    <w:rPr>
                      <w:szCs w:val="21"/>
                    </w:rPr>
                    <w:t>OCs</w:t>
                  </w:r>
                </w:p>
              </w:tc>
              <w:tc>
                <w:tcPr>
                  <w:tcW w:w="3208" w:type="dxa"/>
                  <w:vAlign w:val="center"/>
                </w:tcPr>
                <w:p w14:paraId="5216E755">
                  <w:pPr>
                    <w:jc w:val="center"/>
                    <w:rPr>
                      <w:bCs/>
                      <w:szCs w:val="21"/>
                    </w:rPr>
                  </w:pPr>
                  <w:r>
                    <w:rPr>
                      <w:rFonts w:hint="eastAsia"/>
                      <w:bCs/>
                      <w:szCs w:val="21"/>
                    </w:rPr>
                    <w:t>集气罩+二级活性炭+</w:t>
                  </w:r>
                  <w:r>
                    <w:rPr>
                      <w:bCs/>
                      <w:szCs w:val="21"/>
                    </w:rPr>
                    <w:t>15m排气筒</w:t>
                  </w:r>
                </w:p>
              </w:tc>
              <w:tc>
                <w:tcPr>
                  <w:tcW w:w="1345" w:type="dxa"/>
                  <w:vAlign w:val="center"/>
                </w:tcPr>
                <w:p w14:paraId="49B4AD1C">
                  <w:pPr>
                    <w:jc w:val="center"/>
                    <w:rPr>
                      <w:szCs w:val="21"/>
                    </w:rPr>
                  </w:pPr>
                  <w:r>
                    <w:rPr>
                      <w:szCs w:val="21"/>
                    </w:rPr>
                    <w:t>10</w:t>
                  </w:r>
                </w:p>
              </w:tc>
            </w:tr>
            <w:tr w14:paraId="0BE017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Align w:val="center"/>
                </w:tcPr>
                <w:p w14:paraId="201D4EEF">
                  <w:pPr>
                    <w:jc w:val="center"/>
                    <w:rPr>
                      <w:szCs w:val="21"/>
                    </w:rPr>
                  </w:pPr>
                  <w:r>
                    <w:rPr>
                      <w:szCs w:val="21"/>
                    </w:rPr>
                    <w:t>废水</w:t>
                  </w:r>
                </w:p>
              </w:tc>
              <w:tc>
                <w:tcPr>
                  <w:tcW w:w="3010" w:type="dxa"/>
                  <w:gridSpan w:val="2"/>
                  <w:vAlign w:val="center"/>
                </w:tcPr>
                <w:p w14:paraId="4C4726D0">
                  <w:pPr>
                    <w:jc w:val="center"/>
                    <w:rPr>
                      <w:szCs w:val="21"/>
                    </w:rPr>
                  </w:pPr>
                  <w:r>
                    <w:rPr>
                      <w:szCs w:val="21"/>
                    </w:rPr>
                    <w:t>生活污水</w:t>
                  </w:r>
                </w:p>
              </w:tc>
              <w:tc>
                <w:tcPr>
                  <w:tcW w:w="3208" w:type="dxa"/>
                  <w:vAlign w:val="center"/>
                </w:tcPr>
                <w:p w14:paraId="74A17F56">
                  <w:pPr>
                    <w:jc w:val="center"/>
                    <w:rPr>
                      <w:szCs w:val="21"/>
                    </w:rPr>
                  </w:pPr>
                  <w:r>
                    <w:rPr>
                      <w:szCs w:val="21"/>
                    </w:rPr>
                    <w:t>化粪池</w:t>
                  </w:r>
                </w:p>
              </w:tc>
              <w:tc>
                <w:tcPr>
                  <w:tcW w:w="1345" w:type="dxa"/>
                  <w:vAlign w:val="center"/>
                </w:tcPr>
                <w:p w14:paraId="6DBBCC4D">
                  <w:pPr>
                    <w:jc w:val="center"/>
                    <w:rPr>
                      <w:szCs w:val="21"/>
                    </w:rPr>
                  </w:pPr>
                  <w:r>
                    <w:rPr>
                      <w:rFonts w:hint="eastAsia"/>
                      <w:szCs w:val="21"/>
                    </w:rPr>
                    <w:t>1</w:t>
                  </w:r>
                </w:p>
              </w:tc>
            </w:tr>
            <w:tr w14:paraId="2D8680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Merge w:val="restart"/>
                  <w:vAlign w:val="center"/>
                </w:tcPr>
                <w:p w14:paraId="590B8792">
                  <w:pPr>
                    <w:jc w:val="center"/>
                    <w:rPr>
                      <w:szCs w:val="21"/>
                    </w:rPr>
                  </w:pPr>
                  <w:r>
                    <w:rPr>
                      <w:szCs w:val="21"/>
                    </w:rPr>
                    <w:t>固废</w:t>
                  </w:r>
                </w:p>
              </w:tc>
              <w:tc>
                <w:tcPr>
                  <w:tcW w:w="3010" w:type="dxa"/>
                  <w:gridSpan w:val="2"/>
                  <w:vAlign w:val="center"/>
                </w:tcPr>
                <w:p w14:paraId="69E49655">
                  <w:pPr>
                    <w:jc w:val="center"/>
                    <w:rPr>
                      <w:szCs w:val="21"/>
                    </w:rPr>
                  </w:pPr>
                  <w:r>
                    <w:rPr>
                      <w:szCs w:val="21"/>
                    </w:rPr>
                    <w:t>固体废物</w:t>
                  </w:r>
                </w:p>
              </w:tc>
              <w:tc>
                <w:tcPr>
                  <w:tcW w:w="3208" w:type="dxa"/>
                  <w:vAlign w:val="center"/>
                </w:tcPr>
                <w:p w14:paraId="4E196D53">
                  <w:pPr>
                    <w:jc w:val="center"/>
                    <w:rPr>
                      <w:szCs w:val="21"/>
                    </w:rPr>
                  </w:pPr>
                  <w:r>
                    <w:rPr>
                      <w:szCs w:val="21"/>
                    </w:rPr>
                    <w:t>分类收集、一般固废暂存区</w:t>
                  </w:r>
                </w:p>
              </w:tc>
              <w:tc>
                <w:tcPr>
                  <w:tcW w:w="1345" w:type="dxa"/>
                  <w:vAlign w:val="center"/>
                </w:tcPr>
                <w:p w14:paraId="75973139">
                  <w:pPr>
                    <w:jc w:val="center"/>
                    <w:rPr>
                      <w:szCs w:val="21"/>
                    </w:rPr>
                  </w:pPr>
                  <w:r>
                    <w:rPr>
                      <w:rFonts w:hint="eastAsia"/>
                      <w:szCs w:val="21"/>
                    </w:rPr>
                    <w:t>1</w:t>
                  </w:r>
                </w:p>
              </w:tc>
            </w:tr>
            <w:tr w14:paraId="20E643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Merge w:val="continue"/>
                  <w:vAlign w:val="center"/>
                </w:tcPr>
                <w:p w14:paraId="2C8141AD">
                  <w:pPr>
                    <w:jc w:val="center"/>
                    <w:rPr>
                      <w:szCs w:val="21"/>
                    </w:rPr>
                  </w:pPr>
                </w:p>
              </w:tc>
              <w:tc>
                <w:tcPr>
                  <w:tcW w:w="3010" w:type="dxa"/>
                  <w:gridSpan w:val="2"/>
                  <w:vAlign w:val="center"/>
                </w:tcPr>
                <w:p w14:paraId="564BD385">
                  <w:pPr>
                    <w:jc w:val="center"/>
                    <w:rPr>
                      <w:szCs w:val="21"/>
                    </w:rPr>
                  </w:pPr>
                  <w:r>
                    <w:rPr>
                      <w:szCs w:val="21"/>
                    </w:rPr>
                    <w:t>危险废物</w:t>
                  </w:r>
                </w:p>
              </w:tc>
              <w:tc>
                <w:tcPr>
                  <w:tcW w:w="3208" w:type="dxa"/>
                  <w:vAlign w:val="center"/>
                </w:tcPr>
                <w:p w14:paraId="64D8E47C">
                  <w:pPr>
                    <w:jc w:val="center"/>
                    <w:rPr>
                      <w:szCs w:val="21"/>
                    </w:rPr>
                  </w:pPr>
                  <w:r>
                    <w:rPr>
                      <w:szCs w:val="21"/>
                    </w:rPr>
                    <w:t>危废暂存间</w:t>
                  </w:r>
                </w:p>
              </w:tc>
              <w:tc>
                <w:tcPr>
                  <w:tcW w:w="1345" w:type="dxa"/>
                  <w:vAlign w:val="center"/>
                </w:tcPr>
                <w:p w14:paraId="05020DEC">
                  <w:pPr>
                    <w:jc w:val="center"/>
                    <w:rPr>
                      <w:szCs w:val="21"/>
                    </w:rPr>
                  </w:pPr>
                  <w:r>
                    <w:rPr>
                      <w:rFonts w:hint="eastAsia"/>
                      <w:szCs w:val="21"/>
                    </w:rPr>
                    <w:t>1</w:t>
                  </w:r>
                </w:p>
              </w:tc>
            </w:tr>
            <w:tr w14:paraId="13F57A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Align w:val="center"/>
                </w:tcPr>
                <w:p w14:paraId="45DCA341">
                  <w:pPr>
                    <w:jc w:val="center"/>
                    <w:rPr>
                      <w:szCs w:val="21"/>
                    </w:rPr>
                  </w:pPr>
                  <w:r>
                    <w:rPr>
                      <w:szCs w:val="21"/>
                    </w:rPr>
                    <w:t>噪声</w:t>
                  </w:r>
                </w:p>
              </w:tc>
              <w:tc>
                <w:tcPr>
                  <w:tcW w:w="3010" w:type="dxa"/>
                  <w:gridSpan w:val="2"/>
                  <w:vAlign w:val="center"/>
                </w:tcPr>
                <w:p w14:paraId="64F0F209">
                  <w:pPr>
                    <w:adjustRightInd w:val="0"/>
                    <w:snapToGrid w:val="0"/>
                    <w:jc w:val="center"/>
                    <w:rPr>
                      <w:szCs w:val="21"/>
                    </w:rPr>
                  </w:pPr>
                  <w:r>
                    <w:rPr>
                      <w:szCs w:val="21"/>
                    </w:rPr>
                    <w:t>机器设备</w:t>
                  </w:r>
                </w:p>
              </w:tc>
              <w:tc>
                <w:tcPr>
                  <w:tcW w:w="3208" w:type="dxa"/>
                  <w:vAlign w:val="center"/>
                </w:tcPr>
                <w:p w14:paraId="6A1B79F7">
                  <w:pPr>
                    <w:jc w:val="center"/>
                    <w:rPr>
                      <w:szCs w:val="21"/>
                    </w:rPr>
                  </w:pPr>
                  <w:r>
                    <w:rPr>
                      <w:szCs w:val="21"/>
                    </w:rPr>
                    <w:t>生产设备基础减振降噪措施</w:t>
                  </w:r>
                </w:p>
              </w:tc>
              <w:tc>
                <w:tcPr>
                  <w:tcW w:w="1345" w:type="dxa"/>
                  <w:vAlign w:val="center"/>
                </w:tcPr>
                <w:p w14:paraId="11C4389D">
                  <w:pPr>
                    <w:jc w:val="center"/>
                    <w:rPr>
                      <w:szCs w:val="21"/>
                    </w:rPr>
                  </w:pPr>
                  <w:r>
                    <w:rPr>
                      <w:szCs w:val="21"/>
                    </w:rPr>
                    <w:t>2</w:t>
                  </w:r>
                </w:p>
              </w:tc>
            </w:tr>
            <w:tr w14:paraId="692579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81" w:type="dxa"/>
                  <w:vAlign w:val="center"/>
                </w:tcPr>
                <w:p w14:paraId="26D048F1">
                  <w:pPr>
                    <w:jc w:val="center"/>
                    <w:rPr>
                      <w:szCs w:val="21"/>
                    </w:rPr>
                  </w:pPr>
                  <w:r>
                    <w:rPr>
                      <w:szCs w:val="21"/>
                    </w:rPr>
                    <w:t>环境风险</w:t>
                  </w:r>
                </w:p>
              </w:tc>
              <w:tc>
                <w:tcPr>
                  <w:tcW w:w="3010" w:type="dxa"/>
                  <w:gridSpan w:val="2"/>
                  <w:vAlign w:val="center"/>
                </w:tcPr>
                <w:p w14:paraId="0E2D2090">
                  <w:pPr>
                    <w:jc w:val="center"/>
                    <w:rPr>
                      <w:szCs w:val="21"/>
                    </w:rPr>
                  </w:pPr>
                  <w:r>
                    <w:rPr>
                      <w:szCs w:val="21"/>
                    </w:rPr>
                    <w:t>化粪池、危废暂存间</w:t>
                  </w:r>
                </w:p>
              </w:tc>
              <w:tc>
                <w:tcPr>
                  <w:tcW w:w="3208" w:type="dxa"/>
                  <w:vAlign w:val="center"/>
                </w:tcPr>
                <w:p w14:paraId="20DCD73C">
                  <w:pPr>
                    <w:jc w:val="center"/>
                    <w:rPr>
                      <w:szCs w:val="21"/>
                    </w:rPr>
                  </w:pPr>
                  <w:r>
                    <w:rPr>
                      <w:szCs w:val="21"/>
                    </w:rPr>
                    <w:t>防渗、围堰、事故水池</w:t>
                  </w:r>
                </w:p>
              </w:tc>
              <w:tc>
                <w:tcPr>
                  <w:tcW w:w="1345" w:type="dxa"/>
                  <w:vAlign w:val="center"/>
                </w:tcPr>
                <w:p w14:paraId="3C0DBC81">
                  <w:pPr>
                    <w:jc w:val="center"/>
                    <w:rPr>
                      <w:szCs w:val="21"/>
                    </w:rPr>
                  </w:pPr>
                  <w:r>
                    <w:rPr>
                      <w:szCs w:val="21"/>
                    </w:rPr>
                    <w:t>3</w:t>
                  </w:r>
                </w:p>
              </w:tc>
            </w:tr>
            <w:bookmarkEnd w:id="151"/>
            <w:tr w14:paraId="7D7DCF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6999" w:type="dxa"/>
                  <w:gridSpan w:val="4"/>
                  <w:vAlign w:val="center"/>
                </w:tcPr>
                <w:p w14:paraId="28986069">
                  <w:pPr>
                    <w:jc w:val="center"/>
                    <w:rPr>
                      <w:szCs w:val="21"/>
                    </w:rPr>
                  </w:pPr>
                  <w:r>
                    <w:rPr>
                      <w:szCs w:val="21"/>
                    </w:rPr>
                    <w:t>合计</w:t>
                  </w:r>
                </w:p>
              </w:tc>
              <w:tc>
                <w:tcPr>
                  <w:tcW w:w="1345" w:type="dxa"/>
                  <w:vAlign w:val="center"/>
                </w:tcPr>
                <w:p w14:paraId="6A39E385">
                  <w:pPr>
                    <w:jc w:val="center"/>
                    <w:rPr>
                      <w:szCs w:val="21"/>
                    </w:rPr>
                  </w:pPr>
                  <w:r>
                    <w:rPr>
                      <w:szCs w:val="21"/>
                    </w:rPr>
                    <w:t>48</w:t>
                  </w:r>
                </w:p>
              </w:tc>
            </w:tr>
          </w:tbl>
          <w:p w14:paraId="6A75DF5A">
            <w:pPr>
              <w:pStyle w:val="21"/>
              <w:spacing w:before="0" w:beforeAutospacing="0" w:after="0" w:afterAutospacing="0" w:line="360" w:lineRule="auto"/>
              <w:jc w:val="center"/>
              <w:outlineLvl w:val="0"/>
              <w:rPr>
                <w:rFonts w:ascii="黑体" w:hAnsi="黑体" w:eastAsia="黑体"/>
                <w:snapToGrid w:val="0"/>
                <w:sz w:val="30"/>
                <w:szCs w:val="30"/>
              </w:rPr>
            </w:pPr>
          </w:p>
        </w:tc>
      </w:tr>
    </w:tbl>
    <w:p w14:paraId="141BD355">
      <w:pPr>
        <w:pStyle w:val="11"/>
        <w:rPr>
          <w:snapToGrid w:val="0"/>
        </w:rPr>
      </w:pPr>
    </w:p>
    <w:tbl>
      <w:tblPr>
        <w:tblStyle w:val="25"/>
        <w:tblpPr w:leftFromText="180" w:rightFromText="180" w:horzAnchor="margin" w:tblpY="686"/>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791"/>
      </w:tblGrid>
      <w:tr w14:paraId="366560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90" w:hRule="atLeast"/>
        </w:trPr>
        <w:tc>
          <w:tcPr>
            <w:tcW w:w="455" w:type="dxa"/>
            <w:vAlign w:val="center"/>
          </w:tcPr>
          <w:p w14:paraId="28D20941">
            <w:pPr>
              <w:pStyle w:val="21"/>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8767" w:type="dxa"/>
          </w:tcPr>
          <w:p w14:paraId="2FE122FC">
            <w:pPr>
              <w:pStyle w:val="83"/>
              <w:adjustRightInd w:val="0"/>
              <w:spacing w:line="360" w:lineRule="auto"/>
              <w:ind w:firstLine="482" w:firstLineChars="200"/>
              <w:rPr>
                <w:rFonts w:ascii="Times New Roman" w:eastAsia="宋体"/>
                <w:b/>
                <w:snapToGrid/>
                <w:sz w:val="24"/>
                <w:szCs w:val="24"/>
              </w:rPr>
            </w:pPr>
            <w:r>
              <w:rPr>
                <w:rFonts w:ascii="Times New Roman" w:eastAsia="宋体"/>
                <w:b/>
                <w:snapToGrid/>
                <w:sz w:val="24"/>
                <w:szCs w:val="24"/>
              </w:rPr>
              <w:t>1、施工期：</w:t>
            </w:r>
          </w:p>
          <w:p w14:paraId="2420D223">
            <w:pPr>
              <w:pStyle w:val="83"/>
              <w:spacing w:line="360" w:lineRule="auto"/>
              <w:ind w:firstLine="480" w:firstLineChars="200"/>
              <w:rPr>
                <w:rFonts w:ascii="Times New Roman"/>
                <w:sz w:val="24"/>
              </w:rPr>
            </w:pPr>
            <w:r>
              <w:rPr>
                <w:rFonts w:hint="eastAsia" w:ascii="Times New Roman" w:eastAsia="宋体"/>
                <w:sz w:val="24"/>
                <w:szCs w:val="24"/>
              </w:rPr>
              <w:t>施工期工艺流程及产污环节见下图。</w:t>
            </w:r>
          </w:p>
          <w:p w14:paraId="4BBDF9E4">
            <w:pPr>
              <w:pStyle w:val="83"/>
              <w:adjustRightInd w:val="0"/>
              <w:spacing w:line="360" w:lineRule="auto"/>
              <w:jc w:val="center"/>
              <w:rPr>
                <w:rFonts w:ascii="Times New Roman"/>
                <w:sz w:val="30"/>
              </w:rPr>
            </w:pPr>
            <w:r>
              <w:drawing>
                <wp:anchor distT="0" distB="0" distL="114300" distR="114300" simplePos="0" relativeHeight="251663360" behindDoc="0" locked="0" layoutInCell="1" allowOverlap="1">
                  <wp:simplePos x="0" y="0"/>
                  <wp:positionH relativeFrom="column">
                    <wp:posOffset>356870</wp:posOffset>
                  </wp:positionH>
                  <wp:positionV relativeFrom="paragraph">
                    <wp:posOffset>133350</wp:posOffset>
                  </wp:positionV>
                  <wp:extent cx="4689475" cy="271018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693826" cy="2712411"/>
                          </a:xfrm>
                          <a:prstGeom prst="rect">
                            <a:avLst/>
                          </a:prstGeom>
                          <a:noFill/>
                        </pic:spPr>
                      </pic:pic>
                    </a:graphicData>
                  </a:graphic>
                </wp:anchor>
              </w:drawing>
            </w:r>
          </w:p>
          <w:p w14:paraId="3C58CD8A">
            <w:pPr>
              <w:pStyle w:val="83"/>
              <w:adjustRightInd w:val="0"/>
              <w:spacing w:line="360" w:lineRule="auto"/>
              <w:jc w:val="center"/>
              <w:rPr>
                <w:rFonts w:ascii="Times New Roman"/>
                <w:sz w:val="30"/>
              </w:rPr>
            </w:pPr>
          </w:p>
          <w:p w14:paraId="13433603">
            <w:pPr>
              <w:pStyle w:val="83"/>
              <w:adjustRightInd w:val="0"/>
              <w:spacing w:line="360" w:lineRule="auto"/>
              <w:jc w:val="center"/>
              <w:rPr>
                <w:rFonts w:ascii="Times New Roman"/>
                <w:sz w:val="30"/>
              </w:rPr>
            </w:pPr>
          </w:p>
          <w:p w14:paraId="14650BE3">
            <w:pPr>
              <w:pStyle w:val="83"/>
              <w:adjustRightInd w:val="0"/>
              <w:spacing w:line="360" w:lineRule="auto"/>
              <w:rPr>
                <w:rFonts w:ascii="Times New Roman"/>
                <w:sz w:val="30"/>
              </w:rPr>
            </w:pPr>
          </w:p>
          <w:p w14:paraId="2088742F">
            <w:pPr>
              <w:pStyle w:val="83"/>
              <w:adjustRightInd w:val="0"/>
              <w:spacing w:line="360" w:lineRule="auto"/>
              <w:jc w:val="center"/>
              <w:rPr>
                <w:rFonts w:ascii="Times New Roman"/>
                <w:sz w:val="30"/>
              </w:rPr>
            </w:pPr>
          </w:p>
          <w:p w14:paraId="3D9BC91D">
            <w:pPr>
              <w:pStyle w:val="83"/>
              <w:adjustRightInd w:val="0"/>
              <w:spacing w:line="360" w:lineRule="auto"/>
              <w:jc w:val="center"/>
              <w:rPr>
                <w:rFonts w:ascii="Times New Roman"/>
                <w:sz w:val="30"/>
              </w:rPr>
            </w:pPr>
          </w:p>
          <w:p w14:paraId="4E8668A4">
            <w:pPr>
              <w:pStyle w:val="83"/>
              <w:adjustRightInd w:val="0"/>
              <w:spacing w:line="360" w:lineRule="auto"/>
              <w:rPr>
                <w:rFonts w:ascii="Times New Roman"/>
              </w:rPr>
            </w:pPr>
          </w:p>
          <w:p w14:paraId="1F00163C">
            <w:pPr>
              <w:spacing w:line="360" w:lineRule="auto"/>
              <w:jc w:val="center"/>
              <w:rPr>
                <w:b/>
                <w:bCs/>
                <w:sz w:val="24"/>
              </w:rPr>
            </w:pPr>
          </w:p>
          <w:p w14:paraId="3C12CB3E">
            <w:pPr>
              <w:spacing w:line="360" w:lineRule="auto"/>
              <w:rPr>
                <w:b/>
                <w:bCs/>
                <w:sz w:val="24"/>
              </w:rPr>
            </w:pPr>
          </w:p>
          <w:p w14:paraId="194B6A2F">
            <w:pPr>
              <w:spacing w:before="120" w:beforeLines="50" w:line="360" w:lineRule="auto"/>
              <w:jc w:val="center"/>
              <w:rPr>
                <w:b/>
                <w:bCs/>
                <w:sz w:val="24"/>
              </w:rPr>
            </w:pPr>
            <w:r>
              <w:rPr>
                <w:rFonts w:hint="eastAsia"/>
                <w:b/>
                <w:bCs/>
                <w:sz w:val="24"/>
              </w:rPr>
              <w:t>图</w:t>
            </w:r>
            <w:r>
              <w:rPr>
                <w:b/>
                <w:bCs/>
                <w:sz w:val="24"/>
              </w:rPr>
              <w:t>1</w:t>
            </w:r>
            <w:r>
              <w:rPr>
                <w:rFonts w:hint="eastAsia"/>
                <w:b/>
                <w:bCs/>
                <w:sz w:val="24"/>
              </w:rPr>
              <w:t>施工期工艺流程及产污环节图</w:t>
            </w:r>
          </w:p>
          <w:p w14:paraId="48636866">
            <w:pPr>
              <w:spacing w:line="360" w:lineRule="auto"/>
              <w:ind w:firstLine="480" w:firstLineChars="200"/>
              <w:jc w:val="left"/>
              <w:rPr>
                <w:sz w:val="24"/>
              </w:rPr>
            </w:pPr>
            <w:r>
              <w:rPr>
                <w:rFonts w:hint="eastAsia"/>
                <w:sz w:val="24"/>
              </w:rPr>
              <w:t>本项目新建</w:t>
            </w:r>
            <w:r>
              <w:rPr>
                <w:sz w:val="24"/>
              </w:rPr>
              <w:t>1</w:t>
            </w:r>
            <w:r>
              <w:rPr>
                <w:rFonts w:hint="eastAsia"/>
                <w:sz w:val="24"/>
              </w:rPr>
              <w:t>座生产车间、1座特种压力容器研发中心、1座检测中心，项目施工建设过程中场地的清理、土石方的挖掘、物料堆存、运输等环节会产生颗粒物、噪声、废水和固体废物等污染，对周围环境会产生一定程度的影响，但施工结束后上述影响随即消失。</w:t>
            </w:r>
            <w:r>
              <w:rPr>
                <w:sz w:val="24"/>
              </w:rPr>
              <w:t xml:space="preserve"> </w:t>
            </w:r>
          </w:p>
          <w:p w14:paraId="6014B081">
            <w:pPr>
              <w:spacing w:line="360" w:lineRule="auto"/>
              <w:ind w:firstLine="480" w:firstLineChars="200"/>
              <w:jc w:val="left"/>
              <w:rPr>
                <w:sz w:val="24"/>
              </w:rPr>
            </w:pPr>
            <w:r>
              <w:rPr>
                <w:rFonts w:hint="eastAsia"/>
                <w:sz w:val="24"/>
              </w:rPr>
              <w:t>（</w:t>
            </w:r>
            <w:r>
              <w:rPr>
                <w:sz w:val="24"/>
              </w:rPr>
              <w:t>1</w:t>
            </w:r>
            <w:r>
              <w:rPr>
                <w:rFonts w:hint="eastAsia"/>
                <w:sz w:val="24"/>
              </w:rPr>
              <w:t>）废气：施工期产生的颗粒物主要来自物料装卸和运输、场地开挖、砼搅拌等过程；物料运输引起的道路扬尘；物料堆放期间因空气流动产生的二次扬尘。</w:t>
            </w:r>
          </w:p>
          <w:p w14:paraId="0DC23F9D">
            <w:pPr>
              <w:spacing w:line="360" w:lineRule="auto"/>
              <w:ind w:firstLine="480" w:firstLineChars="200"/>
              <w:jc w:val="left"/>
              <w:rPr>
                <w:sz w:val="24"/>
              </w:rPr>
            </w:pPr>
            <w:r>
              <w:rPr>
                <w:sz w:val="24"/>
              </w:rPr>
              <w:t xml:space="preserve"> </w:t>
            </w:r>
            <w:r>
              <w:rPr>
                <w:rFonts w:hint="eastAsia"/>
                <w:sz w:val="24"/>
              </w:rPr>
              <w:t>（</w:t>
            </w:r>
            <w:r>
              <w:rPr>
                <w:sz w:val="24"/>
              </w:rPr>
              <w:t>2</w:t>
            </w:r>
            <w:r>
              <w:rPr>
                <w:rFonts w:hint="eastAsia"/>
                <w:sz w:val="24"/>
              </w:rPr>
              <w:t>）噪声：施工噪声主要来自施工机械、交通运输等，主要高噪声源有：打桩机、挖掘机、推土机、砼搅拌机、空压机、电锯、载重汽车等，其噪声源声级一般</w:t>
            </w:r>
            <w:r>
              <w:rPr>
                <w:sz w:val="24"/>
              </w:rPr>
              <w:t>75</w:t>
            </w:r>
            <w:r>
              <w:rPr>
                <w:rFonts w:hint="eastAsia"/>
                <w:sz w:val="24"/>
              </w:rPr>
              <w:t>～</w:t>
            </w:r>
            <w:r>
              <w:rPr>
                <w:sz w:val="24"/>
              </w:rPr>
              <w:t>100dB</w:t>
            </w:r>
            <w:r>
              <w:rPr>
                <w:rFonts w:hint="eastAsia"/>
                <w:sz w:val="24"/>
              </w:rPr>
              <w:t>（</w:t>
            </w:r>
            <w:r>
              <w:rPr>
                <w:sz w:val="24"/>
              </w:rPr>
              <w:t>A</w:t>
            </w:r>
            <w:r>
              <w:rPr>
                <w:rFonts w:hint="eastAsia"/>
                <w:sz w:val="24"/>
              </w:rPr>
              <w:t>）之间。</w:t>
            </w:r>
          </w:p>
          <w:p w14:paraId="4646121E">
            <w:pPr>
              <w:spacing w:line="360" w:lineRule="auto"/>
              <w:ind w:firstLine="480" w:firstLineChars="200"/>
              <w:jc w:val="left"/>
              <w:rPr>
                <w:sz w:val="24"/>
              </w:rPr>
            </w:pPr>
            <w:r>
              <w:rPr>
                <w:rFonts w:hint="eastAsia"/>
                <w:sz w:val="24"/>
              </w:rPr>
              <w:t>（</w:t>
            </w:r>
            <w:r>
              <w:rPr>
                <w:sz w:val="24"/>
              </w:rPr>
              <w:t>3</w:t>
            </w:r>
            <w:r>
              <w:rPr>
                <w:rFonts w:hint="eastAsia"/>
                <w:sz w:val="24"/>
              </w:rPr>
              <w:t>）废水：施工期间生产用水主要是混凝土搅拌及路面、土方喷洒等，废水量很小；施工机械</w:t>
            </w:r>
            <w:r>
              <w:rPr>
                <w:sz w:val="24"/>
              </w:rPr>
              <w:t xml:space="preserve"> </w:t>
            </w:r>
            <w:r>
              <w:rPr>
                <w:rFonts w:hint="eastAsia"/>
                <w:sz w:val="24"/>
              </w:rPr>
              <w:t>跑、冒、滴、漏产生的油污及露天机械被雨水冲刷后产生少量的含油污水；施工人员产生的生活污水。</w:t>
            </w:r>
            <w:r>
              <w:rPr>
                <w:sz w:val="24"/>
              </w:rPr>
              <w:t xml:space="preserve"> </w:t>
            </w:r>
          </w:p>
          <w:p w14:paraId="15FC9DEC">
            <w:pPr>
              <w:spacing w:line="360" w:lineRule="auto"/>
              <w:ind w:firstLine="480" w:firstLineChars="200"/>
              <w:jc w:val="left"/>
              <w:rPr>
                <w:sz w:val="24"/>
              </w:rPr>
            </w:pPr>
            <w:r>
              <w:rPr>
                <w:rFonts w:hint="eastAsia"/>
                <w:sz w:val="24"/>
              </w:rPr>
              <w:t>（</w:t>
            </w:r>
            <w:r>
              <w:rPr>
                <w:sz w:val="24"/>
              </w:rPr>
              <w:t>4</w:t>
            </w:r>
            <w:r>
              <w:rPr>
                <w:rFonts w:hint="eastAsia"/>
                <w:sz w:val="24"/>
              </w:rPr>
              <w:t>）固体废物：施工期产生的固体废物主要为生产垃圾以及少量生活垃圾。生产垃圾主要是建筑施工垃圾、安装工程的金属废料；生活垃圾主要是施工人员的日常生活废弃物。</w:t>
            </w:r>
          </w:p>
          <w:p w14:paraId="2CB30272">
            <w:pPr>
              <w:numPr>
                <w:ilvl w:val="0"/>
                <w:numId w:val="3"/>
              </w:numPr>
              <w:spacing w:line="360" w:lineRule="auto"/>
              <w:ind w:firstLine="482" w:firstLineChars="200"/>
              <w:rPr>
                <w:b/>
                <w:sz w:val="24"/>
              </w:rPr>
            </w:pPr>
            <w:r>
              <w:rPr>
                <w:b/>
                <w:sz w:val="24"/>
              </w:rPr>
              <w:t>营运期：</w:t>
            </w:r>
          </w:p>
          <w:p w14:paraId="3ADB461B">
            <w:pPr>
              <w:spacing w:line="360" w:lineRule="auto"/>
              <w:ind w:firstLine="480" w:firstLineChars="200"/>
              <w:rPr>
                <w:sz w:val="24"/>
              </w:rPr>
            </w:pPr>
            <w:r>
              <w:rPr>
                <w:sz w:val="24"/>
              </w:rPr>
              <w:t>本项目产品为</w:t>
            </w:r>
            <w:r>
              <w:rPr>
                <w:rFonts w:hint="eastAsia"/>
                <w:sz w:val="24"/>
              </w:rPr>
              <w:t>特种压力容器</w:t>
            </w:r>
            <w:r>
              <w:rPr>
                <w:sz w:val="24"/>
              </w:rPr>
              <w:t>，工艺流程及产污环节见图2。</w:t>
            </w:r>
            <w:bookmarkStart w:id="154" w:name="OLE_LINK8"/>
            <w:bookmarkStart w:id="155" w:name="OLE_LINK7"/>
          </w:p>
          <w:p w14:paraId="4A737CBD">
            <w:pPr>
              <w:pStyle w:val="24"/>
              <w:ind w:left="0" w:leftChars="0" w:firstLine="0" w:firstLineChars="0"/>
              <w:jc w:val="center"/>
            </w:pPr>
            <w:r>
              <w:rPr>
                <w:b/>
                <w:sz w:val="24"/>
              </w:rPr>
              <mc:AlternateContent>
                <mc:Choice Requires="wpc">
                  <w:drawing>
                    <wp:inline distT="0" distB="0" distL="0" distR="0">
                      <wp:extent cx="5445125" cy="2971800"/>
                      <wp:effectExtent l="0" t="0" r="0" b="0"/>
                      <wp:docPr id="44" name="画布 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 name="矩形 5"/>
                              <wps:cNvSpPr>
                                <a:spLocks noChangeArrowheads="1"/>
                              </wps:cNvSpPr>
                              <wps:spPr bwMode="auto">
                                <a:xfrm>
                                  <a:off x="83597" y="848869"/>
                                  <a:ext cx="655320" cy="287020"/>
                                </a:xfrm>
                                <a:prstGeom prst="rect">
                                  <a:avLst/>
                                </a:prstGeom>
                                <a:solidFill>
                                  <a:srgbClr val="FFFFFF"/>
                                </a:solidFill>
                                <a:ln w="9525" algn="ctr">
                                  <a:solidFill>
                                    <a:srgbClr val="000000"/>
                                  </a:solidFill>
                                  <a:miter lim="800000"/>
                                </a:ln>
                                <a:effectLst/>
                              </wps:spPr>
                              <wps:txbx>
                                <w:txbxContent>
                                  <w:p w14:paraId="31DAA5CB">
                                    <w:pPr>
                                      <w:jc w:val="center"/>
                                    </w:pPr>
                                    <w:r>
                                      <w:rPr>
                                        <w:rFonts w:hint="eastAsia"/>
                                      </w:rPr>
                                      <w:t>设计</w:t>
                                    </w:r>
                                  </w:p>
                                </w:txbxContent>
                              </wps:txbx>
                              <wps:bodyPr rot="0" vert="horz" wrap="square" lIns="91440" tIns="45720" rIns="91440" bIns="45720" anchor="t" anchorCtr="0" upright="1">
                                <a:noAutofit/>
                              </wps:bodyPr>
                            </wps:wsp>
                            <wps:wsp>
                              <wps:cNvPr id="9" name="矩形 6"/>
                              <wps:cNvSpPr>
                                <a:spLocks noChangeArrowheads="1"/>
                              </wps:cNvSpPr>
                              <wps:spPr bwMode="auto">
                                <a:xfrm>
                                  <a:off x="1052424" y="855219"/>
                                  <a:ext cx="757326" cy="287020"/>
                                </a:xfrm>
                                <a:prstGeom prst="rect">
                                  <a:avLst/>
                                </a:prstGeom>
                                <a:solidFill>
                                  <a:srgbClr val="FFFFFF"/>
                                </a:solidFill>
                                <a:ln w="9525" algn="ctr">
                                  <a:solidFill>
                                    <a:srgbClr val="000000"/>
                                  </a:solidFill>
                                  <a:miter lim="800000"/>
                                </a:ln>
                                <a:effectLst/>
                              </wps:spPr>
                              <wps:txbx>
                                <w:txbxContent>
                                  <w:p w14:paraId="37E2B9D4">
                                    <w:pPr>
                                      <w:jc w:val="center"/>
                                    </w:pPr>
                                    <w:r>
                                      <w:rPr>
                                        <w:rFonts w:hint="eastAsia"/>
                                      </w:rPr>
                                      <w:t>下料切割</w:t>
                                    </w:r>
                                  </w:p>
                                </w:txbxContent>
                              </wps:txbx>
                              <wps:bodyPr rot="0" vert="horz" wrap="square" lIns="91440" tIns="45720" rIns="91440" bIns="45720" anchor="t" anchorCtr="0" upright="1">
                                <a:noAutofit/>
                              </wps:bodyPr>
                            </wps:wsp>
                            <wps:wsp>
                              <wps:cNvPr id="10" name="矩形 7"/>
                              <wps:cNvSpPr>
                                <a:spLocks noChangeArrowheads="1"/>
                              </wps:cNvSpPr>
                              <wps:spPr bwMode="auto">
                                <a:xfrm>
                                  <a:off x="2249785" y="865010"/>
                                  <a:ext cx="662553" cy="287020"/>
                                </a:xfrm>
                                <a:prstGeom prst="rect">
                                  <a:avLst/>
                                </a:prstGeom>
                                <a:solidFill>
                                  <a:srgbClr val="FFFFFF"/>
                                </a:solidFill>
                                <a:ln w="9525" algn="ctr">
                                  <a:solidFill>
                                    <a:srgbClr val="000000"/>
                                  </a:solidFill>
                                  <a:miter lim="800000"/>
                                </a:ln>
                                <a:effectLst/>
                              </wps:spPr>
                              <wps:txbx>
                                <w:txbxContent>
                                  <w:p w14:paraId="37E99CC3">
                                    <w:pPr>
                                      <w:jc w:val="center"/>
                                    </w:pPr>
                                    <w:r>
                                      <w:rPr>
                                        <w:rFonts w:hint="eastAsia"/>
                                      </w:rPr>
                                      <w:t>成型</w:t>
                                    </w:r>
                                  </w:p>
                                </w:txbxContent>
                              </wps:txbx>
                              <wps:bodyPr rot="0" vert="horz" wrap="square" lIns="91440" tIns="45720" rIns="91440" bIns="45720" anchor="t" anchorCtr="0" upright="1">
                                <a:noAutofit/>
                              </wps:bodyPr>
                            </wps:wsp>
                            <wps:wsp>
                              <wps:cNvPr id="11" name="自选图形 8"/>
                              <wps:cNvCnPr>
                                <a:cxnSpLocks noChangeShapeType="1"/>
                              </wps:cNvCnPr>
                              <wps:spPr bwMode="auto">
                                <a:xfrm flipV="1">
                                  <a:off x="755834" y="988121"/>
                                  <a:ext cx="277618" cy="5715"/>
                                </a:xfrm>
                                <a:prstGeom prst="straightConnector1">
                                  <a:avLst/>
                                </a:prstGeom>
                                <a:noFill/>
                                <a:ln w="9525">
                                  <a:solidFill>
                                    <a:srgbClr val="000000"/>
                                  </a:solidFill>
                                  <a:round/>
                                  <a:tailEnd type="triangle" w="med" len="med"/>
                                </a:ln>
                                <a:effectLst/>
                              </wps:spPr>
                              <wps:bodyPr/>
                            </wps:wsp>
                            <wps:wsp>
                              <wps:cNvPr id="12" name="自选图形 9"/>
                              <wps:cNvCnPr>
                                <a:cxnSpLocks noChangeShapeType="1"/>
                              </wps:cNvCnPr>
                              <wps:spPr bwMode="auto">
                                <a:xfrm>
                                  <a:off x="1842750" y="1001738"/>
                                  <a:ext cx="407035" cy="5715"/>
                                </a:xfrm>
                                <a:prstGeom prst="straightConnector1">
                                  <a:avLst/>
                                </a:prstGeom>
                                <a:noFill/>
                                <a:ln w="9525">
                                  <a:solidFill>
                                    <a:srgbClr val="000000"/>
                                  </a:solidFill>
                                  <a:round/>
                                  <a:tailEnd type="triangle" w="med" len="med"/>
                                </a:ln>
                                <a:effectLst/>
                              </wps:spPr>
                              <wps:bodyPr/>
                            </wps:wsp>
                            <wps:wsp>
                              <wps:cNvPr id="13" name="矩形 12"/>
                              <wps:cNvSpPr>
                                <a:spLocks noChangeArrowheads="1"/>
                              </wps:cNvSpPr>
                              <wps:spPr bwMode="auto">
                                <a:xfrm>
                                  <a:off x="3240042" y="860505"/>
                                  <a:ext cx="691967" cy="287020"/>
                                </a:xfrm>
                                <a:prstGeom prst="rect">
                                  <a:avLst/>
                                </a:prstGeom>
                                <a:solidFill>
                                  <a:srgbClr val="FFFFFF"/>
                                </a:solidFill>
                                <a:ln w="9525" algn="ctr">
                                  <a:solidFill>
                                    <a:srgbClr val="000000"/>
                                  </a:solidFill>
                                  <a:miter lim="800000"/>
                                </a:ln>
                                <a:effectLst/>
                              </wps:spPr>
                              <wps:txbx>
                                <w:txbxContent>
                                  <w:p w14:paraId="73023FDE">
                                    <w:pPr>
                                      <w:jc w:val="center"/>
                                    </w:pPr>
                                    <w:r>
                                      <w:rPr>
                                        <w:rFonts w:hint="eastAsia"/>
                                      </w:rPr>
                                      <w:t>焊接</w:t>
                                    </w:r>
                                  </w:p>
                                </w:txbxContent>
                              </wps:txbx>
                              <wps:bodyPr rot="0" vert="horz" wrap="square" lIns="91440" tIns="45720" rIns="91440" bIns="45720" anchor="t" anchorCtr="0" upright="1">
                                <a:noAutofit/>
                              </wps:bodyPr>
                            </wps:wsp>
                            <wps:wsp>
                              <wps:cNvPr id="15" name="自选图形 13"/>
                              <wps:cNvCnPr>
                                <a:cxnSpLocks noChangeShapeType="1"/>
                              </wps:cNvCnPr>
                              <wps:spPr bwMode="auto">
                                <a:xfrm>
                                  <a:off x="2931042" y="991745"/>
                                  <a:ext cx="309000" cy="1699"/>
                                </a:xfrm>
                                <a:prstGeom prst="straightConnector1">
                                  <a:avLst/>
                                </a:prstGeom>
                                <a:noFill/>
                                <a:ln w="9525">
                                  <a:solidFill>
                                    <a:srgbClr val="000000"/>
                                  </a:solidFill>
                                  <a:round/>
                                  <a:tailEnd type="triangle" w="med" len="med"/>
                                </a:ln>
                                <a:effectLst/>
                              </wps:spPr>
                              <wps:bodyPr/>
                            </wps:wsp>
                            <wps:wsp>
                              <wps:cNvPr id="16" name="矩形 14"/>
                              <wps:cNvSpPr>
                                <a:spLocks noChangeArrowheads="1"/>
                              </wps:cNvSpPr>
                              <wps:spPr bwMode="auto">
                                <a:xfrm>
                                  <a:off x="4307785" y="856077"/>
                                  <a:ext cx="808627" cy="287020"/>
                                </a:xfrm>
                                <a:prstGeom prst="rect">
                                  <a:avLst/>
                                </a:prstGeom>
                                <a:solidFill>
                                  <a:srgbClr val="FFFFFF"/>
                                </a:solidFill>
                                <a:ln w="9525" algn="ctr">
                                  <a:solidFill>
                                    <a:srgbClr val="000000"/>
                                  </a:solidFill>
                                  <a:miter lim="800000"/>
                                </a:ln>
                                <a:effectLst/>
                              </wps:spPr>
                              <wps:txbx>
                                <w:txbxContent>
                                  <w:p w14:paraId="340D05A7">
                                    <w:pPr>
                                      <w:jc w:val="center"/>
                                    </w:pPr>
                                    <w:r>
                                      <w:rPr>
                                        <w:rFonts w:hint="eastAsia"/>
                                      </w:rPr>
                                      <w:t>焊缝检验</w:t>
                                    </w:r>
                                  </w:p>
                                </w:txbxContent>
                              </wps:txbx>
                              <wps:bodyPr rot="0" vert="horz" wrap="square" lIns="91440" tIns="45720" rIns="91440" bIns="45720" anchor="t" anchorCtr="0" upright="1">
                                <a:noAutofit/>
                              </wps:bodyPr>
                            </wps:wsp>
                            <wps:wsp>
                              <wps:cNvPr id="21" name="自选图形 15"/>
                              <wps:cNvCnPr>
                                <a:cxnSpLocks noChangeShapeType="1"/>
                              </wps:cNvCnPr>
                              <wps:spPr bwMode="auto">
                                <a:xfrm>
                                  <a:off x="3953854" y="1014110"/>
                                  <a:ext cx="296053" cy="0"/>
                                </a:xfrm>
                                <a:prstGeom prst="straightConnector1">
                                  <a:avLst/>
                                </a:prstGeom>
                                <a:noFill/>
                                <a:ln w="9525">
                                  <a:solidFill>
                                    <a:srgbClr val="000000"/>
                                  </a:solidFill>
                                  <a:round/>
                                  <a:tailEnd type="triangle" w="med" len="med"/>
                                </a:ln>
                                <a:effectLst/>
                              </wps:spPr>
                              <wps:bodyPr/>
                            </wps:wsp>
                            <wps:wsp>
                              <wps:cNvPr id="23" name="矩形 18"/>
                              <wps:cNvSpPr>
                                <a:spLocks noChangeArrowheads="1"/>
                              </wps:cNvSpPr>
                              <wps:spPr bwMode="auto">
                                <a:xfrm>
                                  <a:off x="4421502" y="1535468"/>
                                  <a:ext cx="676398" cy="287020"/>
                                </a:xfrm>
                                <a:prstGeom prst="rect">
                                  <a:avLst/>
                                </a:prstGeom>
                                <a:solidFill>
                                  <a:srgbClr val="FFFFFF"/>
                                </a:solidFill>
                                <a:ln w="9525" algn="ctr">
                                  <a:solidFill>
                                    <a:srgbClr val="000000"/>
                                  </a:solidFill>
                                  <a:miter lim="800000"/>
                                </a:ln>
                                <a:effectLst/>
                              </wps:spPr>
                              <wps:txbx>
                                <w:txbxContent>
                                  <w:p w14:paraId="19F38A85">
                                    <w:pPr>
                                      <w:jc w:val="center"/>
                                    </w:pPr>
                                    <w:r>
                                      <w:rPr>
                                        <w:rFonts w:hint="eastAsia"/>
                                      </w:rPr>
                                      <w:t>抛光</w:t>
                                    </w:r>
                                  </w:p>
                                </w:txbxContent>
                              </wps:txbx>
                              <wps:bodyPr rot="0" vert="horz" wrap="square" lIns="91440" tIns="45720" rIns="91440" bIns="45720" anchor="t" anchorCtr="0" upright="1">
                                <a:noAutofit/>
                              </wps:bodyPr>
                            </wps:wsp>
                            <wps:wsp>
                              <wps:cNvPr id="24" name="自选图形 19"/>
                              <wps:cNvCnPr>
                                <a:cxnSpLocks noChangeShapeType="1"/>
                              </wps:cNvCnPr>
                              <wps:spPr bwMode="auto">
                                <a:xfrm>
                                  <a:off x="4701218" y="1143098"/>
                                  <a:ext cx="6985" cy="328295"/>
                                </a:xfrm>
                                <a:prstGeom prst="straightConnector1">
                                  <a:avLst/>
                                </a:prstGeom>
                                <a:noFill/>
                                <a:ln w="9525">
                                  <a:solidFill>
                                    <a:srgbClr val="000000"/>
                                  </a:solidFill>
                                  <a:round/>
                                  <a:tailEnd type="triangle" w="med" len="med"/>
                                </a:ln>
                                <a:effectLst/>
                              </wps:spPr>
                              <wps:bodyPr/>
                            </wps:wsp>
                            <wps:wsp>
                              <wps:cNvPr id="28" name="自选图形 26"/>
                              <wps:cNvCnPr>
                                <a:cxnSpLocks noChangeShapeType="1"/>
                              </wps:cNvCnPr>
                              <wps:spPr bwMode="auto">
                                <a:xfrm flipV="1">
                                  <a:off x="1368285" y="455821"/>
                                  <a:ext cx="3175" cy="377190"/>
                                </a:xfrm>
                                <a:prstGeom prst="straightConnector1">
                                  <a:avLst/>
                                </a:prstGeom>
                                <a:noFill/>
                                <a:ln w="9525">
                                  <a:solidFill>
                                    <a:srgbClr val="000000"/>
                                  </a:solidFill>
                                  <a:prstDash val="dash"/>
                                  <a:round/>
                                  <a:tailEnd type="triangle" w="med" len="med"/>
                                </a:ln>
                                <a:effectLst/>
                              </wps:spPr>
                              <wps:bodyPr/>
                            </wps:wsp>
                            <wps:wsp>
                              <wps:cNvPr id="29" name="矩形 27"/>
                              <wps:cNvSpPr>
                                <a:spLocks noChangeArrowheads="1"/>
                              </wps:cNvSpPr>
                              <wps:spPr bwMode="auto">
                                <a:xfrm>
                                  <a:off x="787307" y="0"/>
                                  <a:ext cx="1279618" cy="461056"/>
                                </a:xfrm>
                                <a:prstGeom prst="rect">
                                  <a:avLst/>
                                </a:prstGeom>
                                <a:solidFill>
                                  <a:srgbClr val="FFFFFF"/>
                                </a:solidFill>
                                <a:ln>
                                  <a:noFill/>
                                </a:ln>
                                <a:effectLst/>
                              </wps:spPr>
                              <wps:txbx>
                                <w:txbxContent>
                                  <w:p w14:paraId="0AA3EDB2">
                                    <w:r>
                                      <w:rPr>
                                        <w:rFonts w:hint="eastAsia"/>
                                      </w:rPr>
                                      <w:t>G</w:t>
                                    </w:r>
                                    <w:r>
                                      <w:rPr>
                                        <w:rFonts w:hint="eastAsia"/>
                                        <w:vertAlign w:val="subscript"/>
                                      </w:rPr>
                                      <w:t>1</w:t>
                                    </w:r>
                                    <w:r>
                                      <w:t>、</w:t>
                                    </w:r>
                                    <w:r>
                                      <w:rPr>
                                        <w:rFonts w:hint="eastAsia"/>
                                      </w:rPr>
                                      <w:t>S</w:t>
                                    </w:r>
                                    <w:r>
                                      <w:rPr>
                                        <w:vertAlign w:val="subscript"/>
                                      </w:rPr>
                                      <w:t>1</w:t>
                                    </w:r>
                                    <w:r>
                                      <w:t>、</w:t>
                                    </w:r>
                                    <w:r>
                                      <w:rPr>
                                        <w:rFonts w:hint="eastAsia"/>
                                      </w:rPr>
                                      <w:t>S</w:t>
                                    </w:r>
                                    <w:r>
                                      <w:rPr>
                                        <w:vertAlign w:val="subscript"/>
                                      </w:rPr>
                                      <w:t>2</w:t>
                                    </w:r>
                                    <w:r>
                                      <w:rPr>
                                        <w:rFonts w:hint="eastAsia"/>
                                      </w:rPr>
                                      <w:t>、N</w:t>
                                    </w:r>
                                  </w:p>
                                </w:txbxContent>
                              </wps:txbx>
                              <wps:bodyPr rot="0" vert="horz" wrap="square" lIns="91440" tIns="45720" rIns="91440" bIns="45720" anchor="t" anchorCtr="0" upright="1">
                                <a:noAutofit/>
                              </wps:bodyPr>
                            </wps:wsp>
                            <wps:wsp>
                              <wps:cNvPr id="30" name="自选图形 28"/>
                              <wps:cNvCnPr>
                                <a:cxnSpLocks noChangeShapeType="1"/>
                              </wps:cNvCnPr>
                              <wps:spPr bwMode="auto">
                                <a:xfrm flipV="1">
                                  <a:off x="2588895" y="451599"/>
                                  <a:ext cx="3175" cy="377190"/>
                                </a:xfrm>
                                <a:prstGeom prst="straightConnector1">
                                  <a:avLst/>
                                </a:prstGeom>
                                <a:noFill/>
                                <a:ln w="9525">
                                  <a:solidFill>
                                    <a:srgbClr val="000000"/>
                                  </a:solidFill>
                                  <a:prstDash val="dash"/>
                                  <a:round/>
                                  <a:tailEnd type="triangle" w="med" len="med"/>
                                </a:ln>
                                <a:effectLst/>
                              </wps:spPr>
                              <wps:bodyPr/>
                            </wps:wsp>
                            <wps:wsp>
                              <wps:cNvPr id="32" name="矩形 32"/>
                              <wps:cNvSpPr>
                                <a:spLocks noChangeArrowheads="1"/>
                              </wps:cNvSpPr>
                              <wps:spPr bwMode="auto">
                                <a:xfrm>
                                  <a:off x="3109208" y="10607"/>
                                  <a:ext cx="1209553" cy="469900"/>
                                </a:xfrm>
                                <a:prstGeom prst="rect">
                                  <a:avLst/>
                                </a:prstGeom>
                                <a:solidFill>
                                  <a:srgbClr val="FFFFFF"/>
                                </a:solidFill>
                                <a:ln>
                                  <a:noFill/>
                                </a:ln>
                                <a:effectLst/>
                              </wps:spPr>
                              <wps:txbx>
                                <w:txbxContent>
                                  <w:p w14:paraId="2A8DE5A5">
                                    <w:r>
                                      <w:rPr>
                                        <w:rFonts w:hint="eastAsia"/>
                                      </w:rPr>
                                      <w:t>G</w:t>
                                    </w:r>
                                    <w:r>
                                      <w:rPr>
                                        <w:vertAlign w:val="subscript"/>
                                      </w:rPr>
                                      <w:t>2</w:t>
                                    </w:r>
                                    <w:r>
                                      <w:t>、</w:t>
                                    </w:r>
                                    <w:r>
                                      <w:rPr>
                                        <w:rFonts w:hint="eastAsia"/>
                                      </w:rPr>
                                      <w:t>S</w:t>
                                    </w:r>
                                    <w:r>
                                      <w:rPr>
                                        <w:vertAlign w:val="subscript"/>
                                      </w:rPr>
                                      <w:t>3</w:t>
                                    </w:r>
                                    <w:r>
                                      <w:t>、</w:t>
                                    </w:r>
                                    <w:r>
                                      <w:rPr>
                                        <w:rFonts w:hint="eastAsia"/>
                                      </w:rPr>
                                      <w:t>N</w:t>
                                    </w:r>
                                  </w:p>
                                </w:txbxContent>
                              </wps:txbx>
                              <wps:bodyPr rot="0" vert="horz" wrap="square" lIns="91440" tIns="45720" rIns="91440" bIns="45720" anchor="t" anchorCtr="0" upright="1">
                                <a:noAutofit/>
                              </wps:bodyPr>
                            </wps:wsp>
                            <wps:wsp>
                              <wps:cNvPr id="33" name="自选图形 33"/>
                              <wps:cNvCnPr>
                                <a:cxnSpLocks noChangeShapeType="1"/>
                              </wps:cNvCnPr>
                              <wps:spPr bwMode="auto">
                                <a:xfrm flipV="1">
                                  <a:off x="3569706" y="441027"/>
                                  <a:ext cx="3175" cy="377190"/>
                                </a:xfrm>
                                <a:prstGeom prst="straightConnector1">
                                  <a:avLst/>
                                </a:prstGeom>
                                <a:noFill/>
                                <a:ln w="9525">
                                  <a:solidFill>
                                    <a:srgbClr val="000000"/>
                                  </a:solidFill>
                                  <a:prstDash val="dash"/>
                                  <a:round/>
                                  <a:tailEnd type="triangle" w="med" len="med"/>
                                </a:ln>
                                <a:effectLst/>
                              </wps:spPr>
                              <wps:bodyPr/>
                            </wps:wsp>
                            <wps:wsp>
                              <wps:cNvPr id="34" name="矩形 34"/>
                              <wps:cNvSpPr>
                                <a:spLocks noChangeArrowheads="1"/>
                              </wps:cNvSpPr>
                              <wps:spPr bwMode="auto">
                                <a:xfrm>
                                  <a:off x="4284857" y="160069"/>
                                  <a:ext cx="852698" cy="300990"/>
                                </a:xfrm>
                                <a:prstGeom prst="rect">
                                  <a:avLst/>
                                </a:prstGeom>
                                <a:solidFill>
                                  <a:srgbClr val="FFFFFF"/>
                                </a:solidFill>
                                <a:ln>
                                  <a:noFill/>
                                </a:ln>
                                <a:effectLst/>
                              </wps:spPr>
                              <wps:txbx>
                                <w:txbxContent>
                                  <w:p w14:paraId="59BA9E88">
                                    <w:pPr>
                                      <w:jc w:val="center"/>
                                    </w:pPr>
                                    <w:r>
                                      <w:rPr>
                                        <w:rFonts w:hint="eastAsia"/>
                                      </w:rPr>
                                      <w:t>N</w:t>
                                    </w:r>
                                  </w:p>
                                </w:txbxContent>
                              </wps:txbx>
                              <wps:bodyPr rot="0" vert="horz" wrap="square" lIns="91440" tIns="45720" rIns="91440" bIns="45720" anchor="t" anchorCtr="0" upright="1">
                                <a:noAutofit/>
                              </wps:bodyPr>
                            </wps:wsp>
                            <wps:wsp>
                              <wps:cNvPr id="35" name="自选图形 35"/>
                              <wps:cNvCnPr>
                                <a:cxnSpLocks noChangeShapeType="1"/>
                              </wps:cNvCnPr>
                              <wps:spPr bwMode="auto">
                                <a:xfrm flipV="1">
                                  <a:off x="4701230" y="494743"/>
                                  <a:ext cx="3175" cy="377190"/>
                                </a:xfrm>
                                <a:prstGeom prst="straightConnector1">
                                  <a:avLst/>
                                </a:prstGeom>
                                <a:noFill/>
                                <a:ln w="9525">
                                  <a:solidFill>
                                    <a:srgbClr val="000000"/>
                                  </a:solidFill>
                                  <a:prstDash val="dash"/>
                                  <a:round/>
                                  <a:tailEnd type="triangle" w="med" len="med"/>
                                </a:ln>
                                <a:effectLst/>
                              </wps:spPr>
                              <wps:bodyPr/>
                            </wps:wsp>
                            <wps:wsp>
                              <wps:cNvPr id="36" name="自选图形 38"/>
                              <wps:cNvCnPr>
                                <a:cxnSpLocks noChangeShapeType="1"/>
                              </wps:cNvCnPr>
                              <wps:spPr bwMode="auto">
                                <a:xfrm>
                                  <a:off x="1371460" y="1822479"/>
                                  <a:ext cx="635" cy="427990"/>
                                </a:xfrm>
                                <a:prstGeom prst="straightConnector1">
                                  <a:avLst/>
                                </a:prstGeom>
                                <a:noFill/>
                                <a:ln w="9525">
                                  <a:solidFill>
                                    <a:srgbClr val="000000"/>
                                  </a:solidFill>
                                  <a:prstDash val="dash"/>
                                  <a:round/>
                                  <a:tailEnd type="triangle" w="med" len="med"/>
                                </a:ln>
                                <a:effectLst/>
                              </wps:spPr>
                              <wps:bodyPr/>
                            </wps:wsp>
                            <wps:wsp>
                              <wps:cNvPr id="37" name="自选图形 39"/>
                              <wps:cNvCnPr>
                                <a:cxnSpLocks noChangeShapeType="1"/>
                              </wps:cNvCnPr>
                              <wps:spPr bwMode="auto">
                                <a:xfrm>
                                  <a:off x="4686733" y="1849852"/>
                                  <a:ext cx="635" cy="427990"/>
                                </a:xfrm>
                                <a:prstGeom prst="straightConnector1">
                                  <a:avLst/>
                                </a:prstGeom>
                                <a:noFill/>
                                <a:ln w="9525">
                                  <a:solidFill>
                                    <a:srgbClr val="000000"/>
                                  </a:solidFill>
                                  <a:prstDash val="dash"/>
                                  <a:round/>
                                  <a:tailEnd type="triangle" w="med" len="med"/>
                                </a:ln>
                                <a:effectLst/>
                              </wps:spPr>
                              <wps:bodyPr/>
                            </wps:wsp>
                            <wps:wsp>
                              <wps:cNvPr id="38" name="矩形 40"/>
                              <wps:cNvSpPr>
                                <a:spLocks noChangeArrowheads="1"/>
                              </wps:cNvSpPr>
                              <wps:spPr bwMode="auto">
                                <a:xfrm>
                                  <a:off x="4278138" y="2296335"/>
                                  <a:ext cx="882160" cy="404654"/>
                                </a:xfrm>
                                <a:prstGeom prst="rect">
                                  <a:avLst/>
                                </a:prstGeom>
                                <a:solidFill>
                                  <a:srgbClr val="FFFFFF"/>
                                </a:solidFill>
                                <a:ln>
                                  <a:noFill/>
                                </a:ln>
                                <a:effectLst/>
                              </wps:spPr>
                              <wps:txbx>
                                <w:txbxContent>
                                  <w:p w14:paraId="13C5AB47">
                                    <w:pPr>
                                      <w:jc w:val="center"/>
                                    </w:pPr>
                                    <w:r>
                                      <w:rPr>
                                        <w:rFonts w:hint="eastAsia"/>
                                      </w:rPr>
                                      <w:t>G</w:t>
                                    </w:r>
                                    <w:r>
                                      <w:rPr>
                                        <w:vertAlign w:val="subscript"/>
                                      </w:rPr>
                                      <w:t>3</w:t>
                                    </w:r>
                                    <w:r>
                                      <w:rPr>
                                        <w:rFonts w:hint="eastAsia"/>
                                      </w:rPr>
                                      <w:t>、N</w:t>
                                    </w:r>
                                  </w:p>
                                </w:txbxContent>
                              </wps:txbx>
                              <wps:bodyPr rot="0" vert="horz" wrap="square" lIns="91440" tIns="45720" rIns="91440" bIns="45720" anchor="t" anchorCtr="0" upright="1">
                                <a:noAutofit/>
                              </wps:bodyPr>
                            </wps:wsp>
                            <wps:wsp>
                              <wps:cNvPr id="39" name="矩形 41"/>
                              <wps:cNvSpPr>
                                <a:spLocks noChangeArrowheads="1"/>
                              </wps:cNvSpPr>
                              <wps:spPr bwMode="auto">
                                <a:xfrm>
                                  <a:off x="824212" y="2250460"/>
                                  <a:ext cx="1229603" cy="347842"/>
                                </a:xfrm>
                                <a:prstGeom prst="rect">
                                  <a:avLst/>
                                </a:prstGeom>
                                <a:solidFill>
                                  <a:srgbClr val="FFFFFF"/>
                                </a:solidFill>
                                <a:ln>
                                  <a:noFill/>
                                </a:ln>
                                <a:effectLst/>
                              </wps:spPr>
                              <wps:txbx>
                                <w:txbxContent>
                                  <w:p w14:paraId="7E26B045">
                                    <w:pPr>
                                      <w:jc w:val="center"/>
                                    </w:pPr>
                                    <w:r>
                                      <w:rPr>
                                        <w:rFonts w:hint="eastAsia"/>
                                      </w:rPr>
                                      <w:t>S</w:t>
                                    </w:r>
                                    <w:r>
                                      <w:rPr>
                                        <w:vertAlign w:val="subscript"/>
                                      </w:rPr>
                                      <w:t>4</w:t>
                                    </w:r>
                                    <w:r>
                                      <w:t>、</w:t>
                                    </w:r>
                                    <w:r>
                                      <w:rPr>
                                        <w:rFonts w:hint="eastAsia"/>
                                      </w:rPr>
                                      <w:t>N</w:t>
                                    </w:r>
                                  </w:p>
                                </w:txbxContent>
                              </wps:txbx>
                              <wps:bodyPr rot="0" vert="horz" wrap="square" lIns="91440" tIns="45720" rIns="91440" bIns="45720" anchor="t" anchorCtr="0" upright="1">
                                <a:noAutofit/>
                              </wps:bodyPr>
                            </wps:wsp>
                            <wps:wsp>
                              <wps:cNvPr id="40" name="自选图形 42"/>
                              <wps:cNvCnPr>
                                <a:cxnSpLocks noChangeShapeType="1"/>
                              </wps:cNvCnPr>
                              <wps:spPr bwMode="auto">
                                <a:xfrm flipH="1">
                                  <a:off x="4140200" y="1662808"/>
                                  <a:ext cx="281302" cy="0"/>
                                </a:xfrm>
                                <a:prstGeom prst="straightConnector1">
                                  <a:avLst/>
                                </a:prstGeom>
                                <a:noFill/>
                                <a:ln w="9525">
                                  <a:solidFill>
                                    <a:srgbClr val="000000"/>
                                  </a:solidFill>
                                  <a:round/>
                                  <a:tailEnd type="triangle" w="med" len="med"/>
                                </a:ln>
                                <a:effectLst/>
                              </wps:spPr>
                              <wps:bodyPr/>
                            </wps:wsp>
                            <wps:wsp>
                              <wps:cNvPr id="42" name="AutoShape 35"/>
                              <wps:cNvCnPr>
                                <a:cxnSpLocks noChangeShapeType="1"/>
                              </wps:cNvCnPr>
                              <wps:spPr bwMode="auto">
                                <a:xfrm flipH="1">
                                  <a:off x="1786063" y="1708075"/>
                                  <a:ext cx="317610" cy="5834"/>
                                </a:xfrm>
                                <a:prstGeom prst="straightConnector1">
                                  <a:avLst/>
                                </a:prstGeom>
                                <a:noFill/>
                                <a:ln w="9525">
                                  <a:solidFill>
                                    <a:srgbClr val="000000"/>
                                  </a:solidFill>
                                  <a:round/>
                                  <a:tailEnd type="triangle" w="med" len="med"/>
                                </a:ln>
                                <a:effectLst/>
                              </wps:spPr>
                              <wps:bodyPr/>
                            </wps:wsp>
                            <wps:wsp>
                              <wps:cNvPr id="45" name="矩形 45"/>
                              <wps:cNvSpPr>
                                <a:spLocks noChangeArrowheads="1"/>
                              </wps:cNvSpPr>
                              <wps:spPr bwMode="auto">
                                <a:xfrm>
                                  <a:off x="2053816" y="1556156"/>
                                  <a:ext cx="526025" cy="281697"/>
                                </a:xfrm>
                                <a:prstGeom prst="rect">
                                  <a:avLst/>
                                </a:prstGeom>
                                <a:solidFill>
                                  <a:srgbClr val="FFFFFF"/>
                                </a:solidFill>
                                <a:ln w="9525" algn="ctr">
                                  <a:solidFill>
                                    <a:srgbClr val="000000"/>
                                  </a:solidFill>
                                  <a:miter lim="800000"/>
                                </a:ln>
                                <a:effectLst/>
                              </wps:spPr>
                              <wps:txbx>
                                <w:txbxContent>
                                  <w:p w14:paraId="31739E0A">
                                    <w:pPr>
                                      <w:pStyle w:val="21"/>
                                      <w:spacing w:before="0" w:beforeAutospacing="0" w:after="0" w:afterAutospacing="0"/>
                                      <w:jc w:val="center"/>
                                      <w:rPr>
                                        <w:szCs w:val="24"/>
                                      </w:rPr>
                                    </w:pPr>
                                    <w:r>
                                      <w:rPr>
                                        <w:rFonts w:hint="eastAsia" w:ascii="Times New Roman"/>
                                        <w:kern w:val="2"/>
                                        <w:sz w:val="21"/>
                                        <w:szCs w:val="21"/>
                                      </w:rPr>
                                      <w:t>装配</w:t>
                                    </w:r>
                                  </w:p>
                                </w:txbxContent>
                              </wps:txbx>
                              <wps:bodyPr rot="0" vert="horz" wrap="square" lIns="91440" tIns="45720" rIns="91440" bIns="45720" anchor="t" anchorCtr="0" upright="1">
                                <a:noAutofit/>
                              </wps:bodyPr>
                            </wps:wsp>
                            <wps:wsp>
                              <wps:cNvPr id="46" name="矩形 46"/>
                              <wps:cNvSpPr>
                                <a:spLocks noChangeArrowheads="1"/>
                              </wps:cNvSpPr>
                              <wps:spPr bwMode="auto">
                                <a:xfrm>
                                  <a:off x="1025261" y="1559711"/>
                                  <a:ext cx="747221" cy="285750"/>
                                </a:xfrm>
                                <a:prstGeom prst="rect">
                                  <a:avLst/>
                                </a:prstGeom>
                                <a:solidFill>
                                  <a:srgbClr val="FFFFFF"/>
                                </a:solidFill>
                                <a:ln w="9525" algn="ctr">
                                  <a:solidFill>
                                    <a:srgbClr val="000000"/>
                                  </a:solidFill>
                                  <a:miter lim="800000"/>
                                </a:ln>
                                <a:effectLst/>
                              </wps:spPr>
                              <wps:txbx>
                                <w:txbxContent>
                                  <w:p w14:paraId="3F03AAC4">
                                    <w:pPr>
                                      <w:pStyle w:val="21"/>
                                      <w:spacing w:before="0" w:beforeAutospacing="0" w:after="0" w:afterAutospacing="0"/>
                                      <w:jc w:val="center"/>
                                      <w:rPr>
                                        <w:szCs w:val="24"/>
                                      </w:rPr>
                                    </w:pPr>
                                    <w:r>
                                      <w:rPr>
                                        <w:rFonts w:hint="eastAsia" w:ascii="Times New Roman"/>
                                        <w:kern w:val="2"/>
                                        <w:sz w:val="21"/>
                                        <w:szCs w:val="21"/>
                                      </w:rPr>
                                      <w:t>调试检验</w:t>
                                    </w:r>
                                  </w:p>
                                </w:txbxContent>
                              </wps:txbx>
                              <wps:bodyPr rot="0" vert="horz" wrap="square" lIns="91440" tIns="45720" rIns="91440" bIns="45720" anchor="t" anchorCtr="0" upright="1">
                                <a:noAutofit/>
                              </wps:bodyPr>
                            </wps:wsp>
                            <wps:wsp>
                              <wps:cNvPr id="47" name="AutoShape 35"/>
                              <wps:cNvCnPr>
                                <a:cxnSpLocks noChangeShapeType="1"/>
                              </wps:cNvCnPr>
                              <wps:spPr bwMode="auto">
                                <a:xfrm flipH="1">
                                  <a:off x="632737" y="1688265"/>
                                  <a:ext cx="364580" cy="0"/>
                                </a:xfrm>
                                <a:prstGeom prst="straightConnector1">
                                  <a:avLst/>
                                </a:prstGeom>
                                <a:noFill/>
                                <a:ln w="9525">
                                  <a:solidFill>
                                    <a:srgbClr val="000000"/>
                                  </a:solidFill>
                                  <a:round/>
                                  <a:tailEnd type="triangle" w="med" len="med"/>
                                </a:ln>
                                <a:effectLst/>
                              </wps:spPr>
                              <wps:bodyPr/>
                            </wps:wsp>
                            <wps:wsp>
                              <wps:cNvPr id="48" name="矩形 48"/>
                              <wps:cNvSpPr>
                                <a:spLocks noChangeArrowheads="1"/>
                              </wps:cNvSpPr>
                              <wps:spPr bwMode="auto">
                                <a:xfrm>
                                  <a:off x="124737" y="1537092"/>
                                  <a:ext cx="516613" cy="286385"/>
                                </a:xfrm>
                                <a:prstGeom prst="rect">
                                  <a:avLst/>
                                </a:prstGeom>
                                <a:solidFill>
                                  <a:srgbClr val="FFFFFF"/>
                                </a:solidFill>
                                <a:ln w="9525" algn="ctr">
                                  <a:solidFill>
                                    <a:srgbClr val="000000"/>
                                  </a:solidFill>
                                  <a:miter lim="800000"/>
                                </a:ln>
                                <a:effectLst/>
                              </wps:spPr>
                              <wps:txbx>
                                <w:txbxContent>
                                  <w:p w14:paraId="3FA9E1A1">
                                    <w:pPr>
                                      <w:pStyle w:val="21"/>
                                      <w:spacing w:before="0" w:beforeAutospacing="0" w:after="0" w:afterAutospacing="0"/>
                                      <w:jc w:val="center"/>
                                      <w:rPr>
                                        <w:szCs w:val="24"/>
                                      </w:rPr>
                                    </w:pPr>
                                    <w:r>
                                      <w:rPr>
                                        <w:rFonts w:hint="eastAsia" w:ascii="Times New Roman"/>
                                        <w:kern w:val="2"/>
                                        <w:sz w:val="21"/>
                                        <w:szCs w:val="21"/>
                                      </w:rPr>
                                      <w:t>产品</w:t>
                                    </w:r>
                                  </w:p>
                                </w:txbxContent>
                              </wps:txbx>
                              <wps:bodyPr rot="0" vert="horz" wrap="square" lIns="91440" tIns="45720" rIns="91440" bIns="45720" anchor="t" anchorCtr="0" upright="1">
                                <a:noAutofit/>
                              </wps:bodyPr>
                            </wps:wsp>
                            <wps:wsp>
                              <wps:cNvPr id="49" name="矩形 49"/>
                              <wps:cNvSpPr>
                                <a:spLocks noChangeArrowheads="1"/>
                              </wps:cNvSpPr>
                              <wps:spPr bwMode="auto">
                                <a:xfrm>
                                  <a:off x="2262215" y="0"/>
                                  <a:ext cx="680548" cy="433281"/>
                                </a:xfrm>
                                <a:prstGeom prst="rect">
                                  <a:avLst/>
                                </a:prstGeom>
                                <a:solidFill>
                                  <a:srgbClr val="FFFFFF"/>
                                </a:solidFill>
                                <a:ln>
                                  <a:noFill/>
                                </a:ln>
                                <a:effectLst/>
                              </wps:spPr>
                              <wps:txbx>
                                <w:txbxContent>
                                  <w:p w14:paraId="268C2229">
                                    <w:pPr>
                                      <w:pStyle w:val="21"/>
                                      <w:spacing w:before="0" w:beforeAutospacing="0" w:after="0" w:afterAutospacing="0"/>
                                      <w:jc w:val="both"/>
                                      <w:rPr>
                                        <w:szCs w:val="24"/>
                                      </w:rPr>
                                    </w:pPr>
                                    <w:r>
                                      <w:rPr>
                                        <w:rFonts w:hint="eastAsia" w:ascii="Times New Roman"/>
                                        <w:kern w:val="2"/>
                                        <w:sz w:val="21"/>
                                        <w:szCs w:val="21"/>
                                      </w:rPr>
                                      <w:t>N、S</w:t>
                                    </w:r>
                                    <w:r>
                                      <w:rPr>
                                        <w:rFonts w:ascii="Times New Roman"/>
                                        <w:kern w:val="2"/>
                                        <w:sz w:val="21"/>
                                        <w:szCs w:val="21"/>
                                        <w:vertAlign w:val="subscript"/>
                                      </w:rPr>
                                      <w:t>1</w:t>
                                    </w:r>
                                  </w:p>
                                </w:txbxContent>
                              </wps:txbx>
                              <wps:bodyPr rot="0" vert="horz" wrap="square" lIns="91440" tIns="45720" rIns="91440" bIns="45720" anchor="t" anchorCtr="0" upright="1">
                                <a:noAutofit/>
                              </wps:bodyPr>
                            </wps:wsp>
                            <wps:wsp>
                              <wps:cNvPr id="51" name="矩形 51"/>
                              <wps:cNvSpPr>
                                <a:spLocks noChangeArrowheads="1"/>
                              </wps:cNvSpPr>
                              <wps:spPr bwMode="auto">
                                <a:xfrm>
                                  <a:off x="3632139" y="1546007"/>
                                  <a:ext cx="532425" cy="286385"/>
                                </a:xfrm>
                                <a:prstGeom prst="rect">
                                  <a:avLst/>
                                </a:prstGeom>
                                <a:solidFill>
                                  <a:srgbClr val="FFFFFF"/>
                                </a:solidFill>
                                <a:ln w="9525" algn="ctr">
                                  <a:solidFill>
                                    <a:srgbClr val="000000"/>
                                  </a:solidFill>
                                  <a:miter lim="800000"/>
                                </a:ln>
                                <a:effectLst/>
                              </wps:spPr>
                              <wps:txbx>
                                <w:txbxContent>
                                  <w:p w14:paraId="16A50802">
                                    <w:pPr>
                                      <w:pStyle w:val="21"/>
                                      <w:spacing w:before="0" w:beforeAutospacing="0" w:after="0" w:afterAutospacing="0"/>
                                      <w:jc w:val="center"/>
                                      <w:rPr>
                                        <w:szCs w:val="24"/>
                                      </w:rPr>
                                    </w:pPr>
                                    <w:r>
                                      <w:rPr>
                                        <w:rFonts w:hint="eastAsia" w:ascii="Times New Roman"/>
                                        <w:kern w:val="2"/>
                                        <w:sz w:val="21"/>
                                        <w:szCs w:val="21"/>
                                      </w:rPr>
                                      <w:t>喷塑</w:t>
                                    </w:r>
                                  </w:p>
                                </w:txbxContent>
                              </wps:txbx>
                              <wps:bodyPr rot="0" vert="horz" wrap="square" lIns="91440" tIns="45720" rIns="91440" bIns="45720" anchor="t" anchorCtr="0" upright="1">
                                <a:noAutofit/>
                              </wps:bodyPr>
                            </wps:wsp>
                            <wps:wsp>
                              <wps:cNvPr id="52" name="矩形 52"/>
                              <wps:cNvSpPr>
                                <a:spLocks noChangeArrowheads="1"/>
                              </wps:cNvSpPr>
                              <wps:spPr bwMode="auto">
                                <a:xfrm>
                                  <a:off x="2842473" y="1553029"/>
                                  <a:ext cx="544195" cy="285750"/>
                                </a:xfrm>
                                <a:prstGeom prst="rect">
                                  <a:avLst/>
                                </a:prstGeom>
                                <a:solidFill>
                                  <a:srgbClr val="FFFFFF"/>
                                </a:solidFill>
                                <a:ln w="9525" algn="ctr">
                                  <a:solidFill>
                                    <a:srgbClr val="000000"/>
                                  </a:solidFill>
                                  <a:miter lim="800000"/>
                                </a:ln>
                                <a:effectLst/>
                              </wps:spPr>
                              <wps:txbx>
                                <w:txbxContent>
                                  <w:p w14:paraId="23D1EC82">
                                    <w:pPr>
                                      <w:pStyle w:val="21"/>
                                      <w:spacing w:before="0" w:beforeAutospacing="0" w:after="0" w:afterAutospacing="0"/>
                                      <w:jc w:val="center"/>
                                      <w:rPr>
                                        <w:szCs w:val="24"/>
                                      </w:rPr>
                                    </w:pPr>
                                    <w:r>
                                      <w:rPr>
                                        <w:rFonts w:hint="eastAsia" w:ascii="Times New Roman"/>
                                        <w:kern w:val="2"/>
                                        <w:sz w:val="21"/>
                                        <w:szCs w:val="21"/>
                                      </w:rPr>
                                      <w:t>固化</w:t>
                                    </w:r>
                                  </w:p>
                                </w:txbxContent>
                              </wps:txbx>
                              <wps:bodyPr rot="0" vert="horz" wrap="square" lIns="91440" tIns="45720" rIns="91440" bIns="45720" anchor="t" anchorCtr="0" upright="1">
                                <a:noAutofit/>
                              </wps:bodyPr>
                            </wps:wsp>
                            <wps:wsp>
                              <wps:cNvPr id="53" name="AutoShape 35"/>
                              <wps:cNvCnPr>
                                <a:cxnSpLocks noChangeShapeType="1"/>
                              </wps:cNvCnPr>
                              <wps:spPr bwMode="auto">
                                <a:xfrm flipH="1">
                                  <a:off x="2565587" y="1695904"/>
                                  <a:ext cx="285940" cy="5437"/>
                                </a:xfrm>
                                <a:prstGeom prst="straightConnector1">
                                  <a:avLst/>
                                </a:prstGeom>
                                <a:noFill/>
                                <a:ln w="9525">
                                  <a:solidFill>
                                    <a:srgbClr val="000000"/>
                                  </a:solidFill>
                                  <a:round/>
                                  <a:tailEnd type="triangle" w="med" len="med"/>
                                </a:ln>
                                <a:effectLst/>
                              </wps:spPr>
                              <wps:bodyPr/>
                            </wps:wsp>
                            <wps:wsp>
                              <wps:cNvPr id="54" name="AutoShape 35"/>
                              <wps:cNvCnPr>
                                <a:cxnSpLocks noChangeShapeType="1"/>
                              </wps:cNvCnPr>
                              <wps:spPr bwMode="auto">
                                <a:xfrm flipH="1">
                                  <a:off x="3376550" y="1679850"/>
                                  <a:ext cx="238156" cy="0"/>
                                </a:xfrm>
                                <a:prstGeom prst="straightConnector1">
                                  <a:avLst/>
                                </a:prstGeom>
                                <a:noFill/>
                                <a:ln w="9525">
                                  <a:solidFill>
                                    <a:srgbClr val="000000"/>
                                  </a:solidFill>
                                  <a:round/>
                                  <a:tailEnd type="triangle" w="med" len="med"/>
                                </a:ln>
                                <a:effectLst/>
                              </wps:spPr>
                              <wps:bodyPr/>
                            </wps:wsp>
                            <wps:wsp>
                              <wps:cNvPr id="56" name="自选图形 38"/>
                              <wps:cNvCnPr>
                                <a:cxnSpLocks noChangeShapeType="1"/>
                              </wps:cNvCnPr>
                              <wps:spPr bwMode="auto">
                                <a:xfrm>
                                  <a:off x="3900974" y="1861657"/>
                                  <a:ext cx="635" cy="324331"/>
                                </a:xfrm>
                                <a:prstGeom prst="straightConnector1">
                                  <a:avLst/>
                                </a:prstGeom>
                                <a:noFill/>
                                <a:ln w="9525">
                                  <a:solidFill>
                                    <a:srgbClr val="000000"/>
                                  </a:solidFill>
                                  <a:prstDash val="dash"/>
                                  <a:round/>
                                  <a:tailEnd type="triangle" w="med" len="med"/>
                                </a:ln>
                                <a:effectLst/>
                              </wps:spPr>
                              <wps:bodyPr/>
                            </wps:wsp>
                            <wps:wsp>
                              <wps:cNvPr id="57" name="矩形 57"/>
                              <wps:cNvSpPr>
                                <a:spLocks noChangeArrowheads="1"/>
                              </wps:cNvSpPr>
                              <wps:spPr bwMode="auto">
                                <a:xfrm>
                                  <a:off x="3502724" y="2157412"/>
                                  <a:ext cx="882015" cy="600075"/>
                                </a:xfrm>
                                <a:prstGeom prst="rect">
                                  <a:avLst/>
                                </a:prstGeom>
                                <a:solidFill>
                                  <a:srgbClr val="FFFFFF"/>
                                </a:solidFill>
                                <a:ln>
                                  <a:noFill/>
                                </a:ln>
                                <a:effectLst/>
                              </wps:spPr>
                              <wps:txbx>
                                <w:txbxContent>
                                  <w:p w14:paraId="2766DDBD">
                                    <w:pPr>
                                      <w:pStyle w:val="21"/>
                                      <w:spacing w:before="0" w:beforeAutospacing="0" w:after="0" w:afterAutospacing="0"/>
                                      <w:jc w:val="center"/>
                                      <w:rPr>
                                        <w:szCs w:val="24"/>
                                      </w:rPr>
                                    </w:pPr>
                                    <w:r>
                                      <w:rPr>
                                        <w:rFonts w:hint="eastAsia" w:ascii="Times New Roman"/>
                                        <w:kern w:val="2"/>
                                        <w:sz w:val="21"/>
                                        <w:szCs w:val="21"/>
                                      </w:rPr>
                                      <w:t>G</w:t>
                                    </w:r>
                                    <w:r>
                                      <w:rPr>
                                        <w:rFonts w:ascii="Times New Roman"/>
                                        <w:kern w:val="2"/>
                                        <w:sz w:val="21"/>
                                        <w:szCs w:val="21"/>
                                        <w:vertAlign w:val="subscript"/>
                                      </w:rPr>
                                      <w:t>4</w:t>
                                    </w:r>
                                    <w:r>
                                      <w:rPr>
                                        <w:rFonts w:hint="eastAsia" w:ascii="Times New Roman"/>
                                        <w:kern w:val="2"/>
                                        <w:sz w:val="21"/>
                                        <w:szCs w:val="21"/>
                                      </w:rPr>
                                      <w:t>、S</w:t>
                                    </w:r>
                                    <w:r>
                                      <w:rPr>
                                        <w:rFonts w:ascii="Times New Roman"/>
                                        <w:kern w:val="2"/>
                                        <w:sz w:val="21"/>
                                        <w:szCs w:val="21"/>
                                        <w:vertAlign w:val="subscript"/>
                                      </w:rPr>
                                      <w:t>2</w:t>
                                    </w:r>
                                  </w:p>
                                </w:txbxContent>
                              </wps:txbx>
                              <wps:bodyPr rot="0" vert="horz" wrap="square" lIns="91440" tIns="45720" rIns="91440" bIns="45720" anchor="t" anchorCtr="0" upright="1">
                                <a:noAutofit/>
                              </wps:bodyPr>
                            </wps:wsp>
                            <wps:wsp>
                              <wps:cNvPr id="58" name="矩形 58"/>
                              <wps:cNvSpPr>
                                <a:spLocks noChangeArrowheads="1"/>
                              </wps:cNvSpPr>
                              <wps:spPr bwMode="auto">
                                <a:xfrm>
                                  <a:off x="2705916" y="2263366"/>
                                  <a:ext cx="882015" cy="436943"/>
                                </a:xfrm>
                                <a:prstGeom prst="rect">
                                  <a:avLst/>
                                </a:prstGeom>
                                <a:solidFill>
                                  <a:srgbClr val="FFFFFF"/>
                                </a:solidFill>
                                <a:ln>
                                  <a:noFill/>
                                </a:ln>
                                <a:effectLst/>
                              </wps:spPr>
                              <wps:txbx>
                                <w:txbxContent>
                                  <w:p w14:paraId="2F202DEE">
                                    <w:pPr>
                                      <w:pStyle w:val="21"/>
                                      <w:spacing w:before="0" w:beforeAutospacing="0" w:after="0" w:afterAutospacing="0"/>
                                      <w:jc w:val="center"/>
                                      <w:rPr>
                                        <w:szCs w:val="24"/>
                                      </w:rPr>
                                    </w:pPr>
                                    <w:r>
                                      <w:rPr>
                                        <w:rFonts w:hint="eastAsia" w:ascii="Times New Roman"/>
                                        <w:kern w:val="2"/>
                                        <w:sz w:val="21"/>
                                        <w:szCs w:val="21"/>
                                      </w:rPr>
                                      <w:t>G</w:t>
                                    </w:r>
                                    <w:r>
                                      <w:rPr>
                                        <w:rFonts w:hint="eastAsia" w:ascii="Times New Roman"/>
                                        <w:kern w:val="2"/>
                                        <w:sz w:val="21"/>
                                        <w:szCs w:val="21"/>
                                        <w:vertAlign w:val="subscript"/>
                                      </w:rPr>
                                      <w:t>5</w:t>
                                    </w:r>
                                    <w:r>
                                      <w:rPr>
                                        <w:rFonts w:hint="eastAsia" w:ascii="Times New Roman"/>
                                        <w:kern w:val="2"/>
                                        <w:sz w:val="21"/>
                                        <w:szCs w:val="21"/>
                                      </w:rPr>
                                      <w:t>、N</w:t>
                                    </w:r>
                                  </w:p>
                                </w:txbxContent>
                              </wps:txbx>
                              <wps:bodyPr rot="0" vert="horz" wrap="square" lIns="91440" tIns="45720" rIns="91440" bIns="45720" anchor="t" anchorCtr="0" upright="1">
                                <a:noAutofit/>
                              </wps:bodyPr>
                            </wps:wsp>
                            <wps:wsp>
                              <wps:cNvPr id="59" name="自选图形 38"/>
                              <wps:cNvCnPr>
                                <a:cxnSpLocks noChangeShapeType="1"/>
                              </wps:cNvCnPr>
                              <wps:spPr bwMode="auto">
                                <a:xfrm>
                                  <a:off x="3140483" y="1863945"/>
                                  <a:ext cx="635" cy="426720"/>
                                </a:xfrm>
                                <a:prstGeom prst="straightConnector1">
                                  <a:avLst/>
                                </a:prstGeom>
                                <a:noFill/>
                                <a:ln w="9525">
                                  <a:solidFill>
                                    <a:srgbClr val="000000"/>
                                  </a:solidFill>
                                  <a:prstDash val="dash"/>
                                  <a:round/>
                                  <a:tailEnd type="triangle" w="med" len="med"/>
                                </a:ln>
                                <a:effectLst/>
                              </wps:spPr>
                              <wps:bodyPr/>
                            </wps:wsp>
                            <pic:pic xmlns:pic="http://schemas.openxmlformats.org/drawingml/2006/picture">
                              <pic:nvPicPr>
                                <pic:cNvPr id="27" name="图片 27"/>
                                <pic:cNvPicPr>
                                  <a:picLocks noChangeAspect="1"/>
                                </pic:cNvPicPr>
                              </pic:nvPicPr>
                              <pic:blipFill>
                                <a:blip r:embed="rId23"/>
                                <a:stretch>
                                  <a:fillRect/>
                                </a:stretch>
                              </pic:blipFill>
                              <pic:spPr>
                                <a:xfrm>
                                  <a:off x="56176" y="2729563"/>
                                  <a:ext cx="1372575" cy="228763"/>
                                </a:xfrm>
                                <a:prstGeom prst="rect">
                                  <a:avLst/>
                                </a:prstGeom>
                              </pic:spPr>
                            </pic:pic>
                          </wpc:wpc>
                        </a:graphicData>
                      </a:graphic>
                    </wp:inline>
                  </w:drawing>
                </mc:Choice>
                <mc:Fallback>
                  <w:pict>
                    <v:group id="_x0000_s1026" o:spid="_x0000_s1026" o:spt="203" style="height:234pt;width:428.75pt;" coordsize="5445125,2971800" editas="canvas" o:gfxdata="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">
                      <o:lock v:ext="edit" aspectratio="f"/>
                      <v:shape id="_x0000_s1026" o:spid="_x0000_s1026" style="position:absolute;left:0;top:0;height:2971800;width:5445125;" filled="f" stroked="f" coordsize="21600,21600" o:gfxdata="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">
                        <v:fill on="f" focussize="0,0"/>
                        <v:stroke on="f"/>
                        <v:imagedata o:title=""/>
                        <o:lock v:ext="edit" aspectratio="t"/>
                      </v:shape>
                      <v:rect id="矩形 5" o:spid="_x0000_s1026" o:spt="1" style="position:absolute;left:83597;top:848869;height:287020;width:655320;"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Y01a01QAAAAUBAAAPAAAAAAAAAAEA&#10;IAAAACIAAABkcnMvZG93bnJldi54bWxQSwECFAAUAAAACACHTuJAp5lkd0sCAACbBAAADgAAAAAA&#10;AAABACAAAAAkAQAAZHJzL2Uyb0RvYy54bWxQSwUGAAAAAAYABgBZAQAA4QUAAAAA&#10;">
                        <v:fill on="t" focussize="0,0"/>
                        <v:stroke color="#000000" miterlimit="8" joinstyle="miter"/>
                        <v:imagedata o:title=""/>
                        <o:lock v:ext="edit" aspectratio="f"/>
                        <v:textbox>
                          <w:txbxContent>
                            <w:p w14:paraId="31DAA5CB">
                              <w:pPr>
                                <w:jc w:val="center"/>
                              </w:pPr>
                              <w:r>
                                <w:rPr>
                                  <w:rFonts w:hint="eastAsia"/>
                                </w:rPr>
                                <w:t>设计</w:t>
                              </w:r>
                            </w:p>
                          </w:txbxContent>
                        </v:textbox>
                      </v:rect>
                      <v:rect id="矩形 6" o:spid="_x0000_s1026" o:spt="1" style="position:absolute;left:1052424;top:855219;height:287020;width:757326;"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Y01a01QAAAAUBAAAPAAAA&#10;AAAAAAEAIAAAACIAAABkcnMvZG93bnJldi54bWxQSwECFAAUAAAACACHTuJAO2Pb3lECAACdBAAA&#10;DgAAAAAAAAABACAAAAAkAQAAZHJzL2Uyb0RvYy54bWxQSwUGAAAAAAYABgBZAQAA5wUAAAAA&#10;">
                        <v:fill on="t" focussize="0,0"/>
                        <v:stroke color="#000000" miterlimit="8" joinstyle="miter"/>
                        <v:imagedata o:title=""/>
                        <o:lock v:ext="edit" aspectratio="f"/>
                        <v:textbox>
                          <w:txbxContent>
                            <w:p w14:paraId="37E2B9D4">
                              <w:pPr>
                                <w:jc w:val="center"/>
                              </w:pPr>
                              <w:r>
                                <w:rPr>
                                  <w:rFonts w:hint="eastAsia"/>
                                </w:rPr>
                                <w:t>下料切割</w:t>
                              </w:r>
                            </w:p>
                          </w:txbxContent>
                        </v:textbox>
                      </v:rect>
                      <v:rect id="矩形 7" o:spid="_x0000_s1026" o:spt="1" style="position:absolute;left:2249785;top:865010;height:287020;width:662553;"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Y01a01QAAAAUBAAAPAAAA&#10;AAAAAAEAIAAAACIAAABkcnMvZG93bnJldi54bWxQSwECFAAUAAAACACHTuJAyrybyVECAACeBAAA&#10;DgAAAAAAAAABACAAAAAkAQAAZHJzL2Uyb0RvYy54bWxQSwUGAAAAAAYABgBZAQAA5wUAAAAA&#10;">
                        <v:fill on="t" focussize="0,0"/>
                        <v:stroke color="#000000" miterlimit="8" joinstyle="miter"/>
                        <v:imagedata o:title=""/>
                        <o:lock v:ext="edit" aspectratio="f"/>
                        <v:textbox>
                          <w:txbxContent>
                            <w:p w14:paraId="37E99CC3">
                              <w:pPr>
                                <w:jc w:val="center"/>
                              </w:pPr>
                              <w:r>
                                <w:rPr>
                                  <w:rFonts w:hint="eastAsia"/>
                                </w:rPr>
                                <w:t>成型</w:t>
                              </w:r>
                            </w:p>
                          </w:txbxContent>
                        </v:textbox>
                      </v:rect>
                      <v:shape id="自选图形 8" o:spid="_x0000_s1026" o:spt="32" type="#_x0000_t32" style="position:absolute;left:755834;top:988121;flip:y;height:5715;width:277618;" filled="f" stroked="t" coordsize="21600,21600" o:gfxdata="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ozg3rWAAAA&#10;BQEAAA8AAAAAAAAAAQAgAAAAIgAAAGRycy9kb3ducmV2LnhtbFBLAQIUABQAAAAIAIdO4kCjHNVc&#10;HwIAAAgEAAAOAAAAAAAAAAEAIAAAACUBAABkcnMvZTJvRG9jLnhtbFBLBQYAAAAABgAGAFkBAAC2&#10;BQAAAAA=&#10;">
                        <v:fill on="f" focussize="0,0"/>
                        <v:stroke color="#000000" joinstyle="round" endarrow="block"/>
                        <v:imagedata o:title=""/>
                        <o:lock v:ext="edit" aspectratio="f"/>
                      </v:shape>
                      <v:shape id="自选图形 9" o:spid="_x0000_s1026" o:spt="32" type="#_x0000_t32" style="position:absolute;left:1842750;top:1001738;height:5715;width:407035;" filled="f" stroked="t" coordsize="21600,21600" o:gfxdata="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qr6sE1wAAAAUB&#10;AAAPAAAAAAAAAAEAIAAAACIAAABkcnMvZG93bnJldi54bWxQSwECFAAUAAAACACHTuJA9lghQBwC&#10;AAAABAAADgAAAAAAAAABACAAAAAmAQAAZHJzL2Uyb0RvYy54bWxQSwUGAAAAAAYABgBZAQAAtAUA&#10;AAAA&#10;">
                        <v:fill on="f" focussize="0,0"/>
                        <v:stroke color="#000000" joinstyle="round" endarrow="block"/>
                        <v:imagedata o:title=""/>
                        <o:lock v:ext="edit" aspectratio="f"/>
                      </v:shape>
                      <v:rect id="矩形 12" o:spid="_x0000_s1026" o:spt="1" style="position:absolute;left:3240042;top:860505;height:287020;width:691967;"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jTVrTVAAAABQEAAA8A&#10;AAAAAAAAAQAgAAAAIgAAAGRycy9kb3ducmV2LnhtbFBLAQIUABQAAAAIAIdO4kBFmlXfUwIAAJ8E&#10;AAAOAAAAAAAAAAEAIAAAACQBAABkcnMvZTJvRG9jLnhtbFBLBQYAAAAABgAGAFkBAADpBQAAAAA=&#10;">
                        <v:fill on="t" focussize="0,0"/>
                        <v:stroke color="#000000" miterlimit="8" joinstyle="miter"/>
                        <v:imagedata o:title=""/>
                        <o:lock v:ext="edit" aspectratio="f"/>
                        <v:textbox>
                          <w:txbxContent>
                            <w:p w14:paraId="73023FDE">
                              <w:pPr>
                                <w:jc w:val="center"/>
                              </w:pPr>
                              <w:r>
                                <w:rPr>
                                  <w:rFonts w:hint="eastAsia"/>
                                </w:rPr>
                                <w:t>焊接</w:t>
                              </w:r>
                            </w:p>
                          </w:txbxContent>
                        </v:textbox>
                      </v:rect>
                      <v:shape id="自选图形 13" o:spid="_x0000_s1026" o:spt="32" type="#_x0000_t32" style="position:absolute;left:2931042;top:991745;height:1699;width:309000;" filled="f" stroked="t" coordsize="21600,21600" o:gfxdata="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qr6sE1wAAAAUB&#10;AAAPAAAAAAAAAAEAIAAAACIAAABkcnMvZG93bnJldi54bWxQSwECFAAUAAAACACHTuJAibpG6xwC&#10;AAAABAAADgAAAAAAAAABACAAAAAmAQAAZHJzL2Uyb0RvYy54bWxQSwUGAAAAAAYABgBZAQAAtAUA&#10;AAAA&#10;">
                        <v:fill on="f" focussize="0,0"/>
                        <v:stroke color="#000000" joinstyle="round" endarrow="block"/>
                        <v:imagedata o:title=""/>
                        <o:lock v:ext="edit" aspectratio="f"/>
                      </v:shape>
                      <v:rect id="矩形 14" o:spid="_x0000_s1026" o:spt="1" style="position:absolute;left:4307785;top:856077;height:287020;width:808627;"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jTVrTVAAAABQEAAA8A&#10;AAAAAAAAAQAgAAAAIgAAAGRycy9kb3ducmV2LnhtbFBLAQIUABQAAAAIAIdO4kCfQgKJUwIAAJ8E&#10;AAAOAAAAAAAAAAEAIAAAACQBAABkcnMvZTJvRG9jLnhtbFBLBQYAAAAABgAGAFkBAADpBQAAAAA=&#10;">
                        <v:fill on="t" focussize="0,0"/>
                        <v:stroke color="#000000" miterlimit="8" joinstyle="miter"/>
                        <v:imagedata o:title=""/>
                        <o:lock v:ext="edit" aspectratio="f"/>
                        <v:textbox>
                          <w:txbxContent>
                            <w:p w14:paraId="340D05A7">
                              <w:pPr>
                                <w:jc w:val="center"/>
                              </w:pPr>
                              <w:r>
                                <w:rPr>
                                  <w:rFonts w:hint="eastAsia"/>
                                </w:rPr>
                                <w:t>焊缝检验</w:t>
                              </w:r>
                            </w:p>
                          </w:txbxContent>
                        </v:textbox>
                      </v:rect>
                      <v:shape id="自选图形 15" o:spid="_x0000_s1026" o:spt="32" type="#_x0000_t32" style="position:absolute;left:3953854;top:1014110;height:0;width:296053;" filled="f" stroked="t" coordsize="21600,21600" o:gfxdata="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qvqwTXAAAABQEA&#10;AA8AAAAAAAAAAQAgAAAAIgAAAGRycy9kb3ducmV2LnhtbFBLAQIUABQAAAAIAIdO4kA9/lSTGwIA&#10;AP4DAAAOAAAAAAAAAAEAIAAAACYBAABkcnMvZTJvRG9jLnhtbFBLBQYAAAAABgAGAFkBAACzBQAA&#10;AAA=&#10;">
                        <v:fill on="f" focussize="0,0"/>
                        <v:stroke color="#000000" joinstyle="round" endarrow="block"/>
                        <v:imagedata o:title=""/>
                        <o:lock v:ext="edit" aspectratio="f"/>
                      </v:shape>
                      <v:rect id="矩形 18" o:spid="_x0000_s1026" o:spt="1" style="position:absolute;left:4421502;top:1535468;height:287020;width:676398;"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NNWtNUAAAAFAQAA&#10;DwAAAAAAAAABACAAAAAiAAAAZHJzL2Rvd25yZXYueG1sUEsBAhQAFAAAAAgAh07iQCs1LlxVAgAA&#10;oAQAAA4AAAAAAAAAAQAgAAAAJAEAAGRycy9lMm9Eb2MueG1sUEsFBgAAAAAGAAYAWQEAAOsFAAAA&#10;AA==&#10;">
                        <v:fill on="t" focussize="0,0"/>
                        <v:stroke color="#000000" miterlimit="8" joinstyle="miter"/>
                        <v:imagedata o:title=""/>
                        <o:lock v:ext="edit" aspectratio="f"/>
                        <v:textbox>
                          <w:txbxContent>
                            <w:p w14:paraId="19F38A85">
                              <w:pPr>
                                <w:jc w:val="center"/>
                              </w:pPr>
                              <w:r>
                                <w:rPr>
                                  <w:rFonts w:hint="eastAsia"/>
                                </w:rPr>
                                <w:t>抛光</w:t>
                              </w:r>
                            </w:p>
                          </w:txbxContent>
                        </v:textbox>
                      </v:rect>
                      <v:shape id="自选图形 19" o:spid="_x0000_s1026" o:spt="32" type="#_x0000_t32" style="position:absolute;left:4701218;top:1143098;height:328295;width:6985;" filled="f" stroked="t" coordsize="21600,21600" o:gfxdata="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qvqwTXAAAA&#10;BQEAAA8AAAAAAAAAAQAgAAAAIgAAAGRycy9kb3ducmV2LnhtbFBLAQIUABQAAAAIAIdO4kA/axdD&#10;HgIAAAEEAAAOAAAAAAAAAAEAIAAAACYBAABkcnMvZTJvRG9jLnhtbFBLBQYAAAAABgAGAFkBAAC2&#10;BQAAAAA=&#10;">
                        <v:fill on="f" focussize="0,0"/>
                        <v:stroke color="#000000" joinstyle="round" endarrow="block"/>
                        <v:imagedata o:title=""/>
                        <o:lock v:ext="edit" aspectratio="f"/>
                      </v:shape>
                      <v:shape id="自选图形 26" o:spid="_x0000_s1026" o:spt="32" type="#_x0000_t32" style="position:absolute;left:1368285;top:455821;flip:y;height:377190;width:3175;" filled="f" stroked="t" coordsize="21600,21600" o:gfxdata="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ebIndIAAAAFAQAADwAAAAAAAAABACAAAAAiAAAAZHJzL2Rvd25yZXYueG1sUEsBAhQAFAAA&#10;AAgAh07iQAxFKAQuAgAAIgQAAA4AAAAAAAAAAQAgAAAAIQEAAGRycy9lMm9Eb2MueG1sUEsFBgAA&#10;AAAGAAYAWQEAAMEFAAAAAA==&#10;">
                        <v:fill on="f" focussize="0,0"/>
                        <v:stroke color="#000000" joinstyle="round" dashstyle="dash" endarrow="block"/>
                        <v:imagedata o:title=""/>
                        <o:lock v:ext="edit" aspectratio="f"/>
                      </v:shape>
                      <v:rect id="矩形 27" o:spid="_x0000_s1026" o:spt="1" style="position:absolute;left:787307;top:0;height:461056;width:1279618;"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IqmerVAAAABQEAAA8AAAAAAAAAAQAgAAAAIgAAAGRycy9kb3ducmV2LnhtbFBLAQIUABQA&#10;AAAIAIdO4kBiWgiwLAIAAEYEAAAOAAAAAAAAAAEAIAAAACQBAABkcnMvZTJvRG9jLnhtbFBLBQYA&#10;AAAABgAGAFkBAADCBQAAAAA=&#10;">
                        <v:fill on="t" focussize="0,0"/>
                        <v:stroke on="f"/>
                        <v:imagedata o:title=""/>
                        <o:lock v:ext="edit" aspectratio="f"/>
                        <v:textbox>
                          <w:txbxContent>
                            <w:p w14:paraId="0AA3EDB2">
                              <w:r>
                                <w:rPr>
                                  <w:rFonts w:hint="eastAsia"/>
                                </w:rPr>
                                <w:t>G</w:t>
                              </w:r>
                              <w:r>
                                <w:rPr>
                                  <w:rFonts w:hint="eastAsia"/>
                                  <w:vertAlign w:val="subscript"/>
                                </w:rPr>
                                <w:t>1</w:t>
                              </w:r>
                              <w:r>
                                <w:t>、</w:t>
                              </w:r>
                              <w:r>
                                <w:rPr>
                                  <w:rFonts w:hint="eastAsia"/>
                                </w:rPr>
                                <w:t>S</w:t>
                              </w:r>
                              <w:r>
                                <w:rPr>
                                  <w:vertAlign w:val="subscript"/>
                                </w:rPr>
                                <w:t>1</w:t>
                              </w:r>
                              <w:r>
                                <w:t>、</w:t>
                              </w:r>
                              <w:r>
                                <w:rPr>
                                  <w:rFonts w:hint="eastAsia"/>
                                </w:rPr>
                                <w:t>S</w:t>
                              </w:r>
                              <w:r>
                                <w:rPr>
                                  <w:vertAlign w:val="subscript"/>
                                </w:rPr>
                                <w:t>2</w:t>
                              </w:r>
                              <w:r>
                                <w:rPr>
                                  <w:rFonts w:hint="eastAsia"/>
                                </w:rPr>
                                <w:t>、N</w:t>
                              </w:r>
                            </w:p>
                          </w:txbxContent>
                        </v:textbox>
                      </v:rect>
                      <v:shape id="自选图形 28" o:spid="_x0000_s1026" o:spt="32" type="#_x0000_t32" style="position:absolute;left:2588895;top:451599;flip:y;height:377190;width:3175;" filled="f" stroked="t" coordsize="21600,21600" o:gfxdata="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x5sid0gAAAAUBAAAPAAAAAAAAAAEAIAAAACIAAABkcnMvZG93bnJldi54bWxQSwECFAAUAAAA&#10;CACHTuJA9DTjEi0CAAAiBAAADgAAAAAAAAABACAAAAAhAQAAZHJzL2Uyb0RvYy54bWxQSwUGAAAA&#10;AAYABgBZAQAAwAUAAAAA&#10;">
                        <v:fill on="f" focussize="0,0"/>
                        <v:stroke color="#000000" joinstyle="round" dashstyle="dash" endarrow="block"/>
                        <v:imagedata o:title=""/>
                        <o:lock v:ext="edit" aspectratio="f"/>
                      </v:shape>
                      <v:rect id="_x0000_s1026" o:spid="_x0000_s1026" o:spt="1" style="position:absolute;left:3109208;top:10607;height:469900;width:1209553;"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SKpnq1QAAAAUBAAAPAAAAAAAAAAEAIAAAACIAAABkcnMvZG93bnJldi54bWxQ&#10;SwECFAAUAAAACACHTuJARBdn3zMCAABLBAAADgAAAAAAAAABACAAAAAkAQAAZHJzL2Uyb0RvYy54&#10;bWxQSwUGAAAAAAYABgBZAQAAyQUAAAAA&#10;">
                        <v:fill on="t" focussize="0,0"/>
                        <v:stroke on="f"/>
                        <v:imagedata o:title=""/>
                        <o:lock v:ext="edit" aspectratio="f"/>
                        <v:textbox>
                          <w:txbxContent>
                            <w:p w14:paraId="2A8DE5A5">
                              <w:r>
                                <w:rPr>
                                  <w:rFonts w:hint="eastAsia"/>
                                </w:rPr>
                                <w:t>G</w:t>
                              </w:r>
                              <w:r>
                                <w:rPr>
                                  <w:vertAlign w:val="subscript"/>
                                </w:rPr>
                                <w:t>2</w:t>
                              </w:r>
                              <w:r>
                                <w:t>、</w:t>
                              </w:r>
                              <w:r>
                                <w:rPr>
                                  <w:rFonts w:hint="eastAsia"/>
                                </w:rPr>
                                <w:t>S</w:t>
                              </w:r>
                              <w:r>
                                <w:rPr>
                                  <w:vertAlign w:val="subscript"/>
                                </w:rPr>
                                <w:t>3</w:t>
                              </w:r>
                              <w:r>
                                <w:t>、</w:t>
                              </w:r>
                              <w:r>
                                <w:rPr>
                                  <w:rFonts w:hint="eastAsia"/>
                                </w:rPr>
                                <w:t>N</w:t>
                              </w:r>
                            </w:p>
                          </w:txbxContent>
                        </v:textbox>
                      </v:rect>
                      <v:shape id="自选图形 33" o:spid="_x0000_s1026" o:spt="32" type="#_x0000_t32" style="position:absolute;left:3569706;top:441027;flip:y;height:377190;width:3175;" filled="f" stroked="t" coordsize="21600,21600" o:gfxdata="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x5sid0gAAAAUBAAAPAAAAAAAAAAEAIAAAACIAAABkcnMvZG93bnJldi54bWxQSwECFAAUAAAA&#10;CACHTuJAllfHDS0CAAAiBAAADgAAAAAAAAABACAAAAAhAQAAZHJzL2Uyb0RvYy54bWxQSwUGAAAA&#10;AAYABgBZAQAAwAUAAAAA&#10;">
                        <v:fill on="f" focussize="0,0"/>
                        <v:stroke color="#000000" joinstyle="round" dashstyle="dash" endarrow="block"/>
                        <v:imagedata o:title=""/>
                        <o:lock v:ext="edit" aspectratio="f"/>
                      </v:shape>
                      <v:rect id="_x0000_s1026" o:spid="_x0000_s1026" o:spt="1" style="position:absolute;left:4284857;top:160069;height:300990;width:852698;"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UiqZ6tUAAAAFAQAADwAAAAAAAAABACAAAAAiAAAAZHJzL2Rvd25yZXYueG1s&#10;UEsBAhQAFAAAAAgAh07iQPfWup40AgAASwQAAA4AAAAAAAAAAQAgAAAAJAEAAGRycy9lMm9Eb2Mu&#10;eG1sUEsFBgAAAAAGAAYAWQEAAMoFAAAAAA==&#10;">
                        <v:fill on="t" focussize="0,0"/>
                        <v:stroke on="f"/>
                        <v:imagedata o:title=""/>
                        <o:lock v:ext="edit" aspectratio="f"/>
                        <v:textbox>
                          <w:txbxContent>
                            <w:p w14:paraId="59BA9E88">
                              <w:pPr>
                                <w:jc w:val="center"/>
                              </w:pPr>
                              <w:r>
                                <w:rPr>
                                  <w:rFonts w:hint="eastAsia"/>
                                </w:rPr>
                                <w:t>N</w:t>
                              </w:r>
                            </w:p>
                          </w:txbxContent>
                        </v:textbox>
                      </v:rect>
                      <v:shape id="自选图形 35" o:spid="_x0000_s1026" o:spt="32" type="#_x0000_t32" style="position:absolute;left:4701230;top:494743;flip:y;height:377190;width:3175;" filled="f" stroked="t" coordsize="21600,21600" o:gfxdata="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HmyJ3SAAAABQEAAA8AAAAAAAAAAQAgAAAAIgAAAGRycy9kb3ducmV2LnhtbFBLAQIUABQAAAAI&#10;AIdO4kD6K/ToLAIAACIEAAAOAAAAAAAAAAEAIAAAACEBAABkcnMvZTJvRG9jLnhtbFBLBQYAAAAA&#10;BgAGAFkBAAC/BQAAAAA=&#10;">
                        <v:fill on="f" focussize="0,0"/>
                        <v:stroke color="#000000" joinstyle="round" dashstyle="dash" endarrow="block"/>
                        <v:imagedata o:title=""/>
                        <o:lock v:ext="edit" aspectratio="f"/>
                      </v:shape>
                      <v:shape id="自选图形 38" o:spid="_x0000_s1026" o:spt="32" type="#_x0000_t32" style="position:absolute;left:1371460;top:1822479;height:427990;width:635;" filled="f" stroked="t" coordsize="21600,21600" o:gfxdata="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t&#10;cJj/0wAAAAUBAAAPAAAAAAAAAAEAIAAAACIAAABkcnMvZG93bnJldi54bWxQSwECFAAUAAAACACH&#10;TuJA3cCm0ikCAAAYBAAADgAAAAAAAAABACAAAAAiAQAAZHJzL2Uyb0RvYy54bWxQSwUGAAAAAAYA&#10;BgBZAQAAvQUAAAAA&#10;">
                        <v:fill on="f" focussize="0,0"/>
                        <v:stroke color="#000000" joinstyle="round" dashstyle="dash" endarrow="block"/>
                        <v:imagedata o:title=""/>
                        <o:lock v:ext="edit" aspectratio="f"/>
                      </v:shape>
                      <v:shape id="自选图形 39" o:spid="_x0000_s1026" o:spt="32" type="#_x0000_t32" style="position:absolute;left:4686733;top:1849852;height:427990;width:635;" filled="f" stroked="t" coordsize="21600,21600" o:gfxdata="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t&#10;cJj/0wAAAAUBAAAPAAAAAAAAAAEAIAAAACIAAABkcnMvZG93bnJldi54bWxQSwECFAAUAAAACACH&#10;TuJAF6R6VSkCAAAYBAAADgAAAAAAAAABACAAAAAiAQAAZHJzL2Uyb0RvYy54bWxQSwUGAAAAAAYA&#10;BgBZAQAAvQUAAAAA&#10;">
                        <v:fill on="f" focussize="0,0"/>
                        <v:stroke color="#000000" joinstyle="round" dashstyle="dash" endarrow="block"/>
                        <v:imagedata o:title=""/>
                        <o:lock v:ext="edit" aspectratio="f"/>
                      </v:shape>
                      <v:rect id="矩形 40" o:spid="_x0000_s1026" o:spt="1" style="position:absolute;left:4278138;top:2296335;height:404654;width:882160;"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IqmerVAAAABQEAAA8AAAAAAAAAAQAgAAAAIgAAAGRycy9kb3ducmV2Lnht&#10;bFBLAQIUABQAAAAIAIdO4kCjF/v9NQIAAEwEAAAOAAAAAAAAAAEAIAAAACQBAABkcnMvZTJvRG9j&#10;LnhtbFBLBQYAAAAABgAGAFkBAADLBQAAAAA=&#10;">
                        <v:fill on="t" focussize="0,0"/>
                        <v:stroke on="f"/>
                        <v:imagedata o:title=""/>
                        <o:lock v:ext="edit" aspectratio="f"/>
                        <v:textbox>
                          <w:txbxContent>
                            <w:p w14:paraId="13C5AB47">
                              <w:pPr>
                                <w:jc w:val="center"/>
                              </w:pPr>
                              <w:r>
                                <w:rPr>
                                  <w:rFonts w:hint="eastAsia"/>
                                </w:rPr>
                                <w:t>G</w:t>
                              </w:r>
                              <w:r>
                                <w:rPr>
                                  <w:vertAlign w:val="subscript"/>
                                </w:rPr>
                                <w:t>3</w:t>
                              </w:r>
                              <w:r>
                                <w:rPr>
                                  <w:rFonts w:hint="eastAsia"/>
                                </w:rPr>
                                <w:t>、N</w:t>
                              </w:r>
                            </w:p>
                          </w:txbxContent>
                        </v:textbox>
                      </v:rect>
                      <v:rect id="矩形 41" o:spid="_x0000_s1026" o:spt="1" style="position:absolute;left:824212;top:2250460;height:347842;width:1229603;"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UiqZ6tUAAAAFAQAADwAAAAAAAAABACAAAAAiAAAAZHJzL2Rvd25yZXYueG1s&#10;UEsBAhQAFAAAAAgAh07iQNSywfM0AgAATAQAAA4AAAAAAAAAAQAgAAAAJAEAAGRycy9lMm9Eb2Mu&#10;eG1sUEsFBgAAAAAGAAYAWQEAAMoFAAAAAA==&#10;">
                        <v:fill on="t" focussize="0,0"/>
                        <v:stroke on="f"/>
                        <v:imagedata o:title=""/>
                        <o:lock v:ext="edit" aspectratio="f"/>
                        <v:textbox>
                          <w:txbxContent>
                            <w:p w14:paraId="7E26B045">
                              <w:pPr>
                                <w:jc w:val="center"/>
                              </w:pPr>
                              <w:r>
                                <w:rPr>
                                  <w:rFonts w:hint="eastAsia"/>
                                </w:rPr>
                                <w:t>S</w:t>
                              </w:r>
                              <w:r>
                                <w:rPr>
                                  <w:vertAlign w:val="subscript"/>
                                </w:rPr>
                                <w:t>4</w:t>
                              </w:r>
                              <w:r>
                                <w:t>、</w:t>
                              </w:r>
                              <w:r>
                                <w:rPr>
                                  <w:rFonts w:hint="eastAsia"/>
                                </w:rPr>
                                <w:t>N</w:t>
                              </w:r>
                            </w:p>
                          </w:txbxContent>
                        </v:textbox>
                      </v:rect>
                      <v:shape id="自选图形 42" o:spid="_x0000_s1026" o:spt="32" type="#_x0000_t32" style="position:absolute;left:4140200;top:1662808;flip:x;height:0;width:281302;" filled="f" stroked="t" coordsize="21600,21600" o:gfxdata="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ozg3rWAAAA&#10;BQEAAA8AAAAAAAAAAQAgAAAAIgAAAGRycy9kb3ducmV2LnhtbFBLAQIUABQAAAAIAIdO4kCw5pqV&#10;HwIAAAgEAAAOAAAAAAAAAAEAIAAAACUBAABkcnMvZTJvRG9jLnhtbFBLBQYAAAAABgAGAFkBAAC2&#10;BQAAAAA=&#10;">
                        <v:fill on="f" focussize="0,0"/>
                        <v:stroke color="#000000" joinstyle="round" endarrow="block"/>
                        <v:imagedata o:title=""/>
                        <o:lock v:ext="edit" aspectratio="f"/>
                      </v:shape>
                      <v:shape id="AutoShape 35" o:spid="_x0000_s1026" o:spt="32" type="#_x0000_t32" style="position:absolute;left:1786063;top:1708075;flip:x;height:5834;width:317610;" filled="f" stroked="t" coordsize="21600,21600" o:gfxdata="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aM4N61gAAAAUBAAAPAAAAAAAAAAEAIAAAACIA&#10;AABkcnMvZG93bnJldi54bWxQSwECFAAUAAAACACHTuJAgrKPhQsCAAAIBAAADgAAAAAAAAABACAA&#10;AAAlAQAAZHJzL2Uyb0RvYy54bWxQSwUGAAAAAAYABgBZAQAAogUAAAAA&#10;">
                        <v:fill on="f" focussize="0,0"/>
                        <v:stroke color="#000000" joinstyle="round" endarrow="block"/>
                        <v:imagedata o:title=""/>
                        <o:lock v:ext="edit" aspectratio="f"/>
                      </v:shape>
                      <v:rect id="_x0000_s1026" o:spid="_x0000_s1026" o:spt="1" style="position:absolute;left:2053816;top:1556156;height:281697;width:526025;"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Y01a01QAAAAUBAAAPAAAA&#10;AAAAAAEAIAAAACIAAABkcnMvZG93bnJldi54bWxQSwECFAAUAAAACACHTuJADDF8TFECAACgBAAA&#10;DgAAAAAAAAABACAAAAAkAQAAZHJzL2Uyb0RvYy54bWxQSwUGAAAAAAYABgBZAQAA5wUAAAAA&#10;">
                        <v:fill on="t" focussize="0,0"/>
                        <v:stroke color="#000000" miterlimit="8" joinstyle="miter"/>
                        <v:imagedata o:title=""/>
                        <o:lock v:ext="edit" aspectratio="f"/>
                        <v:textbox>
                          <w:txbxContent>
                            <w:p w14:paraId="31739E0A">
                              <w:pPr>
                                <w:pStyle w:val="21"/>
                                <w:spacing w:before="0" w:beforeAutospacing="0" w:after="0" w:afterAutospacing="0"/>
                                <w:jc w:val="center"/>
                                <w:rPr>
                                  <w:szCs w:val="24"/>
                                </w:rPr>
                              </w:pPr>
                              <w:r>
                                <w:rPr>
                                  <w:rFonts w:hint="eastAsia" w:ascii="Times New Roman"/>
                                  <w:kern w:val="2"/>
                                  <w:sz w:val="21"/>
                                  <w:szCs w:val="21"/>
                                </w:rPr>
                                <w:t>装配</w:t>
                              </w:r>
                            </w:p>
                          </w:txbxContent>
                        </v:textbox>
                      </v:rect>
                      <v:rect id="_x0000_s1026" o:spid="_x0000_s1026" o:spt="1" style="position:absolute;left:1025261;top:1559711;height:285750;width:747221;"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NNWtNUAAAAFAQAADwAA&#10;AAAAAAABACAAAAAiAAAAZHJzL2Rvd25yZXYueG1sUEsBAhQAFAAAAAgAh07iQKQVNihSAgAAoAQA&#10;AA4AAAAAAAAAAQAgAAAAJAEAAGRycy9lMm9Eb2MueG1sUEsFBgAAAAAGAAYAWQEAAOgFAAAAAA==&#10;">
                        <v:fill on="t" focussize="0,0"/>
                        <v:stroke color="#000000" miterlimit="8" joinstyle="miter"/>
                        <v:imagedata o:title=""/>
                        <o:lock v:ext="edit" aspectratio="f"/>
                        <v:textbox>
                          <w:txbxContent>
                            <w:p w14:paraId="3F03AAC4">
                              <w:pPr>
                                <w:pStyle w:val="21"/>
                                <w:spacing w:before="0" w:beforeAutospacing="0" w:after="0" w:afterAutospacing="0"/>
                                <w:jc w:val="center"/>
                                <w:rPr>
                                  <w:szCs w:val="24"/>
                                </w:rPr>
                              </w:pPr>
                              <w:r>
                                <w:rPr>
                                  <w:rFonts w:hint="eastAsia" w:ascii="Times New Roman"/>
                                  <w:kern w:val="2"/>
                                  <w:sz w:val="21"/>
                                  <w:szCs w:val="21"/>
                                </w:rPr>
                                <w:t>调试检验</w:t>
                              </w:r>
                            </w:p>
                          </w:txbxContent>
                        </v:textbox>
                      </v:rect>
                      <v:shape id="AutoShape 35" o:spid="_x0000_s1026" o:spt="32" type="#_x0000_t32" style="position:absolute;left:632737;top:1688265;flip:x;height:0;width:364580;" filled="f" stroked="t" coordsize="21600,21600" o:gfxdata="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ozg3rWAAAABQEAAA8AAAAAAAAAAQAgAAAAIgAA&#10;AGRycy9kb3ducmV2LnhtbFBLAQIUABQAAAAIAIdO4kCI8kvNCgIAAAQEAAAOAAAAAAAAAAEAIAAA&#10;ACUBAABkcnMvZTJvRG9jLnhtbFBLBQYAAAAABgAGAFkBAAChBQAAAAA=&#10;">
                        <v:fill on="f" focussize="0,0"/>
                        <v:stroke color="#000000" joinstyle="round" endarrow="block"/>
                        <v:imagedata o:title=""/>
                        <o:lock v:ext="edit" aspectratio="f"/>
                      </v:shape>
                      <v:rect id="_x0000_s1026" o:spid="_x0000_s1026" o:spt="1" style="position:absolute;left:124737;top:1537092;height:286385;width:516613;"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jTVrTVAAAABQEAAA8AAAAA&#10;AAAAAQAgAAAAIgAAAGRycy9kb3ducmV2LnhtbFBLAQIUABQAAAAIAIdO4kDns/etUAIAAJ8EAAAO&#10;AAAAAAAAAAEAIAAAACQBAABkcnMvZTJvRG9jLnhtbFBLBQYAAAAABgAGAFkBAADmBQAAAAA=&#10;">
                        <v:fill on="t" focussize="0,0"/>
                        <v:stroke color="#000000" miterlimit="8" joinstyle="miter"/>
                        <v:imagedata o:title=""/>
                        <o:lock v:ext="edit" aspectratio="f"/>
                        <v:textbox>
                          <w:txbxContent>
                            <w:p w14:paraId="3FA9E1A1">
                              <w:pPr>
                                <w:pStyle w:val="21"/>
                                <w:spacing w:before="0" w:beforeAutospacing="0" w:after="0" w:afterAutospacing="0"/>
                                <w:jc w:val="center"/>
                                <w:rPr>
                                  <w:szCs w:val="24"/>
                                </w:rPr>
                              </w:pPr>
                              <w:r>
                                <w:rPr>
                                  <w:rFonts w:hint="eastAsia" w:ascii="Times New Roman"/>
                                  <w:kern w:val="2"/>
                                  <w:sz w:val="21"/>
                                  <w:szCs w:val="21"/>
                                </w:rPr>
                                <w:t>产品</w:t>
                              </w:r>
                            </w:p>
                          </w:txbxContent>
                        </v:textbox>
                      </v:rect>
                      <v:rect id="_x0000_s1026" o:spid="_x0000_s1026" o:spt="1" style="position:absolute;left:2262215;top:0;height:433281;width:680548;"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IqmerVAAAABQEAAA8AAAAAAAAAAQAgAAAAIgAAAGRycy9kb3ducmV2LnhtbFBLAQIUABQA&#10;AAAIAIdO4kCrIYGyLAIAAEYEAAAOAAAAAAAAAAEAIAAAACQBAABkcnMvZTJvRG9jLnhtbFBLBQYA&#10;AAAABgAGAFkBAADCBQAAAAA=&#10;">
                        <v:fill on="t" focussize="0,0"/>
                        <v:stroke on="f"/>
                        <v:imagedata o:title=""/>
                        <o:lock v:ext="edit" aspectratio="f"/>
                        <v:textbox>
                          <w:txbxContent>
                            <w:p w14:paraId="268C2229">
                              <w:pPr>
                                <w:pStyle w:val="21"/>
                                <w:spacing w:before="0" w:beforeAutospacing="0" w:after="0" w:afterAutospacing="0"/>
                                <w:jc w:val="both"/>
                                <w:rPr>
                                  <w:szCs w:val="24"/>
                                </w:rPr>
                              </w:pPr>
                              <w:r>
                                <w:rPr>
                                  <w:rFonts w:hint="eastAsia" w:ascii="Times New Roman"/>
                                  <w:kern w:val="2"/>
                                  <w:sz w:val="21"/>
                                  <w:szCs w:val="21"/>
                                </w:rPr>
                                <w:t>N、S</w:t>
                              </w:r>
                              <w:r>
                                <w:rPr>
                                  <w:rFonts w:ascii="Times New Roman"/>
                                  <w:kern w:val="2"/>
                                  <w:sz w:val="21"/>
                                  <w:szCs w:val="21"/>
                                  <w:vertAlign w:val="subscript"/>
                                </w:rPr>
                                <w:t>1</w:t>
                              </w:r>
                            </w:p>
                          </w:txbxContent>
                        </v:textbox>
                      </v:rect>
                      <v:rect id="_x0000_s1026" o:spid="_x0000_s1026" o:spt="1" style="position:absolute;left:3632139;top:1546007;height:286385;width:532425;"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NNWtNUAAAAFAQAADwAA&#10;AAAAAAABACAAAAAiAAAAZHJzL2Rvd25yZXYueG1sUEsBAhQAFAAAAAgAh07iQHKvLV1SAgAAoAQA&#10;AA4AAAAAAAAAAQAgAAAAJAEAAGRycy9lMm9Eb2MueG1sUEsFBgAAAAAGAAYAWQEAAOgFAAAAAA==&#10;">
                        <v:fill on="t" focussize="0,0"/>
                        <v:stroke color="#000000" miterlimit="8" joinstyle="miter"/>
                        <v:imagedata o:title=""/>
                        <o:lock v:ext="edit" aspectratio="f"/>
                        <v:textbox>
                          <w:txbxContent>
                            <w:p w14:paraId="16A50802">
                              <w:pPr>
                                <w:pStyle w:val="21"/>
                                <w:spacing w:before="0" w:beforeAutospacing="0" w:after="0" w:afterAutospacing="0"/>
                                <w:jc w:val="center"/>
                                <w:rPr>
                                  <w:szCs w:val="24"/>
                                </w:rPr>
                              </w:pPr>
                              <w:r>
                                <w:rPr>
                                  <w:rFonts w:hint="eastAsia" w:ascii="Times New Roman"/>
                                  <w:kern w:val="2"/>
                                  <w:sz w:val="21"/>
                                  <w:szCs w:val="21"/>
                                </w:rPr>
                                <w:t>喷塑</w:t>
                              </w:r>
                            </w:p>
                          </w:txbxContent>
                        </v:textbox>
                      </v:rect>
                      <v:rect id="_x0000_s1026" o:spid="_x0000_s1026" o:spt="1" style="position:absolute;left:2842473;top:1553029;height:285750;width:544195;" fillcolor="#FFFFFF" filled="t" stroked="t" coordsize="21600,21600" o:gfxdata="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Y01a01QAAAAUBAAAP&#10;AAAAAAAAAAEAIAAAACIAAABkcnMvZG93bnJldi54bWxQSwECFAAUAAAACACHTuJAmnC4OFQCAACg&#10;BAAADgAAAAAAAAABACAAAAAkAQAAZHJzL2Uyb0RvYy54bWxQSwUGAAAAAAYABgBZAQAA6gUAAAAA&#10;">
                        <v:fill on="t" focussize="0,0"/>
                        <v:stroke color="#000000" miterlimit="8" joinstyle="miter"/>
                        <v:imagedata o:title=""/>
                        <o:lock v:ext="edit" aspectratio="f"/>
                        <v:textbox>
                          <w:txbxContent>
                            <w:p w14:paraId="23D1EC82">
                              <w:pPr>
                                <w:pStyle w:val="21"/>
                                <w:spacing w:before="0" w:beforeAutospacing="0" w:after="0" w:afterAutospacing="0"/>
                                <w:jc w:val="center"/>
                                <w:rPr>
                                  <w:szCs w:val="24"/>
                                </w:rPr>
                              </w:pPr>
                              <w:r>
                                <w:rPr>
                                  <w:rFonts w:hint="eastAsia" w:ascii="Times New Roman"/>
                                  <w:kern w:val="2"/>
                                  <w:sz w:val="21"/>
                                  <w:szCs w:val="21"/>
                                </w:rPr>
                                <w:t>固化</w:t>
                              </w:r>
                            </w:p>
                          </w:txbxContent>
                        </v:textbox>
                      </v:rect>
                      <v:shape id="AutoShape 35" o:spid="_x0000_s1026" o:spt="32" type="#_x0000_t32" style="position:absolute;left:2565587;top:1695904;flip:x;height:5437;width:285940;" filled="f" stroked="t" coordsize="21600,21600" o:gfxdata="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aM4N61gAAAAUBAAAPAAAAAAAAAAEAIAAAACIA&#10;AABkcnMvZG93bnJldi54bWxQSwECFAAUAAAACACHTuJAMTPJ/AsCAAAIBAAADgAAAAAAAAABACAA&#10;AAAlAQAAZHJzL2Uyb0RvYy54bWxQSwUGAAAAAAYABgBZAQAAogUAAAAA&#10;">
                        <v:fill on="f" focussize="0,0"/>
                        <v:stroke color="#000000" joinstyle="round" endarrow="block"/>
                        <v:imagedata o:title=""/>
                        <o:lock v:ext="edit" aspectratio="f"/>
                      </v:shape>
                      <v:shape id="AutoShape 35" o:spid="_x0000_s1026" o:spt="32" type="#_x0000_t32" style="position:absolute;left:3376550;top:1679850;flip:x;height:0;width:238156;" filled="f" stroked="t" coordsize="21600,21600" o:gfxdata="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ozg3rWAAAABQEAAA8AAAAAAAAAAQAgAAAAIgAA&#10;AGRycy9kb3ducmV2LnhtbFBLAQIUABQAAAAIAIdO4kAyd0VSCgIAAAUEAAAOAAAAAAAAAAEAIAAA&#10;ACUBAABkcnMvZTJvRG9jLnhtbFBLBQYAAAAABgAGAFkBAAChBQAAAAA=&#10;">
                        <v:fill on="f" focussize="0,0"/>
                        <v:stroke color="#000000" joinstyle="round" endarrow="block"/>
                        <v:imagedata o:title=""/>
                        <o:lock v:ext="edit" aspectratio="f"/>
                      </v:shape>
                      <v:shape id="自选图形 38" o:spid="_x0000_s1026" o:spt="32" type="#_x0000_t32" style="position:absolute;left:3900974;top:1861657;height:324331;width:635;" filled="f" stroked="t" coordsize="21600,21600" o:gfxdata="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t&#10;cJj/0wAAAAUBAAAPAAAAAAAAAAEAIAAAACIAAABkcnMvZG93bnJldi54bWxQSwECFAAUAAAACACH&#10;TuJAaV19SikCAAAYBAAADgAAAAAAAAABACAAAAAiAQAAZHJzL2Uyb0RvYy54bWxQSwUGAAAAAAYA&#10;BgBZAQAAvQUAAAAA&#10;">
                        <v:fill on="f" focussize="0,0"/>
                        <v:stroke color="#000000" joinstyle="round" dashstyle="dash" endarrow="block"/>
                        <v:imagedata o:title=""/>
                        <o:lock v:ext="edit" aspectratio="f"/>
                      </v:shape>
                      <v:rect id="_x0000_s1026" o:spid="_x0000_s1026" o:spt="1" style="position:absolute;left:3502724;top:2157412;height:600075;width:882015;"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SKpnq1QAAAAUBAAAPAAAAAAAAAAEAIAAAACIAAABkcnMvZG93bnJldi54bWxQ&#10;SwECFAAUAAAACACHTuJA0PUO8jMCAABMBAAADgAAAAAAAAABACAAAAAkAQAAZHJzL2Uyb0RvYy54&#10;bWxQSwUGAAAAAAYABgBZAQAAyQUAAAAA&#10;">
                        <v:fill on="t" focussize="0,0"/>
                        <v:stroke on="f"/>
                        <v:imagedata o:title=""/>
                        <o:lock v:ext="edit" aspectratio="f"/>
                        <v:textbox>
                          <w:txbxContent>
                            <w:p w14:paraId="2766DDBD">
                              <w:pPr>
                                <w:pStyle w:val="21"/>
                                <w:spacing w:before="0" w:beforeAutospacing="0" w:after="0" w:afterAutospacing="0"/>
                                <w:jc w:val="center"/>
                                <w:rPr>
                                  <w:szCs w:val="24"/>
                                </w:rPr>
                              </w:pPr>
                              <w:r>
                                <w:rPr>
                                  <w:rFonts w:hint="eastAsia" w:ascii="Times New Roman"/>
                                  <w:kern w:val="2"/>
                                  <w:sz w:val="21"/>
                                  <w:szCs w:val="21"/>
                                </w:rPr>
                                <w:t>G</w:t>
                              </w:r>
                              <w:r>
                                <w:rPr>
                                  <w:rFonts w:ascii="Times New Roman"/>
                                  <w:kern w:val="2"/>
                                  <w:sz w:val="21"/>
                                  <w:szCs w:val="21"/>
                                  <w:vertAlign w:val="subscript"/>
                                </w:rPr>
                                <w:t>4</w:t>
                              </w:r>
                              <w:r>
                                <w:rPr>
                                  <w:rFonts w:hint="eastAsia" w:ascii="Times New Roman"/>
                                  <w:kern w:val="2"/>
                                  <w:sz w:val="21"/>
                                  <w:szCs w:val="21"/>
                                </w:rPr>
                                <w:t>、S</w:t>
                              </w:r>
                              <w:r>
                                <w:rPr>
                                  <w:rFonts w:ascii="Times New Roman"/>
                                  <w:kern w:val="2"/>
                                  <w:sz w:val="21"/>
                                  <w:szCs w:val="21"/>
                                  <w:vertAlign w:val="subscript"/>
                                </w:rPr>
                                <w:t>2</w:t>
                              </w:r>
                            </w:p>
                          </w:txbxContent>
                        </v:textbox>
                      </v:rect>
                      <v:rect id="_x0000_s1026" o:spid="_x0000_s1026" o:spt="1" style="position:absolute;left:2705916;top:2263366;height:436943;width:882015;" fillcolor="#FFFFFF" filled="t" stroked="f" coordsize="21600,21600" o:gfxdata="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UiqZ6tUAAAAFAQAADwAAAAAAAAABACAAAAAiAAAAZHJzL2Rvd25yZXYueG1s&#10;UEsBAhQAFAAAAAgAh07iQOS+rAI0AgAATAQAAA4AAAAAAAAAAQAgAAAAJAEAAGRycy9lMm9Eb2Mu&#10;eG1sUEsFBgAAAAAGAAYAWQEAAMoFAAAAAA==&#10;">
                        <v:fill on="t" focussize="0,0"/>
                        <v:stroke on="f"/>
                        <v:imagedata o:title=""/>
                        <o:lock v:ext="edit" aspectratio="f"/>
                        <v:textbox>
                          <w:txbxContent>
                            <w:p w14:paraId="2F202DEE">
                              <w:pPr>
                                <w:pStyle w:val="21"/>
                                <w:spacing w:before="0" w:beforeAutospacing="0" w:after="0" w:afterAutospacing="0"/>
                                <w:jc w:val="center"/>
                                <w:rPr>
                                  <w:szCs w:val="24"/>
                                </w:rPr>
                              </w:pPr>
                              <w:r>
                                <w:rPr>
                                  <w:rFonts w:hint="eastAsia" w:ascii="Times New Roman"/>
                                  <w:kern w:val="2"/>
                                  <w:sz w:val="21"/>
                                  <w:szCs w:val="21"/>
                                </w:rPr>
                                <w:t>G</w:t>
                              </w:r>
                              <w:r>
                                <w:rPr>
                                  <w:rFonts w:hint="eastAsia" w:ascii="Times New Roman"/>
                                  <w:kern w:val="2"/>
                                  <w:sz w:val="21"/>
                                  <w:szCs w:val="21"/>
                                  <w:vertAlign w:val="subscript"/>
                                </w:rPr>
                                <w:t>5</w:t>
                              </w:r>
                              <w:r>
                                <w:rPr>
                                  <w:rFonts w:hint="eastAsia" w:ascii="Times New Roman"/>
                                  <w:kern w:val="2"/>
                                  <w:sz w:val="21"/>
                                  <w:szCs w:val="21"/>
                                </w:rPr>
                                <w:t>、N</w:t>
                              </w:r>
                            </w:p>
                          </w:txbxContent>
                        </v:textbox>
                      </v:rect>
                      <v:shape id="自选图形 38" o:spid="_x0000_s1026" o:spt="32" type="#_x0000_t32" style="position:absolute;left:3140483;top:1863945;height:426720;width:635;" filled="f" stroked="t" coordsize="21600,21600" o:gfxdata="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1w&#10;mP/TAAAABQEAAA8AAAAAAAAAAQAgAAAAIgAAAGRycy9kb3ducmV2LnhtbFBLAQIUABQAAAAIAIdO&#10;4kAZNpryKAIAABgEAAAOAAAAAAAAAAEAIAAAACIBAABkcnMvZTJvRG9jLnhtbFBLBQYAAAAABgAG&#10;AFkBAAC8BQAAAAA=&#10;">
                        <v:fill on="f" focussize="0,0"/>
                        <v:stroke color="#000000" joinstyle="round" dashstyle="dash" endarrow="block"/>
                        <v:imagedata o:title=""/>
                        <o:lock v:ext="edit" aspectratio="f"/>
                      </v:shape>
                      <v:shape id="_x0000_s1026" o:spid="_x0000_s1026" o:spt="75" type="#_x0000_t75" style="position:absolute;left:56176;top:2729563;height:228763;width:1372575;" filled="f" o:preferrelative="t" stroked="f" coordsize="21600,21600" o:gfxdata="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">
                        <v:fill on="f" focussize="0,0"/>
                        <v:stroke on="f"/>
                        <v:imagedata r:id="rId23" o:title=""/>
                        <o:lock v:ext="edit" aspectratio="t"/>
                      </v:shape>
                      <w10:wrap type="none"/>
                      <w10:anchorlock/>
                    </v:group>
                  </w:pict>
                </mc:Fallback>
              </mc:AlternateContent>
            </w:r>
          </w:p>
          <w:p w14:paraId="38F34CEB">
            <w:pPr>
              <w:pStyle w:val="24"/>
              <w:ind w:left="0" w:leftChars="0" w:firstLine="0" w:firstLineChars="0"/>
              <w:jc w:val="center"/>
            </w:pPr>
            <w:r>
              <w:rPr>
                <w:b/>
                <w:bCs/>
                <w:sz w:val="24"/>
              </w:rPr>
              <w:t xml:space="preserve">图2 </w:t>
            </w:r>
            <w:r>
              <w:rPr>
                <w:b/>
                <w:sz w:val="24"/>
              </w:rPr>
              <w:t>生产工艺流程及产污环节图</w:t>
            </w:r>
          </w:p>
          <w:bookmarkEnd w:id="154"/>
          <w:bookmarkEnd w:id="155"/>
          <w:p w14:paraId="1E3B3A71">
            <w:pPr>
              <w:spacing w:line="360" w:lineRule="auto"/>
              <w:ind w:firstLine="482" w:firstLineChars="200"/>
              <w:rPr>
                <w:b/>
                <w:sz w:val="24"/>
              </w:rPr>
            </w:pPr>
            <w:r>
              <w:rPr>
                <w:b/>
                <w:sz w:val="24"/>
              </w:rPr>
              <w:t>主要工艺流程简述：</w:t>
            </w:r>
          </w:p>
          <w:p w14:paraId="03246165">
            <w:pPr>
              <w:spacing w:line="360" w:lineRule="auto"/>
              <w:ind w:firstLine="482" w:firstLineChars="200"/>
              <w:contextualSpacing/>
              <w:rPr>
                <w:b/>
                <w:bCs/>
                <w:sz w:val="24"/>
              </w:rPr>
            </w:pPr>
            <w:r>
              <w:rPr>
                <w:rFonts w:hint="eastAsia"/>
                <w:b/>
                <w:bCs/>
                <w:sz w:val="24"/>
              </w:rPr>
              <w:t>①</w:t>
            </w:r>
            <w:r>
              <w:rPr>
                <w:b/>
                <w:bCs/>
                <w:sz w:val="24"/>
              </w:rPr>
              <w:t>设计：</w:t>
            </w:r>
          </w:p>
          <w:p w14:paraId="1E49B28F">
            <w:pPr>
              <w:spacing w:line="360" w:lineRule="auto"/>
              <w:ind w:firstLine="480" w:firstLineChars="200"/>
              <w:contextualSpacing/>
              <w:rPr>
                <w:bCs/>
                <w:sz w:val="24"/>
              </w:rPr>
            </w:pPr>
            <w:r>
              <w:rPr>
                <w:rFonts w:hint="eastAsia"/>
                <w:bCs/>
                <w:sz w:val="24"/>
              </w:rPr>
              <w:t>根据订单的要求和工艺条件，确定产品的结构形式，如开式平盖式、开式对焊法兰式、闭式等。</w:t>
            </w:r>
          </w:p>
          <w:p w14:paraId="38F272F3">
            <w:pPr>
              <w:spacing w:line="360" w:lineRule="auto"/>
              <w:ind w:firstLine="482" w:firstLineChars="200"/>
              <w:contextualSpacing/>
              <w:rPr>
                <w:b/>
                <w:bCs/>
                <w:sz w:val="24"/>
              </w:rPr>
            </w:pPr>
            <w:r>
              <w:rPr>
                <w:rFonts w:hint="eastAsia"/>
                <w:b/>
                <w:bCs/>
                <w:sz w:val="24"/>
              </w:rPr>
              <w:t>②</w:t>
            </w:r>
            <w:r>
              <w:rPr>
                <w:b/>
                <w:bCs/>
                <w:sz w:val="24"/>
              </w:rPr>
              <w:t>下料：</w:t>
            </w:r>
          </w:p>
          <w:p w14:paraId="04648AB7">
            <w:pPr>
              <w:spacing w:line="360" w:lineRule="auto"/>
              <w:ind w:firstLine="480" w:firstLineChars="200"/>
              <w:contextualSpacing/>
              <w:rPr>
                <w:sz w:val="24"/>
              </w:rPr>
            </w:pPr>
            <w:r>
              <w:rPr>
                <w:sz w:val="24"/>
              </w:rPr>
              <w:t>板材切割：根据设计要求，将不锈钢板材切割成所需的形状和尺寸。</w:t>
            </w:r>
          </w:p>
          <w:p w14:paraId="47E93E6D">
            <w:pPr>
              <w:spacing w:line="360" w:lineRule="auto"/>
              <w:ind w:firstLine="480" w:firstLineChars="200"/>
              <w:contextualSpacing/>
              <w:rPr>
                <w:sz w:val="24"/>
              </w:rPr>
            </w:pPr>
            <w:r>
              <w:rPr>
                <w:sz w:val="24"/>
              </w:rPr>
              <w:t>管材下料：对于</w:t>
            </w:r>
            <w:r>
              <w:rPr>
                <w:rFonts w:hint="eastAsia"/>
                <w:sz w:val="24"/>
              </w:rPr>
              <w:t>压力容器</w:t>
            </w:r>
            <w:r>
              <w:rPr>
                <w:sz w:val="24"/>
              </w:rPr>
              <w:t>的夹套、盘管等部件，需要使用不锈钢管材进行制作。管材下料时，根据设计要求进行切割和弯曲，确保管材的尺寸和形状符合要求</w:t>
            </w:r>
          </w:p>
          <w:p w14:paraId="0851B32B">
            <w:pPr>
              <w:spacing w:line="360" w:lineRule="auto"/>
              <w:ind w:firstLine="480" w:firstLineChars="200"/>
              <w:contextualSpacing/>
              <w:rPr>
                <w:sz w:val="24"/>
              </w:rPr>
            </w:pPr>
            <w:r>
              <w:rPr>
                <w:sz w:val="24"/>
              </w:rPr>
              <w:t>本项目切割工序经激光切割机、等离子切割机</w:t>
            </w:r>
            <w:r>
              <w:rPr>
                <w:rFonts w:hint="eastAsia"/>
                <w:sz w:val="24"/>
              </w:rPr>
              <w:t>下料切割，切割过程中产生切割粉尘G</w:t>
            </w:r>
            <w:r>
              <w:rPr>
                <w:sz w:val="24"/>
              </w:rPr>
              <w:t>1</w:t>
            </w:r>
            <w:r>
              <w:rPr>
                <w:rFonts w:hint="eastAsia"/>
                <w:sz w:val="24"/>
              </w:rPr>
              <w:t>、噪声N、下脚料S</w:t>
            </w:r>
            <w:r>
              <w:rPr>
                <w:sz w:val="24"/>
                <w:vertAlign w:val="subscript"/>
              </w:rPr>
              <w:t>1</w:t>
            </w:r>
            <w:r>
              <w:rPr>
                <w:rFonts w:hint="eastAsia"/>
                <w:sz w:val="24"/>
              </w:rPr>
              <w:t>。</w:t>
            </w:r>
          </w:p>
          <w:p w14:paraId="512A3D62">
            <w:pPr>
              <w:spacing w:line="360" w:lineRule="auto"/>
              <w:ind w:firstLine="482" w:firstLineChars="200"/>
              <w:contextualSpacing/>
              <w:rPr>
                <w:b/>
                <w:sz w:val="24"/>
              </w:rPr>
            </w:pPr>
            <w:r>
              <w:rPr>
                <w:rFonts w:hint="eastAsia"/>
                <w:b/>
                <w:sz w:val="24"/>
              </w:rPr>
              <w:t>③成型：</w:t>
            </w:r>
          </w:p>
          <w:p w14:paraId="1E99EF03">
            <w:pPr>
              <w:spacing w:line="360" w:lineRule="auto"/>
              <w:ind w:firstLine="480" w:firstLineChars="200"/>
              <w:contextualSpacing/>
              <w:rPr>
                <w:sz w:val="24"/>
              </w:rPr>
            </w:pPr>
            <w:r>
              <w:rPr>
                <w:sz w:val="24"/>
              </w:rPr>
              <w:t>封头成型：封头</w:t>
            </w:r>
            <w:r>
              <w:rPr>
                <w:rFonts w:hint="eastAsia"/>
                <w:sz w:val="24"/>
              </w:rPr>
              <w:t>是压力容器</w:t>
            </w:r>
            <w:r>
              <w:rPr>
                <w:sz w:val="24"/>
              </w:rPr>
              <w:t xml:space="preserve">的重要部件，其成型方式主要有冲压成型和旋压成型。冲压成型是将板材放在模具上，通过压力机施加压力，使板材形成封头的形状；旋压成型则是通过旋转板材，使其在模具的作用下逐渐形成封头的形状。 </w:t>
            </w:r>
          </w:p>
          <w:p w14:paraId="3B9833A6">
            <w:pPr>
              <w:spacing w:line="360" w:lineRule="auto"/>
              <w:ind w:firstLine="480" w:firstLineChars="200"/>
              <w:contextualSpacing/>
              <w:rPr>
                <w:sz w:val="24"/>
              </w:rPr>
            </w:pPr>
            <w:r>
              <w:rPr>
                <w:sz w:val="24"/>
              </w:rPr>
              <w:t>筒体成型：筒体通常采用卷板机将板材卷制成圆柱形。在卷制过程中，需要控制好板材的进给速度和卷制力度，确保筒体的圆度和直线度符合要求。对于直径较大的筒体，可能需要采用分段卷制后再进行焊接的方式</w:t>
            </w:r>
          </w:p>
          <w:p w14:paraId="3ACF6696">
            <w:pPr>
              <w:spacing w:line="360" w:lineRule="auto"/>
              <w:ind w:firstLine="480" w:firstLineChars="200"/>
              <w:contextualSpacing/>
              <w:rPr>
                <w:sz w:val="24"/>
              </w:rPr>
            </w:pPr>
            <w:r>
              <w:rPr>
                <w:sz w:val="24"/>
              </w:rPr>
              <w:t>此工序产生</w:t>
            </w:r>
            <w:r>
              <w:rPr>
                <w:rFonts w:hint="eastAsia"/>
                <w:sz w:val="24"/>
              </w:rPr>
              <w:t>噪声N、下脚料S</w:t>
            </w:r>
            <w:r>
              <w:rPr>
                <w:sz w:val="24"/>
                <w:vertAlign w:val="subscript"/>
              </w:rPr>
              <w:t>1</w:t>
            </w:r>
            <w:r>
              <w:rPr>
                <w:rFonts w:hint="eastAsia"/>
                <w:sz w:val="24"/>
              </w:rPr>
              <w:t>。</w:t>
            </w:r>
          </w:p>
          <w:p w14:paraId="6BAD3C9F">
            <w:pPr>
              <w:spacing w:line="360" w:lineRule="auto"/>
              <w:ind w:firstLine="482" w:firstLineChars="200"/>
              <w:contextualSpacing/>
              <w:rPr>
                <w:sz w:val="24"/>
              </w:rPr>
            </w:pPr>
            <w:r>
              <w:rPr>
                <w:rFonts w:hint="eastAsia"/>
                <w:b/>
                <w:bCs/>
                <w:sz w:val="24"/>
              </w:rPr>
              <w:t>④</w:t>
            </w:r>
            <w:r>
              <w:rPr>
                <w:b/>
                <w:bCs/>
                <w:sz w:val="24"/>
              </w:rPr>
              <w:t>焊接：</w:t>
            </w:r>
            <w:r>
              <w:rPr>
                <w:sz w:val="24"/>
              </w:rPr>
              <w:t>将加工后的工件进行焊接，</w:t>
            </w:r>
            <w:r>
              <w:rPr>
                <w:rFonts w:hint="eastAsia"/>
                <w:sz w:val="24"/>
              </w:rPr>
              <w:t>采用氩弧焊、气保焊、自动焊等焊接方法，对产品的各个部件进行焊接。在焊接过程中，严格控制焊接电流、电压、焊接速度和焊接温度等参数，确保焊缝的质量和强度</w:t>
            </w:r>
            <w:r>
              <w:rPr>
                <w:sz w:val="24"/>
              </w:rPr>
              <w:t>本项目使用的焊丝均为实心焊丝。此过程产生焊接烟尘</w:t>
            </w:r>
            <w:r>
              <w:rPr>
                <w:rFonts w:hint="eastAsia"/>
                <w:sz w:val="24"/>
              </w:rPr>
              <w:t>G</w:t>
            </w:r>
            <w:r>
              <w:rPr>
                <w:sz w:val="24"/>
                <w:vertAlign w:val="subscript"/>
              </w:rPr>
              <w:t>2</w:t>
            </w:r>
            <w:r>
              <w:rPr>
                <w:sz w:val="24"/>
              </w:rPr>
              <w:t>、噪声、焊渣</w:t>
            </w:r>
            <w:r>
              <w:rPr>
                <w:rFonts w:hint="eastAsia"/>
                <w:sz w:val="24"/>
              </w:rPr>
              <w:t>S</w:t>
            </w:r>
            <w:r>
              <w:rPr>
                <w:sz w:val="24"/>
                <w:vertAlign w:val="subscript"/>
              </w:rPr>
              <w:t>3</w:t>
            </w:r>
            <w:r>
              <w:rPr>
                <w:sz w:val="24"/>
              </w:rPr>
              <w:t>等。</w:t>
            </w:r>
          </w:p>
          <w:p w14:paraId="6C9639BF">
            <w:pPr>
              <w:spacing w:line="360" w:lineRule="auto"/>
              <w:ind w:firstLine="482" w:firstLineChars="200"/>
              <w:contextualSpacing/>
              <w:rPr>
                <w:b/>
                <w:sz w:val="24"/>
              </w:rPr>
            </w:pPr>
            <w:r>
              <w:rPr>
                <w:rFonts w:hint="eastAsia"/>
                <w:b/>
                <w:sz w:val="24"/>
              </w:rPr>
              <w:t>⑤焊缝检验</w:t>
            </w:r>
          </w:p>
          <w:p w14:paraId="36394C68">
            <w:pPr>
              <w:spacing w:line="360" w:lineRule="auto"/>
              <w:ind w:firstLine="480" w:firstLineChars="200"/>
              <w:contextualSpacing/>
              <w:rPr>
                <w:sz w:val="24"/>
              </w:rPr>
            </w:pPr>
            <w:r>
              <w:rPr>
                <w:rFonts w:hint="eastAsia"/>
                <w:sz w:val="24"/>
              </w:rPr>
              <w:t>焊接完成后，对焊缝进行外观检查、无损检测等检验，本项目采用超声波探伤方法进行探伤，不涉及电磁辐射，超声波探伤利用超声波在介质中的传播特性进行检测。超声波是一种高频机械波，碰到杂质或分界面会产生显著反射形成回波。其方向性好、穿透力强，尤其在不透明的固体中能穿透几十米的深度。超声波探伤仪通过发射和接收超声波脉冲来检测工件内部的缺陷 。对于不合格的焊缝，需要进行返修或重新焊接。此过程无电磁辐射，此过程产生噪声</w:t>
            </w:r>
            <w:r>
              <w:rPr>
                <w:sz w:val="24"/>
              </w:rPr>
              <w:t>N</w:t>
            </w:r>
            <w:r>
              <w:rPr>
                <w:rFonts w:hint="eastAsia"/>
                <w:sz w:val="24"/>
              </w:rPr>
              <w:t>。</w:t>
            </w:r>
          </w:p>
          <w:p w14:paraId="5790FE26">
            <w:pPr>
              <w:spacing w:line="360" w:lineRule="auto"/>
              <w:ind w:firstLine="482" w:firstLineChars="200"/>
              <w:contextualSpacing/>
              <w:rPr>
                <w:b/>
                <w:sz w:val="24"/>
              </w:rPr>
            </w:pPr>
            <w:r>
              <w:rPr>
                <w:rFonts w:hint="eastAsia"/>
                <w:b/>
                <w:sz w:val="24"/>
              </w:rPr>
              <w:t>⑥</w:t>
            </w:r>
            <w:r>
              <w:rPr>
                <w:b/>
                <w:sz w:val="24"/>
              </w:rPr>
              <w:t>抛光</w:t>
            </w:r>
          </w:p>
          <w:p w14:paraId="412809B2">
            <w:pPr>
              <w:spacing w:line="360" w:lineRule="auto"/>
              <w:ind w:firstLine="480" w:firstLineChars="200"/>
              <w:contextualSpacing/>
              <w:rPr>
                <w:sz w:val="24"/>
              </w:rPr>
            </w:pPr>
            <w:r>
              <w:rPr>
                <w:rFonts w:hint="eastAsia"/>
                <w:sz w:val="24"/>
              </w:rPr>
              <w:t>本项目仅对产品的焊接接缝处进行抛光处理，以提高表面的光洁度，</w:t>
            </w:r>
            <w:r>
              <w:rPr>
                <w:sz w:val="24"/>
              </w:rPr>
              <w:t>此工序主要产生</w:t>
            </w:r>
            <w:r>
              <w:rPr>
                <w:rFonts w:hint="eastAsia"/>
                <w:sz w:val="24"/>
              </w:rPr>
              <w:t>抛光</w:t>
            </w:r>
            <w:r>
              <w:rPr>
                <w:sz w:val="24"/>
              </w:rPr>
              <w:t>粉尘</w:t>
            </w:r>
            <w:r>
              <w:rPr>
                <w:rFonts w:hint="eastAsia"/>
                <w:sz w:val="24"/>
              </w:rPr>
              <w:t>G</w:t>
            </w:r>
            <w:r>
              <w:rPr>
                <w:sz w:val="24"/>
                <w:vertAlign w:val="subscript"/>
              </w:rPr>
              <w:t>3</w:t>
            </w:r>
            <w:r>
              <w:rPr>
                <w:sz w:val="24"/>
              </w:rPr>
              <w:t>、噪声</w:t>
            </w:r>
            <w:r>
              <w:rPr>
                <w:rFonts w:hint="eastAsia"/>
                <w:sz w:val="24"/>
              </w:rPr>
              <w:t>N</w:t>
            </w:r>
            <w:r>
              <w:rPr>
                <w:sz w:val="24"/>
              </w:rPr>
              <w:t>等。</w:t>
            </w:r>
          </w:p>
          <w:p w14:paraId="136E1DC5">
            <w:pPr>
              <w:spacing w:line="360" w:lineRule="auto"/>
              <w:ind w:firstLine="482" w:firstLineChars="200"/>
              <w:contextualSpacing/>
              <w:rPr>
                <w:b/>
                <w:bCs/>
                <w:sz w:val="24"/>
              </w:rPr>
            </w:pPr>
            <w:r>
              <w:rPr>
                <w:rFonts w:hint="eastAsia"/>
                <w:b/>
                <w:bCs/>
                <w:sz w:val="24"/>
              </w:rPr>
              <w:t>⑦</w:t>
            </w:r>
            <w:r>
              <w:rPr>
                <w:b/>
                <w:bCs/>
                <w:sz w:val="24"/>
              </w:rPr>
              <w:t>喷塑</w:t>
            </w:r>
            <w:r>
              <w:rPr>
                <w:rFonts w:hint="eastAsia"/>
                <w:b/>
                <w:bCs/>
                <w:sz w:val="24"/>
              </w:rPr>
              <w:t>、固化</w:t>
            </w:r>
          </w:p>
          <w:p w14:paraId="6E0E061D">
            <w:pPr>
              <w:pStyle w:val="24"/>
              <w:spacing w:after="0" w:line="360" w:lineRule="auto"/>
              <w:ind w:left="0" w:leftChars="0" w:firstLine="480"/>
              <w:rPr>
                <w:sz w:val="24"/>
              </w:rPr>
            </w:pPr>
            <w:r>
              <w:rPr>
                <w:rFonts w:hint="eastAsia"/>
                <w:bCs/>
                <w:sz w:val="24"/>
              </w:rPr>
              <w:t xml:space="preserve"> </w:t>
            </w:r>
            <w:r>
              <w:rPr>
                <w:sz w:val="24"/>
              </w:rPr>
              <w:t>静电喷塑：根据订单，将部分抛光处理后的工件送入密闭的</w:t>
            </w:r>
            <w:r>
              <w:rPr>
                <w:rFonts w:hint="eastAsia"/>
                <w:sz w:val="24"/>
              </w:rPr>
              <w:t>喷塑</w:t>
            </w:r>
            <w:r>
              <w:rPr>
                <w:sz w:val="24"/>
              </w:rPr>
              <w:t>房进行自动静电喷涂，喷粉采用双面喷涂的方式，两侧的喷枪同时对物料表面进行均匀喷涂，将涂层材料喷涂向工件，渗入微孔中，喷粉厚度约为80μm。</w:t>
            </w:r>
          </w:p>
          <w:p w14:paraId="7906643F">
            <w:pPr>
              <w:pStyle w:val="24"/>
              <w:spacing w:after="0" w:line="360" w:lineRule="auto"/>
              <w:ind w:left="0" w:leftChars="0" w:firstLine="480"/>
              <w:rPr>
                <w:sz w:val="24"/>
              </w:rPr>
            </w:pPr>
            <w:r>
              <w:rPr>
                <w:sz w:val="24"/>
              </w:rPr>
              <w:t>静电喷塑原理：在喷枪头部金属喷杯和极针接上高压负压，被喷涂工件接地形成电极，使喷枪和工作之间形成一个较强的静电电场。当作为运载气体的压缩空气，将粉末涂料从供粉管输送到喷枪的喷杯和极针时，由于它接上高压负极产生的电晕放电，在其附近产生了密集的负电荷，使粉末带上负电荷，进入了电场强度很高的静电场，在静电力和运载气体推动力的双重作用下，粉末均匀地飞向接地工件表面</w:t>
            </w:r>
            <w:r>
              <w:rPr>
                <w:rFonts w:hint="eastAsia"/>
                <w:sz w:val="24"/>
              </w:rPr>
              <w:t>，</w:t>
            </w:r>
            <w:r>
              <w:rPr>
                <w:sz w:val="24"/>
              </w:rPr>
              <w:t>形成厚薄均匀的粉层，拟建项目喷粉厚度约为80μm。在此过程中主要产生喷塑粉尘</w:t>
            </w:r>
            <w:r>
              <w:rPr>
                <w:rFonts w:hint="eastAsia"/>
                <w:sz w:val="24"/>
              </w:rPr>
              <w:t>G</w:t>
            </w:r>
            <w:r>
              <w:rPr>
                <w:sz w:val="24"/>
                <w:vertAlign w:val="subscript"/>
              </w:rPr>
              <w:t>4</w:t>
            </w:r>
            <w:r>
              <w:rPr>
                <w:rFonts w:hint="eastAsia"/>
                <w:sz w:val="24"/>
              </w:rPr>
              <w:t>、</w:t>
            </w:r>
            <w:r>
              <w:rPr>
                <w:sz w:val="24"/>
              </w:rPr>
              <w:t>废包装材料</w:t>
            </w:r>
            <w:r>
              <w:rPr>
                <w:rFonts w:hint="eastAsia"/>
                <w:sz w:val="24"/>
              </w:rPr>
              <w:t>S</w:t>
            </w:r>
            <w:r>
              <w:rPr>
                <w:sz w:val="24"/>
                <w:vertAlign w:val="subscript"/>
              </w:rPr>
              <w:t>2</w:t>
            </w:r>
            <w:r>
              <w:rPr>
                <w:sz w:val="24"/>
              </w:rPr>
              <w:t>和噪声</w:t>
            </w:r>
            <w:r>
              <w:rPr>
                <w:rFonts w:hint="eastAsia"/>
                <w:sz w:val="24"/>
              </w:rPr>
              <w:t>N</w:t>
            </w:r>
            <w:r>
              <w:rPr>
                <w:sz w:val="24"/>
              </w:rPr>
              <w:t>。</w:t>
            </w:r>
          </w:p>
          <w:p w14:paraId="2BE49536">
            <w:pPr>
              <w:pStyle w:val="24"/>
              <w:spacing w:after="0" w:line="360" w:lineRule="auto"/>
              <w:ind w:left="0" w:leftChars="0" w:firstLine="480"/>
              <w:rPr>
                <w:sz w:val="24"/>
              </w:rPr>
            </w:pPr>
            <w:r>
              <w:rPr>
                <w:sz w:val="24"/>
              </w:rPr>
              <w:t>固化：喷</w:t>
            </w:r>
            <w:r>
              <w:rPr>
                <w:rFonts w:hint="eastAsia"/>
                <w:sz w:val="24"/>
              </w:rPr>
              <w:t>塑</w:t>
            </w:r>
            <w:r>
              <w:rPr>
                <w:sz w:val="24"/>
              </w:rPr>
              <w:t>后的</w:t>
            </w:r>
            <w:r>
              <w:rPr>
                <w:rFonts w:hint="eastAsia"/>
                <w:sz w:val="24"/>
              </w:rPr>
              <w:t>工件</w:t>
            </w:r>
            <w:r>
              <w:rPr>
                <w:sz w:val="24"/>
              </w:rPr>
              <w:t>通过喷涂流水线输送链输送至固化炉进行固化，固化采用电加热，加热温度约180~200℃，固化时间约为10~15min，经过固化处理后，粉末涂料将牢牢嵌入氧化膜层微孔中，使涂层很难剥离，从而实现喷涂材料对</w:t>
            </w:r>
            <w:r>
              <w:rPr>
                <w:rFonts w:hint="eastAsia"/>
                <w:sz w:val="24"/>
              </w:rPr>
              <w:t>工</w:t>
            </w:r>
            <w:r>
              <w:rPr>
                <w:sz w:val="24"/>
              </w:rPr>
              <w:t>件的长期保护。此工序产生</w:t>
            </w:r>
            <w:r>
              <w:rPr>
                <w:rFonts w:hint="eastAsia"/>
                <w:sz w:val="24"/>
              </w:rPr>
              <w:t>固化</w:t>
            </w:r>
            <w:r>
              <w:rPr>
                <w:sz w:val="24"/>
              </w:rPr>
              <w:t>有机废气（以VOCs计）</w:t>
            </w:r>
            <w:r>
              <w:rPr>
                <w:rFonts w:hint="eastAsia"/>
                <w:sz w:val="24"/>
              </w:rPr>
              <w:t>G</w:t>
            </w:r>
            <w:r>
              <w:rPr>
                <w:sz w:val="24"/>
                <w:vertAlign w:val="subscript"/>
              </w:rPr>
              <w:t>5</w:t>
            </w:r>
            <w:r>
              <w:rPr>
                <w:sz w:val="24"/>
              </w:rPr>
              <w:t>和噪声</w:t>
            </w:r>
            <w:r>
              <w:rPr>
                <w:rFonts w:hint="eastAsia"/>
                <w:sz w:val="24"/>
              </w:rPr>
              <w:t>N</w:t>
            </w:r>
            <w:r>
              <w:rPr>
                <w:sz w:val="24"/>
              </w:rPr>
              <w:t>。</w:t>
            </w:r>
          </w:p>
          <w:p w14:paraId="26E2EBD8">
            <w:pPr>
              <w:spacing w:line="360" w:lineRule="auto"/>
              <w:ind w:firstLine="482" w:firstLineChars="200"/>
              <w:contextualSpacing/>
              <w:rPr>
                <w:b/>
                <w:sz w:val="24"/>
              </w:rPr>
            </w:pPr>
            <w:r>
              <w:rPr>
                <w:rFonts w:hint="eastAsia"/>
                <w:b/>
                <w:sz w:val="24"/>
              </w:rPr>
              <w:t>⑧装</w:t>
            </w:r>
            <w:r>
              <w:rPr>
                <w:b/>
                <w:sz w:val="24"/>
              </w:rPr>
              <w:t>配</w:t>
            </w:r>
          </w:p>
          <w:p w14:paraId="4D25D273">
            <w:pPr>
              <w:spacing w:line="360" w:lineRule="auto"/>
              <w:ind w:firstLine="480" w:firstLineChars="200"/>
              <w:contextualSpacing/>
              <w:rPr>
                <w:sz w:val="24"/>
              </w:rPr>
            </w:pPr>
            <w:r>
              <w:rPr>
                <w:rFonts w:hint="eastAsia"/>
                <w:sz w:val="24"/>
              </w:rPr>
              <w:t>将焊接好的各个部件进行装配。在装配过程中，需要保证各个部件的安装位置准确，连接牢固，密封性能良好。此过程产生噪声N。</w:t>
            </w:r>
          </w:p>
          <w:p w14:paraId="53137DBB">
            <w:pPr>
              <w:spacing w:line="360" w:lineRule="auto"/>
              <w:ind w:firstLine="482" w:firstLineChars="200"/>
              <w:contextualSpacing/>
              <w:rPr>
                <w:b/>
                <w:sz w:val="24"/>
              </w:rPr>
            </w:pPr>
            <w:r>
              <w:rPr>
                <w:rFonts w:hint="eastAsia"/>
                <w:b/>
                <w:sz w:val="24"/>
              </w:rPr>
              <w:t>⑨</w:t>
            </w:r>
            <w:r>
              <w:rPr>
                <w:b/>
                <w:sz w:val="24"/>
              </w:rPr>
              <w:t>调试检验</w:t>
            </w:r>
          </w:p>
          <w:p w14:paraId="7EFE8CE4">
            <w:pPr>
              <w:spacing w:line="360" w:lineRule="auto"/>
              <w:ind w:firstLine="480" w:firstLineChars="200"/>
              <w:contextualSpacing/>
              <w:rPr>
                <w:sz w:val="24"/>
              </w:rPr>
            </w:pPr>
            <w:r>
              <w:rPr>
                <w:rFonts w:hint="eastAsia"/>
                <w:sz w:val="24"/>
              </w:rPr>
              <w:t>对装配好的产品进行调试检验，此工序在检测中心进行，包括外观检查、尺寸检查、压力试验、气密性试验等。本项目压力试验采用空气试压，试验</w:t>
            </w:r>
            <w:r>
              <w:rPr>
                <w:sz w:val="24"/>
              </w:rPr>
              <w:t>前，必须用空气进行预试验，试验压力宜为0.2MPa。 试验时，应逐步缓慢增加压力，当压力升至试验压力的50%（0.4MP）时，如未发现异状或泄漏,继续按试验压力的10%（0.08MP）逐级升压，每级稳压3min，直至试验压力（0.8MP）。 稳压10min，再将压力降至使用压力（0.6MP），停压时间应根据查漏工作需要而定。</w:t>
            </w:r>
            <w:r>
              <w:rPr>
                <w:rFonts w:hint="eastAsia"/>
                <w:sz w:val="24"/>
              </w:rPr>
              <w:t>经过检验合格的产品外售。</w:t>
            </w:r>
            <w:bookmarkStart w:id="156" w:name="OLE_LINK128"/>
            <w:bookmarkStart w:id="157" w:name="OLE_LINK127"/>
            <w:r>
              <w:rPr>
                <w:rFonts w:hint="eastAsia"/>
                <w:sz w:val="24"/>
              </w:rPr>
              <w:t>此过程产生</w:t>
            </w:r>
            <w:bookmarkEnd w:id="156"/>
            <w:bookmarkEnd w:id="157"/>
            <w:r>
              <w:rPr>
                <w:rFonts w:hint="eastAsia"/>
                <w:sz w:val="24"/>
              </w:rPr>
              <w:t>噪声N、不合格品S</w:t>
            </w:r>
            <w:r>
              <w:rPr>
                <w:sz w:val="24"/>
                <w:vertAlign w:val="subscript"/>
              </w:rPr>
              <w:t>4</w:t>
            </w:r>
            <w:r>
              <w:rPr>
                <w:rFonts w:hint="eastAsia"/>
                <w:sz w:val="24"/>
              </w:rPr>
              <w:t>。</w:t>
            </w:r>
          </w:p>
          <w:p w14:paraId="3B275302">
            <w:pPr>
              <w:tabs>
                <w:tab w:val="left" w:pos="195"/>
                <w:tab w:val="center" w:pos="4677"/>
              </w:tabs>
              <w:spacing w:line="360" w:lineRule="auto"/>
              <w:ind w:firstLine="482" w:firstLineChars="200"/>
              <w:jc w:val="left"/>
              <w:rPr>
                <w:b/>
                <w:sz w:val="24"/>
              </w:rPr>
            </w:pPr>
            <w:r>
              <w:rPr>
                <w:b/>
                <w:sz w:val="24"/>
              </w:rPr>
              <w:t>3、主要产污环节汇总</w:t>
            </w:r>
          </w:p>
          <w:p w14:paraId="756067BA">
            <w:pPr>
              <w:adjustRightInd w:val="0"/>
              <w:snapToGrid w:val="0"/>
              <w:spacing w:line="360" w:lineRule="auto"/>
              <w:jc w:val="center"/>
              <w:rPr>
                <w:b/>
                <w:bCs/>
                <w:sz w:val="24"/>
              </w:rPr>
            </w:pPr>
            <w:r>
              <w:rPr>
                <w:b/>
                <w:bCs/>
                <w:sz w:val="24"/>
              </w:rPr>
              <w:t>表20项目产污环节一览表</w:t>
            </w:r>
          </w:p>
          <w:tbl>
            <w:tblPr>
              <w:tblStyle w:val="25"/>
              <w:tblW w:w="82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1466"/>
              <w:gridCol w:w="1702"/>
              <w:gridCol w:w="4258"/>
            </w:tblGrid>
            <w:tr w14:paraId="02E02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shd w:val="clear" w:color="auto" w:fill="auto"/>
                  <w:vAlign w:val="center"/>
                </w:tcPr>
                <w:p w14:paraId="0BBBD64A">
                  <w:pPr>
                    <w:adjustRightInd w:val="0"/>
                    <w:snapToGrid w:val="0"/>
                    <w:jc w:val="center"/>
                    <w:rPr>
                      <w:bCs/>
                      <w:szCs w:val="21"/>
                    </w:rPr>
                  </w:pPr>
                  <w:r>
                    <w:rPr>
                      <w:bCs/>
                      <w:szCs w:val="21"/>
                    </w:rPr>
                    <w:t>类别</w:t>
                  </w:r>
                </w:p>
              </w:tc>
              <w:tc>
                <w:tcPr>
                  <w:tcW w:w="891" w:type="pct"/>
                  <w:shd w:val="clear" w:color="auto" w:fill="auto"/>
                  <w:vAlign w:val="center"/>
                </w:tcPr>
                <w:p w14:paraId="6E967CC7">
                  <w:pPr>
                    <w:jc w:val="center"/>
                    <w:rPr>
                      <w:bCs/>
                      <w:szCs w:val="21"/>
                    </w:rPr>
                  </w:pPr>
                  <w:r>
                    <w:rPr>
                      <w:bCs/>
                      <w:szCs w:val="21"/>
                    </w:rPr>
                    <w:t>产污工序</w:t>
                  </w:r>
                </w:p>
              </w:tc>
              <w:tc>
                <w:tcPr>
                  <w:tcW w:w="1035" w:type="pct"/>
                  <w:shd w:val="clear" w:color="auto" w:fill="auto"/>
                  <w:vAlign w:val="center"/>
                </w:tcPr>
                <w:p w14:paraId="3D5FAE94">
                  <w:pPr>
                    <w:adjustRightInd w:val="0"/>
                    <w:snapToGrid w:val="0"/>
                    <w:jc w:val="center"/>
                    <w:rPr>
                      <w:bCs/>
                      <w:szCs w:val="21"/>
                    </w:rPr>
                  </w:pPr>
                  <w:r>
                    <w:rPr>
                      <w:bCs/>
                      <w:szCs w:val="21"/>
                    </w:rPr>
                    <w:t>主要污染因子</w:t>
                  </w:r>
                </w:p>
              </w:tc>
              <w:tc>
                <w:tcPr>
                  <w:tcW w:w="2589" w:type="pct"/>
                  <w:shd w:val="clear" w:color="auto" w:fill="auto"/>
                  <w:vAlign w:val="center"/>
                </w:tcPr>
                <w:p w14:paraId="7700E7BC">
                  <w:pPr>
                    <w:adjustRightInd w:val="0"/>
                    <w:snapToGrid w:val="0"/>
                    <w:jc w:val="center"/>
                    <w:rPr>
                      <w:bCs/>
                      <w:szCs w:val="21"/>
                    </w:rPr>
                  </w:pPr>
                  <w:r>
                    <w:rPr>
                      <w:bCs/>
                      <w:szCs w:val="21"/>
                    </w:rPr>
                    <w:t>措施</w:t>
                  </w:r>
                </w:p>
              </w:tc>
            </w:tr>
            <w:tr w14:paraId="2C13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shd w:val="clear" w:color="auto" w:fill="auto"/>
                  <w:vAlign w:val="center"/>
                </w:tcPr>
                <w:p w14:paraId="7634419F">
                  <w:pPr>
                    <w:adjustRightInd w:val="0"/>
                    <w:snapToGrid w:val="0"/>
                    <w:jc w:val="center"/>
                    <w:rPr>
                      <w:bCs/>
                      <w:szCs w:val="21"/>
                    </w:rPr>
                  </w:pPr>
                  <w:r>
                    <w:rPr>
                      <w:szCs w:val="21"/>
                    </w:rPr>
                    <w:t>废水</w:t>
                  </w:r>
                </w:p>
              </w:tc>
              <w:tc>
                <w:tcPr>
                  <w:tcW w:w="891" w:type="pct"/>
                  <w:shd w:val="clear" w:color="auto" w:fill="auto"/>
                  <w:vAlign w:val="center"/>
                </w:tcPr>
                <w:p w14:paraId="7FF1BE15">
                  <w:pPr>
                    <w:adjustRightInd w:val="0"/>
                    <w:snapToGrid w:val="0"/>
                    <w:jc w:val="center"/>
                    <w:rPr>
                      <w:szCs w:val="21"/>
                    </w:rPr>
                  </w:pPr>
                  <w:r>
                    <w:rPr>
                      <w:szCs w:val="21"/>
                    </w:rPr>
                    <w:t>生活污水</w:t>
                  </w:r>
                </w:p>
              </w:tc>
              <w:tc>
                <w:tcPr>
                  <w:tcW w:w="1035" w:type="pct"/>
                  <w:shd w:val="clear" w:color="auto" w:fill="auto"/>
                  <w:vAlign w:val="center"/>
                </w:tcPr>
                <w:p w14:paraId="19B19634">
                  <w:pPr>
                    <w:adjustRightInd w:val="0"/>
                    <w:snapToGrid w:val="0"/>
                    <w:jc w:val="center"/>
                    <w:rPr>
                      <w:szCs w:val="21"/>
                    </w:rPr>
                  </w:pPr>
                  <w:r>
                    <w:rPr>
                      <w:szCs w:val="21"/>
                    </w:rPr>
                    <w:t>CODcr、氨氮</w:t>
                  </w:r>
                </w:p>
              </w:tc>
              <w:tc>
                <w:tcPr>
                  <w:tcW w:w="2589" w:type="pct"/>
                  <w:shd w:val="clear" w:color="auto" w:fill="auto"/>
                  <w:vAlign w:val="center"/>
                </w:tcPr>
                <w:p w14:paraId="41F625D0">
                  <w:pPr>
                    <w:adjustRightInd w:val="0"/>
                    <w:snapToGrid w:val="0"/>
                    <w:jc w:val="center"/>
                    <w:rPr>
                      <w:szCs w:val="21"/>
                    </w:rPr>
                  </w:pPr>
                  <w:r>
                    <w:rPr>
                      <w:bCs/>
                      <w:szCs w:val="21"/>
                    </w:rPr>
                    <w:t>化粪池沉淀处理后</w:t>
                  </w:r>
                  <w:r>
                    <w:rPr>
                      <w:rFonts w:hint="eastAsia"/>
                      <w:bCs/>
                      <w:szCs w:val="21"/>
                    </w:rPr>
                    <w:t>由当地环卫部门定期清运，不外排</w:t>
                  </w:r>
                </w:p>
              </w:tc>
            </w:tr>
            <w:tr w14:paraId="1109A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shd w:val="clear" w:color="auto" w:fill="auto"/>
                  <w:vAlign w:val="center"/>
                </w:tcPr>
                <w:p w14:paraId="03105491">
                  <w:pPr>
                    <w:adjustRightInd w:val="0"/>
                    <w:snapToGrid w:val="0"/>
                    <w:jc w:val="center"/>
                    <w:rPr>
                      <w:szCs w:val="21"/>
                    </w:rPr>
                  </w:pPr>
                  <w:r>
                    <w:rPr>
                      <w:szCs w:val="21"/>
                    </w:rPr>
                    <w:t>废气</w:t>
                  </w:r>
                </w:p>
              </w:tc>
              <w:tc>
                <w:tcPr>
                  <w:tcW w:w="891" w:type="pct"/>
                  <w:shd w:val="clear" w:color="auto" w:fill="auto"/>
                  <w:vAlign w:val="center"/>
                </w:tcPr>
                <w:p w14:paraId="47F846F2">
                  <w:pPr>
                    <w:adjustRightInd w:val="0"/>
                    <w:snapToGrid w:val="0"/>
                    <w:jc w:val="center"/>
                    <w:rPr>
                      <w:szCs w:val="21"/>
                    </w:rPr>
                  </w:pPr>
                  <w:r>
                    <w:rPr>
                      <w:rFonts w:hint="eastAsia"/>
                      <w:szCs w:val="21"/>
                    </w:rPr>
                    <w:t>切割、焊接、抛光工序</w:t>
                  </w:r>
                </w:p>
              </w:tc>
              <w:tc>
                <w:tcPr>
                  <w:tcW w:w="1035" w:type="pct"/>
                  <w:shd w:val="clear" w:color="auto" w:fill="auto"/>
                  <w:vAlign w:val="center"/>
                </w:tcPr>
                <w:p w14:paraId="20F2F440">
                  <w:pPr>
                    <w:adjustRightInd w:val="0"/>
                    <w:snapToGrid w:val="0"/>
                    <w:jc w:val="center"/>
                    <w:rPr>
                      <w:szCs w:val="21"/>
                    </w:rPr>
                  </w:pPr>
                  <w:r>
                    <w:rPr>
                      <w:szCs w:val="21"/>
                    </w:rPr>
                    <w:t>颗粒物</w:t>
                  </w:r>
                </w:p>
              </w:tc>
              <w:tc>
                <w:tcPr>
                  <w:tcW w:w="2589" w:type="pct"/>
                  <w:shd w:val="clear" w:color="auto" w:fill="auto"/>
                  <w:vAlign w:val="center"/>
                </w:tcPr>
                <w:p w14:paraId="6186A953">
                  <w:pPr>
                    <w:adjustRightInd w:val="0"/>
                    <w:snapToGrid w:val="0"/>
                    <w:jc w:val="center"/>
                    <w:rPr>
                      <w:szCs w:val="21"/>
                    </w:rPr>
                  </w:pPr>
                  <w:r>
                    <w:rPr>
                      <w:rFonts w:hint="eastAsia"/>
                      <w:bCs/>
                      <w:szCs w:val="21"/>
                    </w:rPr>
                    <w:t>切割粉尘、焊接烟尘、抛光粉尘通过集气罩收集后经布袋除尘器（TA001）处理，由1根15m高排气筒（DA001）排放</w:t>
                  </w:r>
                </w:p>
              </w:tc>
            </w:tr>
            <w:tr w14:paraId="64B8B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5B041D81">
                  <w:pPr>
                    <w:adjustRightInd w:val="0"/>
                    <w:snapToGrid w:val="0"/>
                    <w:jc w:val="center"/>
                    <w:rPr>
                      <w:szCs w:val="21"/>
                    </w:rPr>
                  </w:pPr>
                </w:p>
              </w:tc>
              <w:tc>
                <w:tcPr>
                  <w:tcW w:w="891" w:type="pct"/>
                  <w:shd w:val="clear" w:color="auto" w:fill="auto"/>
                  <w:vAlign w:val="center"/>
                </w:tcPr>
                <w:p w14:paraId="189FAB56">
                  <w:pPr>
                    <w:adjustRightInd w:val="0"/>
                    <w:snapToGrid w:val="0"/>
                    <w:jc w:val="center"/>
                    <w:rPr>
                      <w:szCs w:val="21"/>
                    </w:rPr>
                  </w:pPr>
                  <w:r>
                    <w:rPr>
                      <w:rFonts w:hint="eastAsia"/>
                      <w:szCs w:val="21"/>
                    </w:rPr>
                    <w:t>喷塑工序</w:t>
                  </w:r>
                </w:p>
              </w:tc>
              <w:tc>
                <w:tcPr>
                  <w:tcW w:w="1035" w:type="pct"/>
                  <w:shd w:val="clear" w:color="auto" w:fill="auto"/>
                  <w:vAlign w:val="center"/>
                </w:tcPr>
                <w:p w14:paraId="4E294F36">
                  <w:pPr>
                    <w:adjustRightInd w:val="0"/>
                    <w:snapToGrid w:val="0"/>
                    <w:jc w:val="center"/>
                    <w:rPr>
                      <w:szCs w:val="21"/>
                    </w:rPr>
                  </w:pPr>
                  <w:r>
                    <w:rPr>
                      <w:szCs w:val="21"/>
                    </w:rPr>
                    <w:t>颗粒物</w:t>
                  </w:r>
                </w:p>
              </w:tc>
              <w:tc>
                <w:tcPr>
                  <w:tcW w:w="2589" w:type="pct"/>
                  <w:shd w:val="clear" w:color="auto" w:fill="auto"/>
                  <w:vAlign w:val="center"/>
                </w:tcPr>
                <w:p w14:paraId="097BCFC5">
                  <w:pPr>
                    <w:adjustRightInd w:val="0"/>
                    <w:snapToGrid w:val="0"/>
                    <w:jc w:val="center"/>
                    <w:rPr>
                      <w:bCs/>
                      <w:szCs w:val="21"/>
                    </w:rPr>
                  </w:pPr>
                  <w:r>
                    <w:rPr>
                      <w:rFonts w:hint="eastAsia"/>
                      <w:bCs/>
                      <w:szCs w:val="21"/>
                    </w:rPr>
                    <w:t>喷塑粉尘经过集气管道收集后经布袋除尘器（TA00</w:t>
                  </w:r>
                  <w:r>
                    <w:rPr>
                      <w:bCs/>
                      <w:szCs w:val="21"/>
                    </w:rPr>
                    <w:t>2</w:t>
                  </w:r>
                  <w:r>
                    <w:rPr>
                      <w:rFonts w:hint="eastAsia"/>
                      <w:bCs/>
                      <w:szCs w:val="21"/>
                    </w:rPr>
                    <w:t>）处理，由1根15m高排气筒（DA00</w:t>
                  </w:r>
                  <w:r>
                    <w:rPr>
                      <w:bCs/>
                      <w:szCs w:val="21"/>
                    </w:rPr>
                    <w:t>2</w:t>
                  </w:r>
                  <w:r>
                    <w:rPr>
                      <w:rFonts w:hint="eastAsia"/>
                      <w:bCs/>
                      <w:szCs w:val="21"/>
                    </w:rPr>
                    <w:t>）排放</w:t>
                  </w:r>
                </w:p>
              </w:tc>
            </w:tr>
            <w:tr w14:paraId="33E10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2BB3532F">
                  <w:pPr>
                    <w:adjustRightInd w:val="0"/>
                    <w:snapToGrid w:val="0"/>
                    <w:jc w:val="center"/>
                    <w:rPr>
                      <w:szCs w:val="21"/>
                    </w:rPr>
                  </w:pPr>
                </w:p>
              </w:tc>
              <w:tc>
                <w:tcPr>
                  <w:tcW w:w="891" w:type="pct"/>
                  <w:shd w:val="clear" w:color="auto" w:fill="auto"/>
                  <w:vAlign w:val="center"/>
                </w:tcPr>
                <w:p w14:paraId="44BEAD00">
                  <w:pPr>
                    <w:adjustRightInd w:val="0"/>
                    <w:snapToGrid w:val="0"/>
                    <w:jc w:val="center"/>
                    <w:rPr>
                      <w:szCs w:val="21"/>
                    </w:rPr>
                  </w:pPr>
                  <w:r>
                    <w:rPr>
                      <w:rFonts w:hint="eastAsia"/>
                      <w:szCs w:val="21"/>
                    </w:rPr>
                    <w:t>固化工序</w:t>
                  </w:r>
                </w:p>
              </w:tc>
              <w:tc>
                <w:tcPr>
                  <w:tcW w:w="1035" w:type="pct"/>
                  <w:shd w:val="clear" w:color="auto" w:fill="auto"/>
                  <w:vAlign w:val="center"/>
                </w:tcPr>
                <w:p w14:paraId="019588E7">
                  <w:pPr>
                    <w:adjustRightInd w:val="0"/>
                    <w:snapToGrid w:val="0"/>
                    <w:jc w:val="center"/>
                    <w:rPr>
                      <w:szCs w:val="21"/>
                    </w:rPr>
                  </w:pPr>
                  <w:r>
                    <w:rPr>
                      <w:rFonts w:hint="eastAsia"/>
                      <w:szCs w:val="21"/>
                    </w:rPr>
                    <w:t>V</w:t>
                  </w:r>
                  <w:r>
                    <w:rPr>
                      <w:szCs w:val="21"/>
                    </w:rPr>
                    <w:t>OCs</w:t>
                  </w:r>
                </w:p>
              </w:tc>
              <w:tc>
                <w:tcPr>
                  <w:tcW w:w="2589" w:type="pct"/>
                  <w:shd w:val="clear" w:color="auto" w:fill="auto"/>
                  <w:vAlign w:val="center"/>
                </w:tcPr>
                <w:p w14:paraId="1405CB96">
                  <w:pPr>
                    <w:adjustRightInd w:val="0"/>
                    <w:snapToGrid w:val="0"/>
                    <w:jc w:val="center"/>
                    <w:rPr>
                      <w:bCs/>
                      <w:szCs w:val="21"/>
                    </w:rPr>
                  </w:pPr>
                  <w:r>
                    <w:rPr>
                      <w:rFonts w:hint="eastAsia"/>
                      <w:bCs/>
                      <w:szCs w:val="21"/>
                    </w:rPr>
                    <w:t>固化工序产生的VOCs经集气管道收集后经</w:t>
                  </w:r>
                  <w:r>
                    <w:rPr>
                      <w:bCs/>
                      <w:szCs w:val="21"/>
                    </w:rPr>
                    <w:t>二</w:t>
                  </w:r>
                  <w:r>
                    <w:rPr>
                      <w:rFonts w:hint="eastAsia"/>
                      <w:bCs/>
                      <w:szCs w:val="21"/>
                    </w:rPr>
                    <w:t>级活性炭吸附装置（TA00</w:t>
                  </w:r>
                  <w:r>
                    <w:rPr>
                      <w:bCs/>
                      <w:szCs w:val="21"/>
                    </w:rPr>
                    <w:t>3</w:t>
                  </w:r>
                  <w:r>
                    <w:rPr>
                      <w:rFonts w:hint="eastAsia"/>
                      <w:bCs/>
                      <w:szCs w:val="21"/>
                    </w:rPr>
                    <w:t>）处理后，通过1根15m高排气筒（DA00</w:t>
                  </w:r>
                  <w:r>
                    <w:rPr>
                      <w:bCs/>
                      <w:szCs w:val="21"/>
                    </w:rPr>
                    <w:t>3</w:t>
                  </w:r>
                  <w:r>
                    <w:rPr>
                      <w:rFonts w:hint="eastAsia"/>
                      <w:bCs/>
                      <w:szCs w:val="21"/>
                    </w:rPr>
                    <w:t>）排放。</w:t>
                  </w:r>
                </w:p>
              </w:tc>
            </w:tr>
            <w:tr w14:paraId="5DBF2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shd w:val="clear" w:color="auto" w:fill="auto"/>
                  <w:vAlign w:val="center"/>
                </w:tcPr>
                <w:p w14:paraId="4B67D0D0">
                  <w:pPr>
                    <w:adjustRightInd w:val="0"/>
                    <w:snapToGrid w:val="0"/>
                    <w:jc w:val="center"/>
                    <w:rPr>
                      <w:szCs w:val="21"/>
                    </w:rPr>
                  </w:pPr>
                  <w:r>
                    <w:rPr>
                      <w:szCs w:val="21"/>
                    </w:rPr>
                    <w:t>固废</w:t>
                  </w:r>
                </w:p>
              </w:tc>
              <w:tc>
                <w:tcPr>
                  <w:tcW w:w="891" w:type="pct"/>
                  <w:shd w:val="clear" w:color="auto" w:fill="auto"/>
                  <w:vAlign w:val="center"/>
                </w:tcPr>
                <w:p w14:paraId="67307740">
                  <w:pPr>
                    <w:adjustRightInd w:val="0"/>
                    <w:snapToGrid w:val="0"/>
                    <w:jc w:val="center"/>
                    <w:rPr>
                      <w:szCs w:val="21"/>
                    </w:rPr>
                  </w:pPr>
                  <w:r>
                    <w:rPr>
                      <w:szCs w:val="21"/>
                    </w:rPr>
                    <w:t>生活垃圾</w:t>
                  </w:r>
                </w:p>
              </w:tc>
              <w:tc>
                <w:tcPr>
                  <w:tcW w:w="1035" w:type="pct"/>
                  <w:shd w:val="clear" w:color="auto" w:fill="auto"/>
                  <w:vAlign w:val="center"/>
                </w:tcPr>
                <w:p w14:paraId="482381A5">
                  <w:pPr>
                    <w:adjustRightInd w:val="0"/>
                    <w:snapToGrid w:val="0"/>
                    <w:jc w:val="center"/>
                    <w:rPr>
                      <w:szCs w:val="21"/>
                    </w:rPr>
                  </w:pPr>
                  <w:r>
                    <w:rPr>
                      <w:szCs w:val="21"/>
                    </w:rPr>
                    <w:t>生活垃圾</w:t>
                  </w:r>
                </w:p>
              </w:tc>
              <w:tc>
                <w:tcPr>
                  <w:tcW w:w="2589" w:type="pct"/>
                  <w:shd w:val="clear" w:color="auto" w:fill="auto"/>
                  <w:vAlign w:val="center"/>
                </w:tcPr>
                <w:p w14:paraId="38AB0CF5">
                  <w:pPr>
                    <w:adjustRightInd w:val="0"/>
                    <w:snapToGrid w:val="0"/>
                    <w:jc w:val="center"/>
                    <w:rPr>
                      <w:szCs w:val="21"/>
                    </w:rPr>
                  </w:pPr>
                  <w:r>
                    <w:rPr>
                      <w:szCs w:val="21"/>
                    </w:rPr>
                    <w:t>环卫部门清运</w:t>
                  </w:r>
                </w:p>
              </w:tc>
            </w:tr>
            <w:tr w14:paraId="3A435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5B2CA400">
                  <w:pPr>
                    <w:adjustRightInd w:val="0"/>
                    <w:snapToGrid w:val="0"/>
                    <w:jc w:val="center"/>
                    <w:rPr>
                      <w:szCs w:val="21"/>
                    </w:rPr>
                  </w:pPr>
                </w:p>
              </w:tc>
              <w:tc>
                <w:tcPr>
                  <w:tcW w:w="891" w:type="pct"/>
                  <w:vMerge w:val="restart"/>
                  <w:shd w:val="clear" w:color="auto" w:fill="auto"/>
                  <w:vAlign w:val="center"/>
                </w:tcPr>
                <w:p w14:paraId="3C5BAA20">
                  <w:pPr>
                    <w:adjustRightInd w:val="0"/>
                    <w:snapToGrid w:val="0"/>
                    <w:jc w:val="center"/>
                    <w:rPr>
                      <w:szCs w:val="21"/>
                    </w:rPr>
                  </w:pPr>
                  <w:r>
                    <w:rPr>
                      <w:szCs w:val="21"/>
                    </w:rPr>
                    <w:t>一般固废</w:t>
                  </w:r>
                </w:p>
              </w:tc>
              <w:tc>
                <w:tcPr>
                  <w:tcW w:w="1035" w:type="pct"/>
                  <w:shd w:val="clear" w:color="auto" w:fill="auto"/>
                  <w:vAlign w:val="center"/>
                </w:tcPr>
                <w:p w14:paraId="561D6832">
                  <w:pPr>
                    <w:adjustRightInd w:val="0"/>
                    <w:snapToGrid w:val="0"/>
                    <w:jc w:val="center"/>
                    <w:rPr>
                      <w:szCs w:val="21"/>
                    </w:rPr>
                  </w:pPr>
                  <w:r>
                    <w:rPr>
                      <w:rFonts w:hint="eastAsia"/>
                      <w:szCs w:val="21"/>
                    </w:rPr>
                    <w:t>喷塑工序布袋除尘器收集的塑粉</w:t>
                  </w:r>
                </w:p>
              </w:tc>
              <w:tc>
                <w:tcPr>
                  <w:tcW w:w="2589" w:type="pct"/>
                  <w:shd w:val="clear" w:color="auto" w:fill="auto"/>
                  <w:vAlign w:val="center"/>
                </w:tcPr>
                <w:p w14:paraId="335B18EB">
                  <w:pPr>
                    <w:adjustRightInd w:val="0"/>
                    <w:snapToGrid w:val="0"/>
                    <w:jc w:val="center"/>
                    <w:rPr>
                      <w:szCs w:val="21"/>
                    </w:rPr>
                  </w:pPr>
                  <w:r>
                    <w:rPr>
                      <w:szCs w:val="21"/>
                    </w:rPr>
                    <w:t>收集后回用于生产</w:t>
                  </w:r>
                </w:p>
              </w:tc>
            </w:tr>
            <w:tr w14:paraId="10D1D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4A7C526E">
                  <w:pPr>
                    <w:adjustRightInd w:val="0"/>
                    <w:snapToGrid w:val="0"/>
                    <w:jc w:val="center"/>
                    <w:rPr>
                      <w:szCs w:val="21"/>
                    </w:rPr>
                  </w:pPr>
                </w:p>
              </w:tc>
              <w:tc>
                <w:tcPr>
                  <w:tcW w:w="891" w:type="pct"/>
                  <w:vMerge w:val="continue"/>
                  <w:shd w:val="clear" w:color="auto" w:fill="auto"/>
                  <w:vAlign w:val="center"/>
                </w:tcPr>
                <w:p w14:paraId="21F0F3D2">
                  <w:pPr>
                    <w:adjustRightInd w:val="0"/>
                    <w:snapToGrid w:val="0"/>
                    <w:jc w:val="center"/>
                    <w:rPr>
                      <w:szCs w:val="21"/>
                    </w:rPr>
                  </w:pPr>
                </w:p>
              </w:tc>
              <w:tc>
                <w:tcPr>
                  <w:tcW w:w="1035" w:type="pct"/>
                  <w:shd w:val="clear" w:color="auto" w:fill="auto"/>
                  <w:vAlign w:val="center"/>
                </w:tcPr>
                <w:p w14:paraId="0FD25329">
                  <w:pPr>
                    <w:adjustRightInd w:val="0"/>
                    <w:snapToGrid w:val="0"/>
                    <w:spacing w:line="240" w:lineRule="exact"/>
                    <w:jc w:val="center"/>
                    <w:rPr>
                      <w:szCs w:val="21"/>
                    </w:rPr>
                  </w:pPr>
                  <w:r>
                    <w:rPr>
                      <w:szCs w:val="21"/>
                    </w:rPr>
                    <w:t>废包装</w:t>
                  </w:r>
                  <w:r>
                    <w:rPr>
                      <w:rFonts w:hint="eastAsia"/>
                      <w:szCs w:val="21"/>
                    </w:rPr>
                    <w:t>材料</w:t>
                  </w:r>
                </w:p>
              </w:tc>
              <w:tc>
                <w:tcPr>
                  <w:tcW w:w="2589" w:type="pct"/>
                  <w:vMerge w:val="restart"/>
                  <w:shd w:val="clear" w:color="auto" w:fill="auto"/>
                  <w:vAlign w:val="center"/>
                </w:tcPr>
                <w:p w14:paraId="04AD316A">
                  <w:pPr>
                    <w:adjustRightInd w:val="0"/>
                    <w:snapToGrid w:val="0"/>
                    <w:jc w:val="center"/>
                    <w:rPr>
                      <w:szCs w:val="21"/>
                    </w:rPr>
                  </w:pPr>
                  <w:r>
                    <w:rPr>
                      <w:szCs w:val="21"/>
                    </w:rPr>
                    <w:t>收集后外售物资回收单位</w:t>
                  </w:r>
                </w:p>
              </w:tc>
            </w:tr>
            <w:tr w14:paraId="45A6A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0162AAA1">
                  <w:pPr>
                    <w:adjustRightInd w:val="0"/>
                    <w:snapToGrid w:val="0"/>
                    <w:jc w:val="center"/>
                    <w:rPr>
                      <w:szCs w:val="21"/>
                    </w:rPr>
                  </w:pPr>
                </w:p>
              </w:tc>
              <w:tc>
                <w:tcPr>
                  <w:tcW w:w="891" w:type="pct"/>
                  <w:vMerge w:val="continue"/>
                  <w:shd w:val="clear" w:color="auto" w:fill="auto"/>
                  <w:vAlign w:val="center"/>
                </w:tcPr>
                <w:p w14:paraId="4F626B00">
                  <w:pPr>
                    <w:adjustRightInd w:val="0"/>
                    <w:snapToGrid w:val="0"/>
                    <w:jc w:val="center"/>
                    <w:rPr>
                      <w:szCs w:val="21"/>
                    </w:rPr>
                  </w:pPr>
                </w:p>
              </w:tc>
              <w:tc>
                <w:tcPr>
                  <w:tcW w:w="1035" w:type="pct"/>
                  <w:shd w:val="clear" w:color="auto" w:fill="auto"/>
                  <w:vAlign w:val="center"/>
                </w:tcPr>
                <w:p w14:paraId="2D540770">
                  <w:pPr>
                    <w:adjustRightInd w:val="0"/>
                    <w:snapToGrid w:val="0"/>
                    <w:spacing w:line="240" w:lineRule="exact"/>
                    <w:jc w:val="center"/>
                    <w:rPr>
                      <w:szCs w:val="21"/>
                    </w:rPr>
                  </w:pPr>
                  <w:r>
                    <w:rPr>
                      <w:szCs w:val="21"/>
                    </w:rPr>
                    <w:t>除尘器收尘</w:t>
                  </w:r>
                </w:p>
              </w:tc>
              <w:tc>
                <w:tcPr>
                  <w:tcW w:w="2589" w:type="pct"/>
                  <w:vMerge w:val="continue"/>
                  <w:shd w:val="clear" w:color="auto" w:fill="auto"/>
                  <w:vAlign w:val="center"/>
                </w:tcPr>
                <w:p w14:paraId="0C79DD93">
                  <w:pPr>
                    <w:adjustRightInd w:val="0"/>
                    <w:snapToGrid w:val="0"/>
                    <w:jc w:val="center"/>
                    <w:rPr>
                      <w:szCs w:val="21"/>
                    </w:rPr>
                  </w:pPr>
                </w:p>
              </w:tc>
            </w:tr>
            <w:tr w14:paraId="61E25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1D09FB54">
                  <w:pPr>
                    <w:adjustRightInd w:val="0"/>
                    <w:snapToGrid w:val="0"/>
                    <w:jc w:val="center"/>
                    <w:rPr>
                      <w:szCs w:val="21"/>
                    </w:rPr>
                  </w:pPr>
                </w:p>
              </w:tc>
              <w:tc>
                <w:tcPr>
                  <w:tcW w:w="891" w:type="pct"/>
                  <w:vMerge w:val="continue"/>
                  <w:shd w:val="clear" w:color="auto" w:fill="auto"/>
                  <w:vAlign w:val="center"/>
                </w:tcPr>
                <w:p w14:paraId="238C4E39">
                  <w:pPr>
                    <w:adjustRightInd w:val="0"/>
                    <w:snapToGrid w:val="0"/>
                    <w:jc w:val="center"/>
                    <w:rPr>
                      <w:szCs w:val="21"/>
                    </w:rPr>
                  </w:pPr>
                </w:p>
              </w:tc>
              <w:tc>
                <w:tcPr>
                  <w:tcW w:w="1035" w:type="pct"/>
                  <w:shd w:val="clear" w:color="auto" w:fill="auto"/>
                  <w:vAlign w:val="center"/>
                </w:tcPr>
                <w:p w14:paraId="346ADB6C">
                  <w:pPr>
                    <w:adjustRightInd w:val="0"/>
                    <w:snapToGrid w:val="0"/>
                    <w:spacing w:line="240" w:lineRule="exact"/>
                    <w:jc w:val="center"/>
                    <w:rPr>
                      <w:szCs w:val="21"/>
                    </w:rPr>
                  </w:pPr>
                  <w:r>
                    <w:rPr>
                      <w:rFonts w:hint="eastAsia"/>
                      <w:szCs w:val="21"/>
                    </w:rPr>
                    <w:t>废布袋</w:t>
                  </w:r>
                </w:p>
              </w:tc>
              <w:tc>
                <w:tcPr>
                  <w:tcW w:w="2589" w:type="pct"/>
                  <w:vMerge w:val="continue"/>
                  <w:shd w:val="clear" w:color="auto" w:fill="auto"/>
                  <w:vAlign w:val="center"/>
                </w:tcPr>
                <w:p w14:paraId="7EEDD746">
                  <w:pPr>
                    <w:adjustRightInd w:val="0"/>
                    <w:snapToGrid w:val="0"/>
                    <w:jc w:val="center"/>
                    <w:rPr>
                      <w:szCs w:val="21"/>
                    </w:rPr>
                  </w:pPr>
                </w:p>
              </w:tc>
            </w:tr>
            <w:tr w14:paraId="1C0E5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25813B42">
                  <w:pPr>
                    <w:adjustRightInd w:val="0"/>
                    <w:snapToGrid w:val="0"/>
                    <w:jc w:val="center"/>
                    <w:rPr>
                      <w:szCs w:val="21"/>
                    </w:rPr>
                  </w:pPr>
                </w:p>
              </w:tc>
              <w:tc>
                <w:tcPr>
                  <w:tcW w:w="891" w:type="pct"/>
                  <w:vMerge w:val="continue"/>
                  <w:shd w:val="clear" w:color="auto" w:fill="auto"/>
                  <w:vAlign w:val="center"/>
                </w:tcPr>
                <w:p w14:paraId="67CC2C5A">
                  <w:pPr>
                    <w:adjustRightInd w:val="0"/>
                    <w:snapToGrid w:val="0"/>
                    <w:jc w:val="center"/>
                    <w:rPr>
                      <w:szCs w:val="21"/>
                    </w:rPr>
                  </w:pPr>
                </w:p>
              </w:tc>
              <w:tc>
                <w:tcPr>
                  <w:tcW w:w="1035" w:type="pct"/>
                  <w:shd w:val="clear" w:color="auto" w:fill="auto"/>
                  <w:vAlign w:val="center"/>
                </w:tcPr>
                <w:p w14:paraId="26AB5BDD">
                  <w:pPr>
                    <w:adjustRightInd w:val="0"/>
                    <w:snapToGrid w:val="0"/>
                    <w:spacing w:line="240" w:lineRule="exact"/>
                    <w:jc w:val="center"/>
                    <w:rPr>
                      <w:szCs w:val="21"/>
                    </w:rPr>
                  </w:pPr>
                  <w:r>
                    <w:rPr>
                      <w:szCs w:val="21"/>
                    </w:rPr>
                    <w:t>焊渣</w:t>
                  </w:r>
                </w:p>
              </w:tc>
              <w:tc>
                <w:tcPr>
                  <w:tcW w:w="2589" w:type="pct"/>
                  <w:vMerge w:val="continue"/>
                  <w:shd w:val="clear" w:color="auto" w:fill="auto"/>
                  <w:vAlign w:val="center"/>
                </w:tcPr>
                <w:p w14:paraId="70EB608E">
                  <w:pPr>
                    <w:adjustRightInd w:val="0"/>
                    <w:snapToGrid w:val="0"/>
                    <w:jc w:val="center"/>
                    <w:rPr>
                      <w:szCs w:val="21"/>
                    </w:rPr>
                  </w:pPr>
                </w:p>
              </w:tc>
            </w:tr>
            <w:tr w14:paraId="41460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712DA834">
                  <w:pPr>
                    <w:adjustRightInd w:val="0"/>
                    <w:snapToGrid w:val="0"/>
                    <w:jc w:val="center"/>
                    <w:rPr>
                      <w:szCs w:val="21"/>
                    </w:rPr>
                  </w:pPr>
                </w:p>
              </w:tc>
              <w:tc>
                <w:tcPr>
                  <w:tcW w:w="891" w:type="pct"/>
                  <w:vMerge w:val="continue"/>
                  <w:shd w:val="clear" w:color="auto" w:fill="auto"/>
                  <w:vAlign w:val="center"/>
                </w:tcPr>
                <w:p w14:paraId="74CD542D">
                  <w:pPr>
                    <w:adjustRightInd w:val="0"/>
                    <w:snapToGrid w:val="0"/>
                    <w:jc w:val="center"/>
                    <w:rPr>
                      <w:szCs w:val="21"/>
                    </w:rPr>
                  </w:pPr>
                </w:p>
              </w:tc>
              <w:tc>
                <w:tcPr>
                  <w:tcW w:w="1035" w:type="pct"/>
                  <w:shd w:val="clear" w:color="auto" w:fill="auto"/>
                  <w:vAlign w:val="center"/>
                </w:tcPr>
                <w:p w14:paraId="7CBFB049">
                  <w:pPr>
                    <w:adjustRightInd w:val="0"/>
                    <w:snapToGrid w:val="0"/>
                    <w:spacing w:line="240" w:lineRule="exact"/>
                    <w:jc w:val="center"/>
                    <w:rPr>
                      <w:szCs w:val="21"/>
                    </w:rPr>
                  </w:pPr>
                  <w:r>
                    <w:rPr>
                      <w:rFonts w:hint="eastAsia"/>
                      <w:szCs w:val="21"/>
                    </w:rPr>
                    <w:t>下脚料</w:t>
                  </w:r>
                </w:p>
              </w:tc>
              <w:tc>
                <w:tcPr>
                  <w:tcW w:w="2589" w:type="pct"/>
                  <w:vMerge w:val="continue"/>
                  <w:shd w:val="clear" w:color="auto" w:fill="auto"/>
                  <w:vAlign w:val="center"/>
                </w:tcPr>
                <w:p w14:paraId="019960E3">
                  <w:pPr>
                    <w:adjustRightInd w:val="0"/>
                    <w:snapToGrid w:val="0"/>
                    <w:jc w:val="center"/>
                    <w:rPr>
                      <w:szCs w:val="21"/>
                    </w:rPr>
                  </w:pPr>
                </w:p>
              </w:tc>
            </w:tr>
            <w:tr w14:paraId="2532A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59F95415">
                  <w:pPr>
                    <w:adjustRightInd w:val="0"/>
                    <w:snapToGrid w:val="0"/>
                    <w:jc w:val="center"/>
                    <w:rPr>
                      <w:szCs w:val="21"/>
                    </w:rPr>
                  </w:pPr>
                </w:p>
              </w:tc>
              <w:tc>
                <w:tcPr>
                  <w:tcW w:w="891" w:type="pct"/>
                  <w:vMerge w:val="continue"/>
                  <w:shd w:val="clear" w:color="auto" w:fill="auto"/>
                  <w:vAlign w:val="center"/>
                </w:tcPr>
                <w:p w14:paraId="5400FF84">
                  <w:pPr>
                    <w:adjustRightInd w:val="0"/>
                    <w:snapToGrid w:val="0"/>
                    <w:jc w:val="center"/>
                    <w:rPr>
                      <w:szCs w:val="21"/>
                    </w:rPr>
                  </w:pPr>
                </w:p>
              </w:tc>
              <w:tc>
                <w:tcPr>
                  <w:tcW w:w="1035" w:type="pct"/>
                  <w:shd w:val="clear" w:color="auto" w:fill="auto"/>
                  <w:vAlign w:val="center"/>
                </w:tcPr>
                <w:p w14:paraId="7F1EC824">
                  <w:pPr>
                    <w:adjustRightInd w:val="0"/>
                    <w:snapToGrid w:val="0"/>
                    <w:spacing w:line="240" w:lineRule="exact"/>
                    <w:jc w:val="center"/>
                    <w:rPr>
                      <w:szCs w:val="21"/>
                    </w:rPr>
                  </w:pPr>
                  <w:r>
                    <w:rPr>
                      <w:rFonts w:hint="eastAsia"/>
                      <w:szCs w:val="21"/>
                    </w:rPr>
                    <w:t>不合格品</w:t>
                  </w:r>
                </w:p>
              </w:tc>
              <w:tc>
                <w:tcPr>
                  <w:tcW w:w="2589" w:type="pct"/>
                  <w:vMerge w:val="continue"/>
                  <w:shd w:val="clear" w:color="auto" w:fill="auto"/>
                  <w:vAlign w:val="center"/>
                </w:tcPr>
                <w:p w14:paraId="3D16CB90">
                  <w:pPr>
                    <w:adjustRightInd w:val="0"/>
                    <w:snapToGrid w:val="0"/>
                    <w:jc w:val="center"/>
                    <w:rPr>
                      <w:szCs w:val="21"/>
                    </w:rPr>
                  </w:pPr>
                </w:p>
              </w:tc>
            </w:tr>
            <w:tr w14:paraId="1651A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0D2DB40B">
                  <w:pPr>
                    <w:adjustRightInd w:val="0"/>
                    <w:snapToGrid w:val="0"/>
                    <w:jc w:val="center"/>
                    <w:rPr>
                      <w:szCs w:val="21"/>
                    </w:rPr>
                  </w:pPr>
                </w:p>
              </w:tc>
              <w:tc>
                <w:tcPr>
                  <w:tcW w:w="891" w:type="pct"/>
                  <w:vMerge w:val="restart"/>
                  <w:shd w:val="clear" w:color="auto" w:fill="auto"/>
                  <w:vAlign w:val="center"/>
                </w:tcPr>
                <w:p w14:paraId="3B88DD80">
                  <w:pPr>
                    <w:adjustRightInd w:val="0"/>
                    <w:snapToGrid w:val="0"/>
                    <w:jc w:val="center"/>
                    <w:rPr>
                      <w:szCs w:val="21"/>
                    </w:rPr>
                  </w:pPr>
                  <w:r>
                    <w:rPr>
                      <w:szCs w:val="21"/>
                    </w:rPr>
                    <w:t>危险废物</w:t>
                  </w:r>
                </w:p>
              </w:tc>
              <w:tc>
                <w:tcPr>
                  <w:tcW w:w="1035" w:type="pct"/>
                  <w:shd w:val="clear" w:color="auto" w:fill="auto"/>
                  <w:vAlign w:val="center"/>
                </w:tcPr>
                <w:p w14:paraId="343710A4">
                  <w:pPr>
                    <w:adjustRightInd w:val="0"/>
                    <w:snapToGrid w:val="0"/>
                    <w:spacing w:line="240" w:lineRule="exact"/>
                    <w:jc w:val="center"/>
                    <w:rPr>
                      <w:szCs w:val="21"/>
                    </w:rPr>
                  </w:pPr>
                  <w:r>
                    <w:rPr>
                      <w:szCs w:val="21"/>
                    </w:rPr>
                    <w:t>废润滑油</w:t>
                  </w:r>
                </w:p>
              </w:tc>
              <w:tc>
                <w:tcPr>
                  <w:tcW w:w="2589" w:type="pct"/>
                  <w:vMerge w:val="restart"/>
                  <w:shd w:val="clear" w:color="auto" w:fill="auto"/>
                  <w:vAlign w:val="center"/>
                </w:tcPr>
                <w:p w14:paraId="0DEABD3E">
                  <w:pPr>
                    <w:adjustRightInd w:val="0"/>
                    <w:snapToGrid w:val="0"/>
                    <w:jc w:val="center"/>
                    <w:rPr>
                      <w:szCs w:val="21"/>
                    </w:rPr>
                  </w:pPr>
                  <w:r>
                    <w:rPr>
                      <w:szCs w:val="21"/>
                    </w:rPr>
                    <w:t>暂存于危废暂存间，委托有危废处置资质的单位处置</w:t>
                  </w:r>
                </w:p>
              </w:tc>
            </w:tr>
            <w:tr w14:paraId="38667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1DEEECE7">
                  <w:pPr>
                    <w:adjustRightInd w:val="0"/>
                    <w:snapToGrid w:val="0"/>
                    <w:jc w:val="center"/>
                    <w:rPr>
                      <w:szCs w:val="21"/>
                    </w:rPr>
                  </w:pPr>
                </w:p>
              </w:tc>
              <w:tc>
                <w:tcPr>
                  <w:tcW w:w="891" w:type="pct"/>
                  <w:vMerge w:val="continue"/>
                  <w:shd w:val="clear" w:color="auto" w:fill="auto"/>
                  <w:vAlign w:val="center"/>
                </w:tcPr>
                <w:p w14:paraId="105E496F">
                  <w:pPr>
                    <w:adjustRightInd w:val="0"/>
                    <w:snapToGrid w:val="0"/>
                    <w:jc w:val="center"/>
                    <w:rPr>
                      <w:szCs w:val="21"/>
                    </w:rPr>
                  </w:pPr>
                </w:p>
              </w:tc>
              <w:tc>
                <w:tcPr>
                  <w:tcW w:w="1035" w:type="pct"/>
                  <w:shd w:val="clear" w:color="auto" w:fill="auto"/>
                  <w:vAlign w:val="center"/>
                </w:tcPr>
                <w:p w14:paraId="42DCD2CE">
                  <w:pPr>
                    <w:adjustRightInd w:val="0"/>
                    <w:snapToGrid w:val="0"/>
                    <w:spacing w:line="240" w:lineRule="exact"/>
                    <w:jc w:val="center"/>
                    <w:rPr>
                      <w:szCs w:val="21"/>
                    </w:rPr>
                  </w:pPr>
                  <w:r>
                    <w:rPr>
                      <w:szCs w:val="21"/>
                    </w:rPr>
                    <w:t>废润滑油桶</w:t>
                  </w:r>
                </w:p>
              </w:tc>
              <w:tc>
                <w:tcPr>
                  <w:tcW w:w="2589" w:type="pct"/>
                  <w:vMerge w:val="continue"/>
                  <w:shd w:val="clear" w:color="auto" w:fill="auto"/>
                  <w:vAlign w:val="center"/>
                </w:tcPr>
                <w:p w14:paraId="66CB227F">
                  <w:pPr>
                    <w:adjustRightInd w:val="0"/>
                    <w:snapToGrid w:val="0"/>
                    <w:jc w:val="center"/>
                    <w:rPr>
                      <w:szCs w:val="21"/>
                    </w:rPr>
                  </w:pPr>
                </w:p>
              </w:tc>
            </w:tr>
            <w:tr w14:paraId="49ED1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shd w:val="clear" w:color="auto" w:fill="auto"/>
                  <w:vAlign w:val="center"/>
                </w:tcPr>
                <w:p w14:paraId="69125F3A">
                  <w:pPr>
                    <w:adjustRightInd w:val="0"/>
                    <w:snapToGrid w:val="0"/>
                    <w:jc w:val="center"/>
                    <w:rPr>
                      <w:szCs w:val="21"/>
                    </w:rPr>
                  </w:pPr>
                </w:p>
              </w:tc>
              <w:tc>
                <w:tcPr>
                  <w:tcW w:w="891" w:type="pct"/>
                  <w:vMerge w:val="continue"/>
                  <w:shd w:val="clear" w:color="auto" w:fill="auto"/>
                  <w:vAlign w:val="center"/>
                </w:tcPr>
                <w:p w14:paraId="4A9C4A14">
                  <w:pPr>
                    <w:adjustRightInd w:val="0"/>
                    <w:snapToGrid w:val="0"/>
                    <w:jc w:val="center"/>
                    <w:rPr>
                      <w:szCs w:val="21"/>
                    </w:rPr>
                  </w:pPr>
                </w:p>
              </w:tc>
              <w:tc>
                <w:tcPr>
                  <w:tcW w:w="1035" w:type="pct"/>
                  <w:shd w:val="clear" w:color="auto" w:fill="auto"/>
                  <w:vAlign w:val="center"/>
                </w:tcPr>
                <w:p w14:paraId="1C7EB430">
                  <w:pPr>
                    <w:adjustRightInd w:val="0"/>
                    <w:snapToGrid w:val="0"/>
                    <w:spacing w:line="240" w:lineRule="exact"/>
                    <w:jc w:val="center"/>
                    <w:rPr>
                      <w:szCs w:val="21"/>
                    </w:rPr>
                  </w:pPr>
                  <w:r>
                    <w:rPr>
                      <w:szCs w:val="21"/>
                    </w:rPr>
                    <w:t>废液压油</w:t>
                  </w:r>
                </w:p>
              </w:tc>
              <w:tc>
                <w:tcPr>
                  <w:tcW w:w="2589" w:type="pct"/>
                  <w:vMerge w:val="continue"/>
                  <w:shd w:val="clear" w:color="auto" w:fill="auto"/>
                  <w:vAlign w:val="center"/>
                </w:tcPr>
                <w:p w14:paraId="458E7BCD">
                  <w:pPr>
                    <w:adjustRightInd w:val="0"/>
                    <w:snapToGrid w:val="0"/>
                    <w:jc w:val="center"/>
                    <w:rPr>
                      <w:szCs w:val="21"/>
                    </w:rPr>
                  </w:pPr>
                </w:p>
              </w:tc>
            </w:tr>
            <w:tr w14:paraId="0D97D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1D922054">
                  <w:pPr>
                    <w:adjustRightInd w:val="0"/>
                    <w:snapToGrid w:val="0"/>
                    <w:jc w:val="center"/>
                    <w:rPr>
                      <w:szCs w:val="21"/>
                    </w:rPr>
                  </w:pPr>
                </w:p>
              </w:tc>
              <w:tc>
                <w:tcPr>
                  <w:tcW w:w="891" w:type="pct"/>
                  <w:vMerge w:val="continue"/>
                  <w:shd w:val="clear" w:color="auto" w:fill="auto"/>
                  <w:vAlign w:val="center"/>
                </w:tcPr>
                <w:p w14:paraId="5241B938">
                  <w:pPr>
                    <w:adjustRightInd w:val="0"/>
                    <w:snapToGrid w:val="0"/>
                    <w:jc w:val="center"/>
                    <w:rPr>
                      <w:szCs w:val="21"/>
                    </w:rPr>
                  </w:pPr>
                </w:p>
              </w:tc>
              <w:tc>
                <w:tcPr>
                  <w:tcW w:w="1035" w:type="pct"/>
                  <w:shd w:val="clear" w:color="auto" w:fill="auto"/>
                  <w:vAlign w:val="center"/>
                </w:tcPr>
                <w:p w14:paraId="15F52581">
                  <w:pPr>
                    <w:adjustRightInd w:val="0"/>
                    <w:snapToGrid w:val="0"/>
                    <w:spacing w:line="240" w:lineRule="exact"/>
                    <w:jc w:val="center"/>
                    <w:rPr>
                      <w:szCs w:val="21"/>
                    </w:rPr>
                  </w:pPr>
                  <w:r>
                    <w:rPr>
                      <w:szCs w:val="21"/>
                    </w:rPr>
                    <w:t>废液压油桶</w:t>
                  </w:r>
                </w:p>
              </w:tc>
              <w:tc>
                <w:tcPr>
                  <w:tcW w:w="2589" w:type="pct"/>
                  <w:vMerge w:val="continue"/>
                  <w:shd w:val="clear" w:color="auto" w:fill="auto"/>
                  <w:vAlign w:val="center"/>
                </w:tcPr>
                <w:p w14:paraId="7A7D6606">
                  <w:pPr>
                    <w:adjustRightInd w:val="0"/>
                    <w:snapToGrid w:val="0"/>
                    <w:jc w:val="center"/>
                    <w:rPr>
                      <w:szCs w:val="21"/>
                    </w:rPr>
                  </w:pPr>
                </w:p>
              </w:tc>
            </w:tr>
            <w:tr w14:paraId="326BB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shd w:val="clear" w:color="auto" w:fill="auto"/>
                  <w:vAlign w:val="center"/>
                </w:tcPr>
                <w:p w14:paraId="6C605F22">
                  <w:pPr>
                    <w:adjustRightInd w:val="0"/>
                    <w:snapToGrid w:val="0"/>
                    <w:jc w:val="center"/>
                    <w:rPr>
                      <w:szCs w:val="21"/>
                    </w:rPr>
                  </w:pPr>
                </w:p>
              </w:tc>
              <w:tc>
                <w:tcPr>
                  <w:tcW w:w="891" w:type="pct"/>
                  <w:vMerge w:val="continue"/>
                  <w:shd w:val="clear" w:color="auto" w:fill="auto"/>
                  <w:vAlign w:val="center"/>
                </w:tcPr>
                <w:p w14:paraId="3D8B1ED7">
                  <w:pPr>
                    <w:adjustRightInd w:val="0"/>
                    <w:snapToGrid w:val="0"/>
                    <w:jc w:val="center"/>
                    <w:rPr>
                      <w:szCs w:val="21"/>
                    </w:rPr>
                  </w:pPr>
                </w:p>
              </w:tc>
              <w:tc>
                <w:tcPr>
                  <w:tcW w:w="1035" w:type="pct"/>
                  <w:shd w:val="clear" w:color="auto" w:fill="auto"/>
                  <w:vAlign w:val="center"/>
                </w:tcPr>
                <w:p w14:paraId="3B83740E">
                  <w:pPr>
                    <w:adjustRightInd w:val="0"/>
                    <w:snapToGrid w:val="0"/>
                    <w:spacing w:line="240" w:lineRule="exact"/>
                    <w:jc w:val="center"/>
                    <w:rPr>
                      <w:szCs w:val="21"/>
                    </w:rPr>
                  </w:pPr>
                  <w:r>
                    <w:rPr>
                      <w:szCs w:val="21"/>
                    </w:rPr>
                    <w:t>废活性炭</w:t>
                  </w:r>
                </w:p>
              </w:tc>
              <w:tc>
                <w:tcPr>
                  <w:tcW w:w="2589" w:type="pct"/>
                  <w:vMerge w:val="continue"/>
                  <w:shd w:val="clear" w:color="auto" w:fill="auto"/>
                  <w:vAlign w:val="center"/>
                </w:tcPr>
                <w:p w14:paraId="585BC84F">
                  <w:pPr>
                    <w:adjustRightInd w:val="0"/>
                    <w:snapToGrid w:val="0"/>
                    <w:jc w:val="center"/>
                    <w:rPr>
                      <w:szCs w:val="21"/>
                    </w:rPr>
                  </w:pPr>
                </w:p>
              </w:tc>
            </w:tr>
            <w:tr w14:paraId="14AFF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shd w:val="clear" w:color="auto" w:fill="auto"/>
                  <w:vAlign w:val="center"/>
                </w:tcPr>
                <w:p w14:paraId="2129B325">
                  <w:pPr>
                    <w:adjustRightInd w:val="0"/>
                    <w:snapToGrid w:val="0"/>
                    <w:jc w:val="center"/>
                    <w:rPr>
                      <w:szCs w:val="21"/>
                    </w:rPr>
                  </w:pPr>
                  <w:r>
                    <w:rPr>
                      <w:szCs w:val="21"/>
                    </w:rPr>
                    <w:t>噪声</w:t>
                  </w:r>
                </w:p>
              </w:tc>
              <w:tc>
                <w:tcPr>
                  <w:tcW w:w="891" w:type="pct"/>
                  <w:shd w:val="clear" w:color="auto" w:fill="auto"/>
                  <w:vAlign w:val="center"/>
                </w:tcPr>
                <w:p w14:paraId="00408E2F">
                  <w:pPr>
                    <w:adjustRightInd w:val="0"/>
                    <w:snapToGrid w:val="0"/>
                    <w:jc w:val="center"/>
                    <w:rPr>
                      <w:szCs w:val="21"/>
                    </w:rPr>
                  </w:pPr>
                  <w:r>
                    <w:rPr>
                      <w:szCs w:val="21"/>
                    </w:rPr>
                    <w:t>设备、风机运行</w:t>
                  </w:r>
                </w:p>
              </w:tc>
              <w:tc>
                <w:tcPr>
                  <w:tcW w:w="1035" w:type="pct"/>
                  <w:shd w:val="clear" w:color="auto" w:fill="auto"/>
                  <w:vAlign w:val="center"/>
                </w:tcPr>
                <w:p w14:paraId="4BCCDEDC">
                  <w:pPr>
                    <w:adjustRightInd w:val="0"/>
                    <w:snapToGrid w:val="0"/>
                    <w:jc w:val="center"/>
                    <w:rPr>
                      <w:szCs w:val="21"/>
                    </w:rPr>
                  </w:pPr>
                  <w:r>
                    <w:rPr>
                      <w:szCs w:val="21"/>
                    </w:rPr>
                    <w:t>噪声</w:t>
                  </w:r>
                </w:p>
              </w:tc>
              <w:tc>
                <w:tcPr>
                  <w:tcW w:w="2589" w:type="pct"/>
                  <w:shd w:val="clear" w:color="auto" w:fill="auto"/>
                  <w:vAlign w:val="center"/>
                </w:tcPr>
                <w:p w14:paraId="02475B4F">
                  <w:pPr>
                    <w:adjustRightInd w:val="0"/>
                    <w:snapToGrid w:val="0"/>
                    <w:jc w:val="center"/>
                    <w:rPr>
                      <w:szCs w:val="21"/>
                    </w:rPr>
                  </w:pPr>
                  <w:r>
                    <w:rPr>
                      <w:bCs/>
                      <w:szCs w:val="21"/>
                    </w:rPr>
                    <w:t>减振、消音、吸声隔声装置、距离衰减</w:t>
                  </w:r>
                </w:p>
              </w:tc>
            </w:tr>
          </w:tbl>
          <w:p w14:paraId="27D27417">
            <w:pPr>
              <w:spacing w:line="360" w:lineRule="auto"/>
              <w:contextualSpacing/>
              <w:rPr>
                <w:bCs/>
                <w:sz w:val="24"/>
              </w:rPr>
            </w:pPr>
          </w:p>
        </w:tc>
      </w:tr>
      <w:tr w14:paraId="6017E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55" w:type="dxa"/>
            <w:vAlign w:val="center"/>
          </w:tcPr>
          <w:p w14:paraId="5EBF4139">
            <w:pPr>
              <w:pStyle w:val="21"/>
              <w:adjustRightInd w:val="0"/>
              <w:snapToGrid w:val="0"/>
              <w:spacing w:before="0" w:beforeAutospacing="0" w:after="0" w:afterAutospacing="0"/>
              <w:jc w:val="center"/>
              <w:rPr>
                <w:rFonts w:ascii="Times New Roman" w:hAnsi="Times New Roman"/>
                <w:szCs w:val="24"/>
              </w:rPr>
            </w:pPr>
            <w:r>
              <w:rPr>
                <w:rFonts w:ascii="Times New Roman" w:hAnsi="Times New Roman"/>
                <w:bCs/>
                <w:kern w:val="2"/>
                <w:szCs w:val="24"/>
              </w:rPr>
              <w:t>与项目有关的原有环境污染问题</w:t>
            </w:r>
          </w:p>
        </w:tc>
        <w:tc>
          <w:tcPr>
            <w:tcW w:w="8767" w:type="dxa"/>
            <w:vAlign w:val="center"/>
          </w:tcPr>
          <w:p w14:paraId="11FBA54E">
            <w:pPr>
              <w:spacing w:line="360" w:lineRule="auto"/>
              <w:ind w:firstLine="480" w:firstLineChars="200"/>
              <w:rPr>
                <w:sz w:val="24"/>
              </w:rPr>
            </w:pPr>
            <w:r>
              <w:rPr>
                <w:sz w:val="24"/>
              </w:rPr>
              <w:t>本项目位于山东省济宁市梁山经济开发区三利路南、东王村北180m处，利用闲置场地进行建设生产，因此不存在与本项目有关的原有污染情况及环境问题。</w:t>
            </w:r>
          </w:p>
          <w:p w14:paraId="0296C162">
            <w:pPr>
              <w:spacing w:line="360" w:lineRule="auto"/>
              <w:ind w:firstLine="480" w:firstLineChars="200"/>
              <w:rPr>
                <w:kern w:val="0"/>
                <w:sz w:val="24"/>
              </w:rPr>
            </w:pPr>
          </w:p>
          <w:p w14:paraId="506E81D6">
            <w:pPr>
              <w:spacing w:line="360" w:lineRule="auto"/>
              <w:rPr>
                <w:kern w:val="0"/>
                <w:sz w:val="24"/>
              </w:rPr>
            </w:pPr>
          </w:p>
          <w:p w14:paraId="0C2E438E">
            <w:pPr>
              <w:spacing w:line="360" w:lineRule="auto"/>
              <w:rPr>
                <w:kern w:val="0"/>
                <w:sz w:val="24"/>
              </w:rPr>
            </w:pPr>
            <w:r>
              <w:rPr>
                <w:rFonts w:hint="eastAsia"/>
                <w:kern w:val="0"/>
                <w:sz w:val="24"/>
              </w:rPr>
              <w:t xml:space="preserve"> </w:t>
            </w:r>
          </w:p>
          <w:p w14:paraId="07F13F0A">
            <w:pPr>
              <w:spacing w:line="360" w:lineRule="auto"/>
              <w:rPr>
                <w:kern w:val="0"/>
                <w:sz w:val="24"/>
              </w:rPr>
            </w:pPr>
          </w:p>
          <w:p w14:paraId="1212CF66">
            <w:pPr>
              <w:spacing w:line="360" w:lineRule="auto"/>
              <w:rPr>
                <w:kern w:val="0"/>
                <w:sz w:val="24"/>
              </w:rPr>
            </w:pPr>
          </w:p>
          <w:p w14:paraId="5F9BCC64">
            <w:pPr>
              <w:spacing w:line="360" w:lineRule="auto"/>
              <w:rPr>
                <w:kern w:val="0"/>
                <w:sz w:val="24"/>
              </w:rPr>
            </w:pPr>
          </w:p>
          <w:p w14:paraId="3890ADF2">
            <w:pPr>
              <w:spacing w:line="360" w:lineRule="auto"/>
              <w:rPr>
                <w:kern w:val="0"/>
                <w:sz w:val="24"/>
              </w:rPr>
            </w:pPr>
          </w:p>
          <w:p w14:paraId="2F7C4F2A">
            <w:pPr>
              <w:spacing w:line="360" w:lineRule="auto"/>
              <w:rPr>
                <w:kern w:val="0"/>
                <w:sz w:val="24"/>
              </w:rPr>
            </w:pPr>
          </w:p>
          <w:p w14:paraId="5F2654F8">
            <w:pPr>
              <w:spacing w:line="360" w:lineRule="auto"/>
              <w:rPr>
                <w:kern w:val="0"/>
                <w:sz w:val="24"/>
              </w:rPr>
            </w:pPr>
          </w:p>
          <w:p w14:paraId="4F3FA4B1">
            <w:pPr>
              <w:spacing w:line="360" w:lineRule="auto"/>
              <w:rPr>
                <w:kern w:val="0"/>
                <w:sz w:val="24"/>
              </w:rPr>
            </w:pPr>
          </w:p>
          <w:p w14:paraId="5A38E054">
            <w:pPr>
              <w:spacing w:line="360" w:lineRule="auto"/>
              <w:rPr>
                <w:kern w:val="0"/>
                <w:sz w:val="24"/>
              </w:rPr>
            </w:pPr>
          </w:p>
          <w:p w14:paraId="76510F00">
            <w:pPr>
              <w:spacing w:line="360" w:lineRule="auto"/>
              <w:rPr>
                <w:kern w:val="0"/>
                <w:sz w:val="24"/>
              </w:rPr>
            </w:pPr>
          </w:p>
          <w:p w14:paraId="6499C98D">
            <w:pPr>
              <w:spacing w:line="360" w:lineRule="auto"/>
              <w:rPr>
                <w:kern w:val="0"/>
                <w:sz w:val="24"/>
              </w:rPr>
            </w:pPr>
          </w:p>
          <w:p w14:paraId="49C792AF">
            <w:pPr>
              <w:spacing w:line="360" w:lineRule="auto"/>
              <w:rPr>
                <w:kern w:val="0"/>
                <w:sz w:val="24"/>
              </w:rPr>
            </w:pPr>
          </w:p>
          <w:p w14:paraId="55978FE9">
            <w:pPr>
              <w:spacing w:line="360" w:lineRule="auto"/>
              <w:rPr>
                <w:kern w:val="0"/>
                <w:sz w:val="24"/>
              </w:rPr>
            </w:pPr>
          </w:p>
          <w:p w14:paraId="6CA10168">
            <w:pPr>
              <w:spacing w:line="360" w:lineRule="auto"/>
              <w:rPr>
                <w:kern w:val="0"/>
                <w:sz w:val="24"/>
              </w:rPr>
            </w:pPr>
          </w:p>
        </w:tc>
      </w:tr>
    </w:tbl>
    <w:p w14:paraId="6FFAE0CD">
      <w:pPr>
        <w:pStyle w:val="11"/>
        <w:rPr>
          <w:snapToGrid w:val="0"/>
        </w:rPr>
      </w:pPr>
    </w:p>
    <w:p w14:paraId="44B759F5">
      <w:pPr>
        <w:pStyle w:val="11"/>
        <w:rPr>
          <w:snapToGrid w:val="0"/>
        </w:rPr>
      </w:pPr>
    </w:p>
    <w:p w14:paraId="3E03CDF5">
      <w:pPr>
        <w:pStyle w:val="21"/>
        <w:spacing w:before="0" w:beforeAutospacing="0" w:after="0" w:afterAutospacing="0" w:line="360" w:lineRule="auto"/>
        <w:jc w:val="center"/>
        <w:outlineLvl w:val="0"/>
        <w:rPr>
          <w:rFonts w:ascii="黑体" w:hAnsi="黑体" w:eastAsia="黑体"/>
          <w:snapToGrid w:val="0"/>
          <w:sz w:val="30"/>
          <w:szCs w:val="30"/>
        </w:rPr>
      </w:pPr>
      <w:r>
        <w:rPr>
          <w:rFonts w:ascii="黑体" w:hAnsi="黑体" w:eastAsia="黑体"/>
          <w:snapToGrid w:val="0"/>
          <w:sz w:val="30"/>
          <w:szCs w:val="30"/>
        </w:rPr>
        <w:t>三、区域环境质量现状、环境保护目标及评价标准</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8622"/>
      </w:tblGrid>
      <w:tr w14:paraId="228104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0" w:type="dxa"/>
            <w:vAlign w:val="center"/>
          </w:tcPr>
          <w:p w14:paraId="1AF37E14">
            <w:pPr>
              <w:adjustRightInd w:val="0"/>
              <w:snapToGrid w:val="0"/>
              <w:jc w:val="center"/>
              <w:rPr>
                <w:kern w:val="0"/>
                <w:sz w:val="24"/>
              </w:rPr>
            </w:pPr>
            <w:r>
              <w:rPr>
                <w:kern w:val="0"/>
                <w:sz w:val="24"/>
              </w:rPr>
              <w:t>区域</w:t>
            </w:r>
          </w:p>
          <w:p w14:paraId="45B852F8">
            <w:pPr>
              <w:adjustRightInd w:val="0"/>
              <w:snapToGrid w:val="0"/>
              <w:jc w:val="center"/>
              <w:rPr>
                <w:kern w:val="0"/>
                <w:sz w:val="24"/>
              </w:rPr>
            </w:pPr>
            <w:r>
              <w:rPr>
                <w:kern w:val="0"/>
                <w:sz w:val="24"/>
              </w:rPr>
              <w:t>环境</w:t>
            </w:r>
          </w:p>
          <w:p w14:paraId="0B4204FB">
            <w:pPr>
              <w:adjustRightInd w:val="0"/>
              <w:snapToGrid w:val="0"/>
              <w:jc w:val="center"/>
              <w:rPr>
                <w:kern w:val="0"/>
                <w:sz w:val="24"/>
              </w:rPr>
            </w:pPr>
            <w:r>
              <w:rPr>
                <w:kern w:val="0"/>
                <w:sz w:val="24"/>
              </w:rPr>
              <w:t>质量</w:t>
            </w:r>
          </w:p>
          <w:p w14:paraId="09651CA7">
            <w:pPr>
              <w:adjustRightInd w:val="0"/>
              <w:snapToGrid w:val="0"/>
              <w:jc w:val="center"/>
              <w:rPr>
                <w:kern w:val="0"/>
                <w:szCs w:val="21"/>
              </w:rPr>
            </w:pPr>
            <w:r>
              <w:rPr>
                <w:kern w:val="0"/>
                <w:sz w:val="24"/>
              </w:rPr>
              <w:t>现状</w:t>
            </w:r>
          </w:p>
        </w:tc>
        <w:tc>
          <w:tcPr>
            <w:tcW w:w="8471" w:type="dxa"/>
            <w:vAlign w:val="center"/>
          </w:tcPr>
          <w:p w14:paraId="473E4A55">
            <w:pPr>
              <w:numPr>
                <w:ilvl w:val="0"/>
                <w:numId w:val="4"/>
              </w:numPr>
              <w:spacing w:line="360" w:lineRule="auto"/>
              <w:rPr>
                <w:b/>
                <w:bCs/>
                <w:sz w:val="24"/>
              </w:rPr>
            </w:pPr>
            <w:r>
              <w:rPr>
                <w:b/>
                <w:bCs/>
                <w:sz w:val="24"/>
              </w:rPr>
              <w:t>环境空气质量状况</w:t>
            </w:r>
          </w:p>
          <w:p w14:paraId="593D79A9">
            <w:pPr>
              <w:spacing w:line="360" w:lineRule="auto"/>
              <w:ind w:firstLine="720" w:firstLineChars="300"/>
              <w:rPr>
                <w:sz w:val="24"/>
              </w:rPr>
            </w:pPr>
            <w:r>
              <w:rPr>
                <w:rFonts w:hint="eastAsia"/>
                <w:sz w:val="24"/>
              </w:rPr>
              <w:t>本项目位于山东省济宁市梁山县梁山经济开发区科龙路中段路东2栋，环境空气功能为二类区，环境空气质量标准执行《环境空气质量标准》（GB3095-2012）及修改单中的二级标准。</w:t>
            </w:r>
          </w:p>
          <w:p w14:paraId="730684CA">
            <w:pPr>
              <w:spacing w:line="360" w:lineRule="auto"/>
              <w:ind w:firstLine="720" w:firstLineChars="300"/>
              <w:rPr>
                <w:sz w:val="24"/>
              </w:rPr>
            </w:pPr>
            <w:r>
              <w:rPr>
                <w:rFonts w:hint="eastAsia"/>
                <w:sz w:val="24"/>
              </w:rPr>
              <w:t>根据山东省生态环境厅发布的《2024年全省城市环境空气质量》的数据（网址为：http://fb.sdem.org.cn:8801/AirDeploy.Web/AirQuality/History.aspx），2024年度济宁市空气质量情况见表2</w:t>
            </w:r>
            <w:r>
              <w:rPr>
                <w:sz w:val="24"/>
              </w:rPr>
              <w:t>1。</w:t>
            </w:r>
          </w:p>
          <w:p w14:paraId="0DEA3EE9">
            <w:pPr>
              <w:jc w:val="center"/>
              <w:rPr>
                <w:b/>
                <w:bCs/>
                <w:kern w:val="0"/>
                <w:sz w:val="24"/>
              </w:rPr>
            </w:pPr>
            <w:r>
              <w:rPr>
                <w:b/>
                <w:bCs/>
                <w:kern w:val="0"/>
                <w:sz w:val="24"/>
              </w:rPr>
              <w:t>表21 2</w:t>
            </w:r>
            <w:r>
              <w:rPr>
                <w:rFonts w:hint="eastAsia"/>
                <w:b/>
                <w:bCs/>
                <w:kern w:val="0"/>
                <w:sz w:val="24"/>
              </w:rPr>
              <w:t>024年度济宁市环境空气质量评价指标</w:t>
            </w:r>
          </w:p>
          <w:tbl>
            <w:tblPr>
              <w:tblStyle w:val="25"/>
              <w:tblW w:w="8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3285"/>
              <w:gridCol w:w="1835"/>
              <w:gridCol w:w="1256"/>
              <w:gridCol w:w="919"/>
            </w:tblGrid>
            <w:tr w14:paraId="3335A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724D1CC0">
                  <w:pPr>
                    <w:adjustRightInd w:val="0"/>
                    <w:snapToGrid w:val="0"/>
                    <w:jc w:val="center"/>
                    <w:rPr>
                      <w:b/>
                      <w:kern w:val="0"/>
                      <w:szCs w:val="21"/>
                    </w:rPr>
                  </w:pPr>
                  <w:r>
                    <w:rPr>
                      <w:b/>
                      <w:kern w:val="0"/>
                      <w:szCs w:val="21"/>
                    </w:rPr>
                    <w:t>污染物</w:t>
                  </w:r>
                </w:p>
              </w:tc>
              <w:tc>
                <w:tcPr>
                  <w:tcW w:w="3285" w:type="dxa"/>
                  <w:vAlign w:val="center"/>
                </w:tcPr>
                <w:p w14:paraId="02DD7660">
                  <w:pPr>
                    <w:adjustRightInd w:val="0"/>
                    <w:snapToGrid w:val="0"/>
                    <w:jc w:val="center"/>
                    <w:rPr>
                      <w:b/>
                      <w:kern w:val="0"/>
                      <w:szCs w:val="21"/>
                    </w:rPr>
                  </w:pPr>
                  <w:r>
                    <w:rPr>
                      <w:b/>
                      <w:kern w:val="0"/>
                      <w:szCs w:val="21"/>
                    </w:rPr>
                    <w:t>年评价指标</w:t>
                  </w:r>
                </w:p>
              </w:tc>
              <w:tc>
                <w:tcPr>
                  <w:tcW w:w="1835" w:type="dxa"/>
                  <w:vAlign w:val="center"/>
                </w:tcPr>
                <w:p w14:paraId="4725237F">
                  <w:pPr>
                    <w:adjustRightInd w:val="0"/>
                    <w:snapToGrid w:val="0"/>
                    <w:jc w:val="center"/>
                    <w:rPr>
                      <w:b/>
                      <w:kern w:val="0"/>
                      <w:szCs w:val="21"/>
                    </w:rPr>
                  </w:pPr>
                  <w:r>
                    <w:rPr>
                      <w:b/>
                      <w:kern w:val="0"/>
                      <w:szCs w:val="21"/>
                    </w:rPr>
                    <w:t>现状浓度(μg/m</w:t>
                  </w:r>
                  <w:r>
                    <w:rPr>
                      <w:b/>
                      <w:kern w:val="0"/>
                      <w:szCs w:val="21"/>
                      <w:vertAlign w:val="superscript"/>
                    </w:rPr>
                    <w:t>3</w:t>
                  </w:r>
                  <w:r>
                    <w:rPr>
                      <w:b/>
                      <w:kern w:val="0"/>
                      <w:szCs w:val="21"/>
                    </w:rPr>
                    <w:t>)</w:t>
                  </w:r>
                </w:p>
              </w:tc>
              <w:tc>
                <w:tcPr>
                  <w:tcW w:w="1256" w:type="dxa"/>
                  <w:vAlign w:val="center"/>
                </w:tcPr>
                <w:p w14:paraId="3163BD30">
                  <w:pPr>
                    <w:snapToGrid w:val="0"/>
                    <w:jc w:val="center"/>
                    <w:rPr>
                      <w:b/>
                      <w:kern w:val="0"/>
                      <w:szCs w:val="21"/>
                    </w:rPr>
                  </w:pPr>
                  <w:r>
                    <w:rPr>
                      <w:b/>
                      <w:kern w:val="0"/>
                      <w:szCs w:val="21"/>
                    </w:rPr>
                    <w:t>标准值(μg/m</w:t>
                  </w:r>
                  <w:r>
                    <w:rPr>
                      <w:b/>
                      <w:kern w:val="0"/>
                      <w:szCs w:val="21"/>
                      <w:vertAlign w:val="superscript"/>
                    </w:rPr>
                    <w:t>3</w:t>
                  </w:r>
                  <w:r>
                    <w:rPr>
                      <w:b/>
                      <w:kern w:val="0"/>
                      <w:szCs w:val="21"/>
                    </w:rPr>
                    <w:t>)</w:t>
                  </w:r>
                </w:p>
              </w:tc>
              <w:tc>
                <w:tcPr>
                  <w:tcW w:w="919" w:type="dxa"/>
                  <w:vAlign w:val="center"/>
                </w:tcPr>
                <w:p w14:paraId="07F025C6">
                  <w:pPr>
                    <w:adjustRightInd w:val="0"/>
                    <w:snapToGrid w:val="0"/>
                    <w:jc w:val="center"/>
                    <w:rPr>
                      <w:b/>
                      <w:kern w:val="0"/>
                      <w:szCs w:val="21"/>
                    </w:rPr>
                  </w:pPr>
                  <w:r>
                    <w:rPr>
                      <w:b/>
                      <w:kern w:val="0"/>
                      <w:szCs w:val="21"/>
                    </w:rPr>
                    <w:t>达标</w:t>
                  </w:r>
                </w:p>
                <w:p w14:paraId="0D959717">
                  <w:pPr>
                    <w:adjustRightInd w:val="0"/>
                    <w:snapToGrid w:val="0"/>
                    <w:jc w:val="center"/>
                    <w:rPr>
                      <w:b/>
                      <w:kern w:val="0"/>
                      <w:szCs w:val="21"/>
                    </w:rPr>
                  </w:pPr>
                  <w:r>
                    <w:rPr>
                      <w:b/>
                      <w:kern w:val="0"/>
                      <w:szCs w:val="21"/>
                    </w:rPr>
                    <w:t>情况</w:t>
                  </w:r>
                </w:p>
              </w:tc>
            </w:tr>
            <w:tr w14:paraId="58E0A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5BADD734">
                  <w:pPr>
                    <w:adjustRightInd w:val="0"/>
                    <w:jc w:val="center"/>
                    <w:rPr>
                      <w:szCs w:val="21"/>
                    </w:rPr>
                  </w:pPr>
                  <w:r>
                    <w:rPr>
                      <w:rFonts w:hint="eastAsia"/>
                      <w:szCs w:val="21"/>
                    </w:rPr>
                    <w:t>S</w:t>
                  </w:r>
                  <w:r>
                    <w:rPr>
                      <w:szCs w:val="21"/>
                    </w:rPr>
                    <w:t>O</w:t>
                  </w:r>
                  <w:r>
                    <w:rPr>
                      <w:szCs w:val="21"/>
                      <w:vertAlign w:val="subscript"/>
                    </w:rPr>
                    <w:t>2</w:t>
                  </w:r>
                </w:p>
              </w:tc>
              <w:tc>
                <w:tcPr>
                  <w:tcW w:w="3285" w:type="dxa"/>
                  <w:vAlign w:val="center"/>
                </w:tcPr>
                <w:p w14:paraId="0F70BF99">
                  <w:pPr>
                    <w:adjustRightInd w:val="0"/>
                    <w:jc w:val="center"/>
                    <w:rPr>
                      <w:szCs w:val="21"/>
                    </w:rPr>
                  </w:pPr>
                  <w:r>
                    <w:rPr>
                      <w:rFonts w:hint="eastAsia"/>
                      <w:szCs w:val="21"/>
                    </w:rPr>
                    <w:t>年平均浓度</w:t>
                  </w:r>
                </w:p>
              </w:tc>
              <w:tc>
                <w:tcPr>
                  <w:tcW w:w="1835" w:type="dxa"/>
                  <w:vAlign w:val="center"/>
                </w:tcPr>
                <w:p w14:paraId="0EC4A0FC">
                  <w:pPr>
                    <w:adjustRightInd w:val="0"/>
                    <w:jc w:val="center"/>
                    <w:rPr>
                      <w:szCs w:val="21"/>
                    </w:rPr>
                  </w:pPr>
                  <w:r>
                    <w:rPr>
                      <w:szCs w:val="21"/>
                    </w:rPr>
                    <w:t>9</w:t>
                  </w:r>
                </w:p>
              </w:tc>
              <w:tc>
                <w:tcPr>
                  <w:tcW w:w="1256" w:type="dxa"/>
                  <w:vAlign w:val="center"/>
                </w:tcPr>
                <w:p w14:paraId="334E0A8E">
                  <w:pPr>
                    <w:adjustRightInd w:val="0"/>
                    <w:jc w:val="center"/>
                    <w:rPr>
                      <w:szCs w:val="21"/>
                    </w:rPr>
                  </w:pPr>
                  <w:r>
                    <w:rPr>
                      <w:rFonts w:hint="eastAsia"/>
                      <w:szCs w:val="21"/>
                    </w:rPr>
                    <w:t>6</w:t>
                  </w:r>
                  <w:r>
                    <w:rPr>
                      <w:szCs w:val="21"/>
                    </w:rPr>
                    <w:t>0</w:t>
                  </w:r>
                </w:p>
              </w:tc>
              <w:tc>
                <w:tcPr>
                  <w:tcW w:w="919" w:type="dxa"/>
                  <w:vAlign w:val="center"/>
                </w:tcPr>
                <w:p w14:paraId="087622F6">
                  <w:pPr>
                    <w:adjustRightInd w:val="0"/>
                    <w:jc w:val="center"/>
                    <w:rPr>
                      <w:szCs w:val="21"/>
                    </w:rPr>
                  </w:pPr>
                  <w:r>
                    <w:rPr>
                      <w:szCs w:val="21"/>
                    </w:rPr>
                    <w:t>达标</w:t>
                  </w:r>
                </w:p>
              </w:tc>
            </w:tr>
            <w:tr w14:paraId="12D3D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61624B45">
                  <w:pPr>
                    <w:adjustRightInd w:val="0"/>
                    <w:jc w:val="center"/>
                    <w:rPr>
                      <w:szCs w:val="21"/>
                    </w:rPr>
                  </w:pPr>
                  <w:r>
                    <w:rPr>
                      <w:szCs w:val="21"/>
                    </w:rPr>
                    <w:t>NO</w:t>
                  </w:r>
                  <w:r>
                    <w:rPr>
                      <w:szCs w:val="21"/>
                      <w:vertAlign w:val="subscript"/>
                    </w:rPr>
                    <w:t>2</w:t>
                  </w:r>
                </w:p>
              </w:tc>
              <w:tc>
                <w:tcPr>
                  <w:tcW w:w="3285" w:type="dxa"/>
                  <w:vAlign w:val="center"/>
                </w:tcPr>
                <w:p w14:paraId="24FB5A25">
                  <w:pPr>
                    <w:adjustRightInd w:val="0"/>
                    <w:jc w:val="center"/>
                    <w:rPr>
                      <w:szCs w:val="21"/>
                    </w:rPr>
                  </w:pPr>
                  <w:r>
                    <w:rPr>
                      <w:rFonts w:hint="eastAsia"/>
                      <w:szCs w:val="21"/>
                    </w:rPr>
                    <w:t>年平均浓度</w:t>
                  </w:r>
                </w:p>
              </w:tc>
              <w:tc>
                <w:tcPr>
                  <w:tcW w:w="1835" w:type="dxa"/>
                  <w:vAlign w:val="center"/>
                </w:tcPr>
                <w:p w14:paraId="30E3DCD2">
                  <w:pPr>
                    <w:adjustRightInd w:val="0"/>
                    <w:jc w:val="center"/>
                    <w:rPr>
                      <w:szCs w:val="21"/>
                    </w:rPr>
                  </w:pPr>
                  <w:r>
                    <w:rPr>
                      <w:szCs w:val="21"/>
                    </w:rPr>
                    <w:t>24</w:t>
                  </w:r>
                </w:p>
              </w:tc>
              <w:tc>
                <w:tcPr>
                  <w:tcW w:w="1256" w:type="dxa"/>
                  <w:vAlign w:val="center"/>
                </w:tcPr>
                <w:p w14:paraId="0048D213">
                  <w:pPr>
                    <w:adjustRightInd w:val="0"/>
                    <w:jc w:val="center"/>
                    <w:rPr>
                      <w:szCs w:val="21"/>
                    </w:rPr>
                  </w:pPr>
                  <w:r>
                    <w:rPr>
                      <w:rFonts w:hint="eastAsia"/>
                      <w:szCs w:val="21"/>
                    </w:rPr>
                    <w:t>4</w:t>
                  </w:r>
                  <w:r>
                    <w:rPr>
                      <w:szCs w:val="21"/>
                    </w:rPr>
                    <w:t>0</w:t>
                  </w:r>
                </w:p>
              </w:tc>
              <w:tc>
                <w:tcPr>
                  <w:tcW w:w="919" w:type="dxa"/>
                  <w:vAlign w:val="center"/>
                </w:tcPr>
                <w:p w14:paraId="56ECF4F4">
                  <w:pPr>
                    <w:adjustRightInd w:val="0"/>
                    <w:jc w:val="center"/>
                    <w:rPr>
                      <w:szCs w:val="21"/>
                    </w:rPr>
                  </w:pPr>
                  <w:r>
                    <w:rPr>
                      <w:szCs w:val="21"/>
                    </w:rPr>
                    <w:t>达标</w:t>
                  </w:r>
                </w:p>
              </w:tc>
            </w:tr>
            <w:tr w14:paraId="14C5E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57D2B3B5">
                  <w:pPr>
                    <w:adjustRightInd w:val="0"/>
                    <w:jc w:val="center"/>
                    <w:rPr>
                      <w:szCs w:val="21"/>
                    </w:rPr>
                  </w:pPr>
                  <w:r>
                    <w:rPr>
                      <w:szCs w:val="21"/>
                    </w:rPr>
                    <w:t>PM</w:t>
                  </w:r>
                  <w:r>
                    <w:rPr>
                      <w:szCs w:val="21"/>
                      <w:vertAlign w:val="subscript"/>
                    </w:rPr>
                    <w:t>2.5</w:t>
                  </w:r>
                </w:p>
              </w:tc>
              <w:tc>
                <w:tcPr>
                  <w:tcW w:w="3285" w:type="dxa"/>
                  <w:vAlign w:val="center"/>
                </w:tcPr>
                <w:p w14:paraId="5A2A8976">
                  <w:pPr>
                    <w:adjustRightInd w:val="0"/>
                    <w:jc w:val="center"/>
                    <w:rPr>
                      <w:szCs w:val="21"/>
                    </w:rPr>
                  </w:pPr>
                  <w:r>
                    <w:rPr>
                      <w:rFonts w:hint="eastAsia"/>
                      <w:szCs w:val="21"/>
                    </w:rPr>
                    <w:t>年平均浓度</w:t>
                  </w:r>
                </w:p>
              </w:tc>
              <w:tc>
                <w:tcPr>
                  <w:tcW w:w="1835" w:type="dxa"/>
                  <w:vAlign w:val="center"/>
                </w:tcPr>
                <w:p w14:paraId="59179B2B">
                  <w:pPr>
                    <w:adjustRightInd w:val="0"/>
                    <w:jc w:val="center"/>
                    <w:rPr>
                      <w:szCs w:val="21"/>
                    </w:rPr>
                  </w:pPr>
                  <w:r>
                    <w:rPr>
                      <w:szCs w:val="21"/>
                    </w:rPr>
                    <w:t>39</w:t>
                  </w:r>
                </w:p>
              </w:tc>
              <w:tc>
                <w:tcPr>
                  <w:tcW w:w="1256" w:type="dxa"/>
                  <w:vAlign w:val="center"/>
                </w:tcPr>
                <w:p w14:paraId="0D191FB7">
                  <w:pPr>
                    <w:adjustRightInd w:val="0"/>
                    <w:jc w:val="center"/>
                    <w:rPr>
                      <w:szCs w:val="21"/>
                    </w:rPr>
                  </w:pPr>
                  <w:r>
                    <w:rPr>
                      <w:szCs w:val="21"/>
                    </w:rPr>
                    <w:t>35</w:t>
                  </w:r>
                </w:p>
              </w:tc>
              <w:tc>
                <w:tcPr>
                  <w:tcW w:w="919" w:type="dxa"/>
                  <w:vAlign w:val="center"/>
                </w:tcPr>
                <w:p w14:paraId="6D1298AA">
                  <w:pPr>
                    <w:adjustRightInd w:val="0"/>
                    <w:jc w:val="center"/>
                    <w:rPr>
                      <w:szCs w:val="21"/>
                    </w:rPr>
                  </w:pPr>
                  <w:r>
                    <w:rPr>
                      <w:rFonts w:hint="eastAsia"/>
                      <w:szCs w:val="21"/>
                    </w:rPr>
                    <w:t>不达标</w:t>
                  </w:r>
                </w:p>
              </w:tc>
            </w:tr>
            <w:tr w14:paraId="3A304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267B77BF">
                  <w:pPr>
                    <w:adjustRightInd w:val="0"/>
                    <w:jc w:val="center"/>
                    <w:rPr>
                      <w:szCs w:val="21"/>
                    </w:rPr>
                  </w:pPr>
                  <w:r>
                    <w:rPr>
                      <w:rFonts w:hint="eastAsia"/>
                      <w:szCs w:val="21"/>
                    </w:rPr>
                    <w:t>P</w:t>
                  </w:r>
                  <w:r>
                    <w:rPr>
                      <w:szCs w:val="21"/>
                    </w:rPr>
                    <w:t>M</w:t>
                  </w:r>
                  <w:r>
                    <w:rPr>
                      <w:szCs w:val="21"/>
                      <w:vertAlign w:val="subscript"/>
                    </w:rPr>
                    <w:t>10</w:t>
                  </w:r>
                </w:p>
              </w:tc>
              <w:tc>
                <w:tcPr>
                  <w:tcW w:w="3285" w:type="dxa"/>
                  <w:vAlign w:val="center"/>
                </w:tcPr>
                <w:p w14:paraId="278E33A7">
                  <w:pPr>
                    <w:adjustRightInd w:val="0"/>
                    <w:jc w:val="center"/>
                    <w:rPr>
                      <w:szCs w:val="21"/>
                    </w:rPr>
                  </w:pPr>
                  <w:r>
                    <w:rPr>
                      <w:rFonts w:hint="eastAsia"/>
                      <w:szCs w:val="21"/>
                    </w:rPr>
                    <w:t>年平均浓度</w:t>
                  </w:r>
                </w:p>
              </w:tc>
              <w:tc>
                <w:tcPr>
                  <w:tcW w:w="1835" w:type="dxa"/>
                  <w:vAlign w:val="center"/>
                </w:tcPr>
                <w:p w14:paraId="478A6D9D">
                  <w:pPr>
                    <w:adjustRightInd w:val="0"/>
                    <w:jc w:val="center"/>
                    <w:rPr>
                      <w:szCs w:val="21"/>
                    </w:rPr>
                  </w:pPr>
                  <w:r>
                    <w:rPr>
                      <w:szCs w:val="21"/>
                    </w:rPr>
                    <w:t>71</w:t>
                  </w:r>
                </w:p>
              </w:tc>
              <w:tc>
                <w:tcPr>
                  <w:tcW w:w="1256" w:type="dxa"/>
                  <w:vAlign w:val="center"/>
                </w:tcPr>
                <w:p w14:paraId="50BEAED8">
                  <w:pPr>
                    <w:adjustRightInd w:val="0"/>
                    <w:jc w:val="center"/>
                    <w:rPr>
                      <w:szCs w:val="21"/>
                    </w:rPr>
                  </w:pPr>
                  <w:r>
                    <w:rPr>
                      <w:szCs w:val="21"/>
                    </w:rPr>
                    <w:t>70</w:t>
                  </w:r>
                </w:p>
              </w:tc>
              <w:tc>
                <w:tcPr>
                  <w:tcW w:w="919" w:type="dxa"/>
                  <w:vAlign w:val="center"/>
                </w:tcPr>
                <w:p w14:paraId="05B8BC6F">
                  <w:pPr>
                    <w:adjustRightInd w:val="0"/>
                    <w:jc w:val="center"/>
                    <w:rPr>
                      <w:szCs w:val="21"/>
                    </w:rPr>
                  </w:pPr>
                  <w:r>
                    <w:rPr>
                      <w:rFonts w:hint="eastAsia"/>
                      <w:szCs w:val="21"/>
                    </w:rPr>
                    <w:t>不达标</w:t>
                  </w:r>
                </w:p>
              </w:tc>
            </w:tr>
            <w:tr w14:paraId="52371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18290D53">
                  <w:pPr>
                    <w:adjustRightInd w:val="0"/>
                    <w:jc w:val="center"/>
                    <w:rPr>
                      <w:szCs w:val="21"/>
                    </w:rPr>
                  </w:pPr>
                  <w:r>
                    <w:rPr>
                      <w:szCs w:val="21"/>
                    </w:rPr>
                    <w:t>CO</w:t>
                  </w:r>
                </w:p>
              </w:tc>
              <w:tc>
                <w:tcPr>
                  <w:tcW w:w="3285" w:type="dxa"/>
                  <w:vAlign w:val="center"/>
                </w:tcPr>
                <w:p w14:paraId="6D8425B8">
                  <w:pPr>
                    <w:adjustRightInd w:val="0"/>
                    <w:jc w:val="center"/>
                    <w:rPr>
                      <w:szCs w:val="21"/>
                    </w:rPr>
                  </w:pPr>
                  <w:r>
                    <w:rPr>
                      <w:szCs w:val="21"/>
                    </w:rPr>
                    <w:t>24小时平均第95百分位数</w:t>
                  </w:r>
                </w:p>
              </w:tc>
              <w:tc>
                <w:tcPr>
                  <w:tcW w:w="1835" w:type="dxa"/>
                  <w:vAlign w:val="center"/>
                </w:tcPr>
                <w:p w14:paraId="33D83235">
                  <w:pPr>
                    <w:adjustRightInd w:val="0"/>
                    <w:jc w:val="center"/>
                    <w:rPr>
                      <w:szCs w:val="21"/>
                    </w:rPr>
                  </w:pPr>
                  <w:r>
                    <w:rPr>
                      <w:szCs w:val="21"/>
                    </w:rPr>
                    <w:t>1200</w:t>
                  </w:r>
                </w:p>
              </w:tc>
              <w:tc>
                <w:tcPr>
                  <w:tcW w:w="1256" w:type="dxa"/>
                  <w:vAlign w:val="center"/>
                </w:tcPr>
                <w:p w14:paraId="42F16BCF">
                  <w:pPr>
                    <w:adjustRightInd w:val="0"/>
                    <w:jc w:val="center"/>
                    <w:rPr>
                      <w:szCs w:val="21"/>
                    </w:rPr>
                  </w:pPr>
                  <w:r>
                    <w:rPr>
                      <w:szCs w:val="21"/>
                    </w:rPr>
                    <w:t>4000</w:t>
                  </w:r>
                </w:p>
              </w:tc>
              <w:tc>
                <w:tcPr>
                  <w:tcW w:w="919" w:type="dxa"/>
                  <w:vAlign w:val="center"/>
                </w:tcPr>
                <w:p w14:paraId="5B1C77E6">
                  <w:pPr>
                    <w:adjustRightInd w:val="0"/>
                    <w:jc w:val="center"/>
                    <w:rPr>
                      <w:szCs w:val="21"/>
                    </w:rPr>
                  </w:pPr>
                  <w:r>
                    <w:rPr>
                      <w:szCs w:val="21"/>
                    </w:rPr>
                    <w:t>达标</w:t>
                  </w:r>
                </w:p>
              </w:tc>
            </w:tr>
            <w:tr w14:paraId="4DA23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061" w:type="dxa"/>
                  <w:vAlign w:val="center"/>
                </w:tcPr>
                <w:p w14:paraId="3748CA2C">
                  <w:pPr>
                    <w:adjustRightInd w:val="0"/>
                    <w:jc w:val="center"/>
                    <w:rPr>
                      <w:szCs w:val="21"/>
                    </w:rPr>
                  </w:pPr>
                  <w:r>
                    <w:rPr>
                      <w:szCs w:val="21"/>
                    </w:rPr>
                    <w:t>O</w:t>
                  </w:r>
                  <w:r>
                    <w:rPr>
                      <w:szCs w:val="21"/>
                      <w:vertAlign w:val="subscript"/>
                    </w:rPr>
                    <w:t>3</w:t>
                  </w:r>
                </w:p>
              </w:tc>
              <w:tc>
                <w:tcPr>
                  <w:tcW w:w="3285" w:type="dxa"/>
                  <w:vAlign w:val="center"/>
                </w:tcPr>
                <w:p w14:paraId="4CFE39D0">
                  <w:pPr>
                    <w:jc w:val="center"/>
                    <w:rPr>
                      <w:szCs w:val="21"/>
                    </w:rPr>
                  </w:pPr>
                  <w:r>
                    <w:rPr>
                      <w:szCs w:val="21"/>
                    </w:rPr>
                    <w:t>日最大8小时滑动平均值的第90百分位数</w:t>
                  </w:r>
                </w:p>
              </w:tc>
              <w:tc>
                <w:tcPr>
                  <w:tcW w:w="1835" w:type="dxa"/>
                  <w:vAlign w:val="center"/>
                </w:tcPr>
                <w:p w14:paraId="7F579D86">
                  <w:pPr>
                    <w:adjustRightInd w:val="0"/>
                    <w:jc w:val="center"/>
                    <w:rPr>
                      <w:szCs w:val="21"/>
                    </w:rPr>
                  </w:pPr>
                  <w:r>
                    <w:rPr>
                      <w:szCs w:val="21"/>
                    </w:rPr>
                    <w:t>174</w:t>
                  </w:r>
                </w:p>
              </w:tc>
              <w:tc>
                <w:tcPr>
                  <w:tcW w:w="1256" w:type="dxa"/>
                  <w:vAlign w:val="center"/>
                </w:tcPr>
                <w:p w14:paraId="468D66AC">
                  <w:pPr>
                    <w:adjustRightInd w:val="0"/>
                    <w:jc w:val="center"/>
                    <w:rPr>
                      <w:szCs w:val="21"/>
                    </w:rPr>
                  </w:pPr>
                  <w:r>
                    <w:rPr>
                      <w:szCs w:val="21"/>
                    </w:rPr>
                    <w:t>160</w:t>
                  </w:r>
                </w:p>
              </w:tc>
              <w:tc>
                <w:tcPr>
                  <w:tcW w:w="919" w:type="dxa"/>
                  <w:vAlign w:val="center"/>
                </w:tcPr>
                <w:p w14:paraId="1AAEE516">
                  <w:pPr>
                    <w:adjustRightInd w:val="0"/>
                    <w:jc w:val="center"/>
                    <w:rPr>
                      <w:szCs w:val="21"/>
                    </w:rPr>
                  </w:pPr>
                  <w:r>
                    <w:rPr>
                      <w:rFonts w:hint="eastAsia"/>
                      <w:szCs w:val="21"/>
                    </w:rPr>
                    <w:t>不达标</w:t>
                  </w:r>
                </w:p>
              </w:tc>
            </w:tr>
          </w:tbl>
          <w:p w14:paraId="264E6548">
            <w:pPr>
              <w:spacing w:line="360" w:lineRule="auto"/>
              <w:ind w:firstLine="480" w:firstLineChars="200"/>
              <w:rPr>
                <w:sz w:val="24"/>
              </w:rPr>
            </w:pPr>
            <w:r>
              <w:rPr>
                <w:rFonts w:hint="eastAsia"/>
                <w:sz w:val="24"/>
              </w:rPr>
              <w:t>《环境空气质量评价技术规范（试行）》（HJ663-2013）规定：“污染物年评价达标是指该污染物年平均浓度（CO和O</w:t>
            </w:r>
            <w:r>
              <w:rPr>
                <w:rFonts w:hint="eastAsia"/>
                <w:sz w:val="24"/>
                <w:vertAlign w:val="subscript"/>
              </w:rPr>
              <w:t>3</w:t>
            </w:r>
            <w:r>
              <w:rPr>
                <w:rFonts w:hint="eastAsia"/>
                <w:sz w:val="24"/>
              </w:rPr>
              <w:t>除外）和特定的百分位数浓度同时达标”。济宁市202</w:t>
            </w:r>
            <w:r>
              <w:rPr>
                <w:sz w:val="24"/>
              </w:rPr>
              <w:t>4</w:t>
            </w:r>
            <w:r>
              <w:rPr>
                <w:rFonts w:hint="eastAsia"/>
                <w:sz w:val="24"/>
              </w:rPr>
              <w:t>年度PM</w:t>
            </w:r>
            <w:r>
              <w:rPr>
                <w:rFonts w:hint="eastAsia"/>
                <w:sz w:val="24"/>
                <w:vertAlign w:val="subscript"/>
              </w:rPr>
              <w:t>2.5</w:t>
            </w:r>
            <w:r>
              <w:rPr>
                <w:rFonts w:hint="eastAsia"/>
                <w:sz w:val="24"/>
              </w:rPr>
              <w:t>、PM</w:t>
            </w:r>
            <w:r>
              <w:rPr>
                <w:rFonts w:hint="eastAsia"/>
                <w:sz w:val="24"/>
                <w:vertAlign w:val="subscript"/>
              </w:rPr>
              <w:t>10</w:t>
            </w:r>
            <w:r>
              <w:rPr>
                <w:rFonts w:hint="eastAsia"/>
                <w:sz w:val="24"/>
              </w:rPr>
              <w:t>、O</w:t>
            </w:r>
            <w:r>
              <w:rPr>
                <w:rFonts w:hint="eastAsia"/>
                <w:sz w:val="24"/>
                <w:vertAlign w:val="subscript"/>
              </w:rPr>
              <w:t>3</w:t>
            </w:r>
            <w:r>
              <w:rPr>
                <w:rFonts w:hint="eastAsia"/>
                <w:sz w:val="24"/>
              </w:rPr>
              <w:t>的年均浓度不能满足《环境空气质量标准》（GB3095-2012）二级标准要求，年评价不达标，项目所在区域为不达标区。</w:t>
            </w:r>
          </w:p>
          <w:p w14:paraId="78428F48">
            <w:pPr>
              <w:snapToGrid w:val="0"/>
              <w:spacing w:line="360" w:lineRule="auto"/>
              <w:ind w:firstLine="480" w:firstLineChars="200"/>
              <w:rPr>
                <w:kern w:val="0"/>
                <w:sz w:val="24"/>
              </w:rPr>
            </w:pPr>
            <w:r>
              <w:rPr>
                <w:kern w:val="0"/>
                <w:sz w:val="24"/>
              </w:rPr>
              <w:t>根据</w:t>
            </w:r>
            <w:r>
              <w:rPr>
                <w:rFonts w:hint="eastAsia"/>
                <w:kern w:val="0"/>
                <w:sz w:val="24"/>
              </w:rPr>
              <w:t>济宁市生态环境局梁山县分局</w:t>
            </w:r>
            <w:r>
              <w:rPr>
                <w:kern w:val="0"/>
                <w:sz w:val="24"/>
              </w:rPr>
              <w:t>发布的2024年</w:t>
            </w:r>
            <w:r>
              <w:rPr>
                <w:rFonts w:hint="eastAsia"/>
                <w:kern w:val="0"/>
                <w:sz w:val="24"/>
              </w:rPr>
              <w:t>梁山县环境空气质量（</w:t>
            </w:r>
            <w:r>
              <w:rPr>
                <w:sz w:val="24"/>
              </w:rPr>
              <w:t>http://www.liangshan.gov.cn/art/2025/1/17/art_32179_2758464.html</w:t>
            </w:r>
            <w:r>
              <w:rPr>
                <w:rFonts w:hint="eastAsia"/>
                <w:kern w:val="0"/>
                <w:sz w:val="24"/>
              </w:rPr>
              <w:t>），梁山县</w:t>
            </w:r>
            <w:r>
              <w:rPr>
                <w:kern w:val="0"/>
                <w:sz w:val="24"/>
              </w:rPr>
              <w:t>2024年大气环境质量污染物浓度见表22。</w:t>
            </w:r>
          </w:p>
          <w:p w14:paraId="0745C4DD">
            <w:pPr>
              <w:adjustRightInd w:val="0"/>
              <w:snapToGrid w:val="0"/>
              <w:ind w:firstLine="422"/>
              <w:jc w:val="center"/>
              <w:rPr>
                <w:rFonts w:eastAsia="新宋体"/>
                <w:b/>
                <w:kern w:val="0"/>
                <w:sz w:val="24"/>
              </w:rPr>
            </w:pPr>
            <w:r>
              <w:rPr>
                <w:rFonts w:eastAsia="新宋体"/>
                <w:b/>
                <w:sz w:val="24"/>
              </w:rPr>
              <w:t>表22</w:t>
            </w:r>
            <w:r>
              <w:rPr>
                <w:rFonts w:hint="eastAsia" w:eastAsia="新宋体"/>
                <w:b/>
                <w:sz w:val="24"/>
              </w:rPr>
              <w:t>梁山县202</w:t>
            </w:r>
            <w:r>
              <w:rPr>
                <w:rFonts w:eastAsia="新宋体"/>
                <w:b/>
                <w:sz w:val="24"/>
              </w:rPr>
              <w:t>4</w:t>
            </w:r>
            <w:r>
              <w:rPr>
                <w:rFonts w:hint="eastAsia" w:eastAsia="新宋体"/>
                <w:b/>
                <w:sz w:val="24"/>
              </w:rPr>
              <w:t>年全年空气质量现状一览表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7"/>
              <w:gridCol w:w="1295"/>
              <w:gridCol w:w="1409"/>
              <w:gridCol w:w="1355"/>
              <w:gridCol w:w="1426"/>
              <w:gridCol w:w="722"/>
              <w:gridCol w:w="992"/>
            </w:tblGrid>
            <w:tr w14:paraId="77D19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713" w:type="pct"/>
                  <w:vAlign w:val="center"/>
                </w:tcPr>
                <w:p w14:paraId="7F1F8831">
                  <w:pPr>
                    <w:widowControl/>
                    <w:snapToGrid w:val="0"/>
                    <w:jc w:val="center"/>
                    <w:rPr>
                      <w:kern w:val="0"/>
                      <w:szCs w:val="21"/>
                    </w:rPr>
                  </w:pPr>
                  <w:r>
                    <w:rPr>
                      <w:rFonts w:hint="eastAsia"/>
                      <w:kern w:val="0"/>
                      <w:szCs w:val="21"/>
                    </w:rPr>
                    <w:t>项目</w:t>
                  </w:r>
                </w:p>
              </w:tc>
              <w:tc>
                <w:tcPr>
                  <w:tcW w:w="771" w:type="pct"/>
                  <w:vAlign w:val="center"/>
                </w:tcPr>
                <w:p w14:paraId="2E4EBBDF">
                  <w:pPr>
                    <w:widowControl/>
                    <w:snapToGrid w:val="0"/>
                    <w:jc w:val="center"/>
                    <w:rPr>
                      <w:snapToGrid w:val="0"/>
                      <w:kern w:val="0"/>
                      <w:szCs w:val="21"/>
                    </w:rPr>
                  </w:pPr>
                  <w:r>
                    <w:rPr>
                      <w:snapToGrid w:val="0"/>
                      <w:szCs w:val="21"/>
                    </w:rPr>
                    <w:t>SO</w:t>
                  </w:r>
                  <w:r>
                    <w:rPr>
                      <w:snapToGrid w:val="0"/>
                      <w:szCs w:val="21"/>
                      <w:vertAlign w:val="subscript"/>
                    </w:rPr>
                    <w:t>2</w:t>
                  </w:r>
                  <w:r>
                    <w:rPr>
                      <w:rFonts w:hint="eastAsia"/>
                      <w:szCs w:val="21"/>
                    </w:rPr>
                    <w:t>(</w:t>
                  </w:r>
                  <w:r>
                    <w:rPr>
                      <w:szCs w:val="21"/>
                    </w:rPr>
                    <w:t>μg/m</w:t>
                  </w:r>
                  <w:r>
                    <w:rPr>
                      <w:szCs w:val="21"/>
                      <w:vertAlign w:val="superscript"/>
                    </w:rPr>
                    <w:t>3</w:t>
                  </w:r>
                  <w:r>
                    <w:rPr>
                      <w:rFonts w:hint="eastAsia"/>
                      <w:szCs w:val="21"/>
                    </w:rPr>
                    <w:t>)</w:t>
                  </w:r>
                </w:p>
              </w:tc>
              <w:tc>
                <w:tcPr>
                  <w:tcW w:w="839" w:type="pct"/>
                  <w:vAlign w:val="center"/>
                </w:tcPr>
                <w:p w14:paraId="7E6CC064">
                  <w:pPr>
                    <w:widowControl/>
                    <w:snapToGrid w:val="0"/>
                    <w:jc w:val="center"/>
                    <w:rPr>
                      <w:snapToGrid w:val="0"/>
                      <w:szCs w:val="21"/>
                    </w:rPr>
                  </w:pPr>
                  <w:r>
                    <w:rPr>
                      <w:snapToGrid w:val="0"/>
                      <w:szCs w:val="21"/>
                    </w:rPr>
                    <w:t>NO</w:t>
                  </w:r>
                  <w:r>
                    <w:rPr>
                      <w:snapToGrid w:val="0"/>
                      <w:szCs w:val="21"/>
                      <w:vertAlign w:val="subscript"/>
                    </w:rPr>
                    <w:t>2</w:t>
                  </w:r>
                  <w:r>
                    <w:rPr>
                      <w:rFonts w:hint="eastAsia"/>
                      <w:szCs w:val="21"/>
                    </w:rPr>
                    <w:t>(</w:t>
                  </w:r>
                  <w:r>
                    <w:rPr>
                      <w:szCs w:val="21"/>
                    </w:rPr>
                    <w:t>μg/m</w:t>
                  </w:r>
                  <w:r>
                    <w:rPr>
                      <w:szCs w:val="21"/>
                      <w:vertAlign w:val="superscript"/>
                    </w:rPr>
                    <w:t>3</w:t>
                  </w:r>
                  <w:r>
                    <w:rPr>
                      <w:rFonts w:hint="eastAsia"/>
                      <w:szCs w:val="21"/>
                    </w:rPr>
                    <w:t>)</w:t>
                  </w:r>
                </w:p>
              </w:tc>
              <w:tc>
                <w:tcPr>
                  <w:tcW w:w="807" w:type="pct"/>
                  <w:vAlign w:val="center"/>
                </w:tcPr>
                <w:p w14:paraId="35355320">
                  <w:pPr>
                    <w:widowControl/>
                    <w:snapToGrid w:val="0"/>
                    <w:jc w:val="center"/>
                    <w:rPr>
                      <w:snapToGrid w:val="0"/>
                      <w:kern w:val="0"/>
                      <w:szCs w:val="21"/>
                    </w:rPr>
                  </w:pPr>
                  <w:r>
                    <w:rPr>
                      <w:snapToGrid w:val="0"/>
                      <w:szCs w:val="21"/>
                    </w:rPr>
                    <w:t>PM</w:t>
                  </w:r>
                  <w:r>
                    <w:rPr>
                      <w:snapToGrid w:val="0"/>
                      <w:szCs w:val="21"/>
                      <w:vertAlign w:val="subscript"/>
                    </w:rPr>
                    <w:t>10</w:t>
                  </w:r>
                  <w:r>
                    <w:rPr>
                      <w:rFonts w:hint="eastAsia"/>
                      <w:szCs w:val="21"/>
                    </w:rPr>
                    <w:t>(</w:t>
                  </w:r>
                  <w:r>
                    <w:rPr>
                      <w:szCs w:val="21"/>
                    </w:rPr>
                    <w:t>μg/m</w:t>
                  </w:r>
                  <w:r>
                    <w:rPr>
                      <w:szCs w:val="21"/>
                      <w:vertAlign w:val="superscript"/>
                    </w:rPr>
                    <w:t>3</w:t>
                  </w:r>
                  <w:r>
                    <w:rPr>
                      <w:rFonts w:hint="eastAsia"/>
                      <w:szCs w:val="21"/>
                    </w:rPr>
                    <w:t>)</w:t>
                  </w:r>
                </w:p>
              </w:tc>
              <w:tc>
                <w:tcPr>
                  <w:tcW w:w="849" w:type="pct"/>
                  <w:vAlign w:val="center"/>
                </w:tcPr>
                <w:p w14:paraId="32F51EF2">
                  <w:pPr>
                    <w:widowControl/>
                    <w:snapToGrid w:val="0"/>
                    <w:jc w:val="center"/>
                    <w:rPr>
                      <w:snapToGrid w:val="0"/>
                      <w:kern w:val="0"/>
                      <w:szCs w:val="21"/>
                    </w:rPr>
                  </w:pPr>
                  <w:r>
                    <w:rPr>
                      <w:snapToGrid w:val="0"/>
                      <w:szCs w:val="21"/>
                    </w:rPr>
                    <w:t>PM</w:t>
                  </w:r>
                  <w:r>
                    <w:rPr>
                      <w:snapToGrid w:val="0"/>
                      <w:szCs w:val="21"/>
                      <w:vertAlign w:val="subscript"/>
                    </w:rPr>
                    <w:t>2.5</w:t>
                  </w:r>
                  <w:r>
                    <w:rPr>
                      <w:rFonts w:hint="eastAsia"/>
                      <w:szCs w:val="21"/>
                    </w:rPr>
                    <w:t>(</w:t>
                  </w:r>
                  <w:r>
                    <w:rPr>
                      <w:szCs w:val="21"/>
                    </w:rPr>
                    <w:t>μg/m</w:t>
                  </w:r>
                  <w:r>
                    <w:rPr>
                      <w:szCs w:val="21"/>
                      <w:vertAlign w:val="superscript"/>
                    </w:rPr>
                    <w:t>3</w:t>
                  </w:r>
                  <w:r>
                    <w:rPr>
                      <w:rFonts w:hint="eastAsia"/>
                      <w:szCs w:val="21"/>
                    </w:rPr>
                    <w:t>)</w:t>
                  </w:r>
                </w:p>
              </w:tc>
              <w:tc>
                <w:tcPr>
                  <w:tcW w:w="430" w:type="pct"/>
                  <w:vAlign w:val="center"/>
                </w:tcPr>
                <w:p w14:paraId="0DC85945">
                  <w:pPr>
                    <w:widowControl/>
                    <w:snapToGrid w:val="0"/>
                    <w:jc w:val="center"/>
                    <w:rPr>
                      <w:snapToGrid w:val="0"/>
                      <w:szCs w:val="21"/>
                    </w:rPr>
                  </w:pPr>
                  <w:r>
                    <w:rPr>
                      <w:rFonts w:hint="eastAsia"/>
                      <w:snapToGrid w:val="0"/>
                      <w:szCs w:val="21"/>
                    </w:rPr>
                    <w:t>综合指数</w:t>
                  </w:r>
                </w:p>
              </w:tc>
              <w:tc>
                <w:tcPr>
                  <w:tcW w:w="591" w:type="pct"/>
                  <w:vAlign w:val="center"/>
                </w:tcPr>
                <w:p w14:paraId="23413209">
                  <w:pPr>
                    <w:widowControl/>
                    <w:snapToGrid w:val="0"/>
                    <w:jc w:val="center"/>
                    <w:rPr>
                      <w:snapToGrid w:val="0"/>
                      <w:szCs w:val="21"/>
                    </w:rPr>
                  </w:pPr>
                  <w:r>
                    <w:rPr>
                      <w:rFonts w:hint="eastAsia"/>
                      <w:snapToGrid w:val="0"/>
                      <w:szCs w:val="21"/>
                    </w:rPr>
                    <w:t>优良天（天）</w:t>
                  </w:r>
                </w:p>
              </w:tc>
            </w:tr>
            <w:tr w14:paraId="5D3D7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713" w:type="pct"/>
                  <w:vAlign w:val="center"/>
                </w:tcPr>
                <w:p w14:paraId="36B77502">
                  <w:pPr>
                    <w:widowControl/>
                    <w:snapToGrid w:val="0"/>
                    <w:jc w:val="center"/>
                    <w:rPr>
                      <w:kern w:val="0"/>
                      <w:szCs w:val="21"/>
                    </w:rPr>
                  </w:pPr>
                  <w:r>
                    <w:rPr>
                      <w:kern w:val="0"/>
                      <w:szCs w:val="21"/>
                    </w:rPr>
                    <w:t>年平均</w:t>
                  </w:r>
                </w:p>
              </w:tc>
              <w:tc>
                <w:tcPr>
                  <w:tcW w:w="771" w:type="pct"/>
                  <w:vAlign w:val="center"/>
                </w:tcPr>
                <w:p w14:paraId="6D10FA15">
                  <w:pPr>
                    <w:snapToGrid w:val="0"/>
                    <w:jc w:val="center"/>
                    <w:rPr>
                      <w:szCs w:val="21"/>
                    </w:rPr>
                  </w:pPr>
                  <w:r>
                    <w:rPr>
                      <w:rFonts w:hint="eastAsia"/>
                      <w:szCs w:val="21"/>
                    </w:rPr>
                    <w:t>10</w:t>
                  </w:r>
                </w:p>
              </w:tc>
              <w:tc>
                <w:tcPr>
                  <w:tcW w:w="839" w:type="pct"/>
                  <w:vAlign w:val="center"/>
                </w:tcPr>
                <w:p w14:paraId="3318EF6D">
                  <w:pPr>
                    <w:snapToGrid w:val="0"/>
                    <w:jc w:val="center"/>
                    <w:rPr>
                      <w:szCs w:val="21"/>
                    </w:rPr>
                  </w:pPr>
                  <w:r>
                    <w:rPr>
                      <w:rFonts w:hint="eastAsia"/>
                      <w:szCs w:val="21"/>
                    </w:rPr>
                    <w:t>2</w:t>
                  </w:r>
                  <w:r>
                    <w:rPr>
                      <w:szCs w:val="21"/>
                    </w:rPr>
                    <w:t>4</w:t>
                  </w:r>
                </w:p>
              </w:tc>
              <w:tc>
                <w:tcPr>
                  <w:tcW w:w="807" w:type="pct"/>
                  <w:vAlign w:val="center"/>
                </w:tcPr>
                <w:p w14:paraId="41FFB45D">
                  <w:pPr>
                    <w:snapToGrid w:val="0"/>
                    <w:jc w:val="center"/>
                    <w:rPr>
                      <w:szCs w:val="21"/>
                    </w:rPr>
                  </w:pPr>
                  <w:r>
                    <w:rPr>
                      <w:szCs w:val="21"/>
                    </w:rPr>
                    <w:t>69</w:t>
                  </w:r>
                </w:p>
              </w:tc>
              <w:tc>
                <w:tcPr>
                  <w:tcW w:w="849" w:type="pct"/>
                  <w:vAlign w:val="center"/>
                </w:tcPr>
                <w:p w14:paraId="730F3297">
                  <w:pPr>
                    <w:snapToGrid w:val="0"/>
                    <w:jc w:val="center"/>
                    <w:rPr>
                      <w:szCs w:val="21"/>
                    </w:rPr>
                  </w:pPr>
                  <w:r>
                    <w:rPr>
                      <w:rFonts w:hint="eastAsia"/>
                      <w:szCs w:val="21"/>
                    </w:rPr>
                    <w:t>4</w:t>
                  </w:r>
                  <w:r>
                    <w:rPr>
                      <w:szCs w:val="21"/>
                    </w:rPr>
                    <w:t>0</w:t>
                  </w:r>
                </w:p>
              </w:tc>
              <w:tc>
                <w:tcPr>
                  <w:tcW w:w="430" w:type="pct"/>
                  <w:vAlign w:val="center"/>
                </w:tcPr>
                <w:p w14:paraId="0D27EFE2">
                  <w:pPr>
                    <w:snapToGrid w:val="0"/>
                    <w:jc w:val="center"/>
                    <w:rPr>
                      <w:szCs w:val="21"/>
                    </w:rPr>
                  </w:pPr>
                  <w:r>
                    <w:rPr>
                      <w:szCs w:val="21"/>
                    </w:rPr>
                    <w:t>4.2</w:t>
                  </w:r>
                  <w:r>
                    <w:rPr>
                      <w:rFonts w:hint="eastAsia"/>
                      <w:szCs w:val="21"/>
                    </w:rPr>
                    <w:t>6</w:t>
                  </w:r>
                </w:p>
              </w:tc>
              <w:tc>
                <w:tcPr>
                  <w:tcW w:w="591" w:type="pct"/>
                  <w:vAlign w:val="center"/>
                </w:tcPr>
                <w:p w14:paraId="0A3449BF">
                  <w:pPr>
                    <w:snapToGrid w:val="0"/>
                    <w:jc w:val="center"/>
                    <w:rPr>
                      <w:szCs w:val="21"/>
                    </w:rPr>
                  </w:pPr>
                  <w:r>
                    <w:rPr>
                      <w:szCs w:val="21"/>
                    </w:rPr>
                    <w:t>266</w:t>
                  </w:r>
                </w:p>
              </w:tc>
            </w:tr>
            <w:tr w14:paraId="3ED15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713" w:type="pct"/>
                  <w:vAlign w:val="center"/>
                </w:tcPr>
                <w:p w14:paraId="3F68409E">
                  <w:pPr>
                    <w:widowControl/>
                    <w:snapToGrid w:val="0"/>
                    <w:jc w:val="center"/>
                    <w:rPr>
                      <w:kern w:val="0"/>
                      <w:szCs w:val="21"/>
                    </w:rPr>
                  </w:pPr>
                  <w:r>
                    <w:rPr>
                      <w:kern w:val="0"/>
                      <w:szCs w:val="21"/>
                    </w:rPr>
                    <w:t>执行标准</w:t>
                  </w:r>
                </w:p>
              </w:tc>
              <w:tc>
                <w:tcPr>
                  <w:tcW w:w="771" w:type="pct"/>
                  <w:vAlign w:val="center"/>
                </w:tcPr>
                <w:p w14:paraId="0BD10B39">
                  <w:pPr>
                    <w:snapToGrid w:val="0"/>
                    <w:jc w:val="center"/>
                    <w:rPr>
                      <w:kern w:val="0"/>
                      <w:szCs w:val="21"/>
                    </w:rPr>
                  </w:pPr>
                  <w:r>
                    <w:rPr>
                      <w:kern w:val="0"/>
                      <w:szCs w:val="21"/>
                    </w:rPr>
                    <w:t>60</w:t>
                  </w:r>
                </w:p>
              </w:tc>
              <w:tc>
                <w:tcPr>
                  <w:tcW w:w="839" w:type="pct"/>
                  <w:vAlign w:val="center"/>
                </w:tcPr>
                <w:p w14:paraId="5F31EB7A">
                  <w:pPr>
                    <w:snapToGrid w:val="0"/>
                    <w:jc w:val="center"/>
                    <w:rPr>
                      <w:kern w:val="0"/>
                      <w:szCs w:val="21"/>
                    </w:rPr>
                  </w:pPr>
                  <w:r>
                    <w:rPr>
                      <w:kern w:val="0"/>
                      <w:szCs w:val="21"/>
                    </w:rPr>
                    <w:t>40</w:t>
                  </w:r>
                </w:p>
              </w:tc>
              <w:tc>
                <w:tcPr>
                  <w:tcW w:w="807" w:type="pct"/>
                  <w:vAlign w:val="center"/>
                </w:tcPr>
                <w:p w14:paraId="1E8AE92A">
                  <w:pPr>
                    <w:snapToGrid w:val="0"/>
                    <w:jc w:val="center"/>
                    <w:rPr>
                      <w:kern w:val="0"/>
                      <w:szCs w:val="21"/>
                    </w:rPr>
                  </w:pPr>
                  <w:r>
                    <w:rPr>
                      <w:kern w:val="0"/>
                      <w:szCs w:val="21"/>
                    </w:rPr>
                    <w:t>70</w:t>
                  </w:r>
                </w:p>
              </w:tc>
              <w:tc>
                <w:tcPr>
                  <w:tcW w:w="849" w:type="pct"/>
                  <w:vAlign w:val="center"/>
                </w:tcPr>
                <w:p w14:paraId="30C88C84">
                  <w:pPr>
                    <w:snapToGrid w:val="0"/>
                    <w:jc w:val="center"/>
                    <w:rPr>
                      <w:kern w:val="0"/>
                      <w:szCs w:val="21"/>
                    </w:rPr>
                  </w:pPr>
                  <w:r>
                    <w:rPr>
                      <w:kern w:val="0"/>
                      <w:szCs w:val="21"/>
                    </w:rPr>
                    <w:t>35</w:t>
                  </w:r>
                </w:p>
              </w:tc>
              <w:tc>
                <w:tcPr>
                  <w:tcW w:w="430" w:type="pct"/>
                  <w:vAlign w:val="center"/>
                </w:tcPr>
                <w:p w14:paraId="3F37AD3F">
                  <w:pPr>
                    <w:snapToGrid w:val="0"/>
                    <w:jc w:val="center"/>
                    <w:rPr>
                      <w:kern w:val="0"/>
                      <w:szCs w:val="21"/>
                    </w:rPr>
                  </w:pPr>
                  <w:r>
                    <w:rPr>
                      <w:rFonts w:hint="eastAsia"/>
                      <w:kern w:val="0"/>
                      <w:szCs w:val="21"/>
                    </w:rPr>
                    <w:t>/</w:t>
                  </w:r>
                </w:p>
              </w:tc>
              <w:tc>
                <w:tcPr>
                  <w:tcW w:w="591" w:type="pct"/>
                  <w:vAlign w:val="center"/>
                </w:tcPr>
                <w:p w14:paraId="46684E3B">
                  <w:pPr>
                    <w:snapToGrid w:val="0"/>
                    <w:jc w:val="center"/>
                    <w:rPr>
                      <w:kern w:val="0"/>
                      <w:szCs w:val="21"/>
                    </w:rPr>
                  </w:pPr>
                  <w:r>
                    <w:rPr>
                      <w:rFonts w:hint="eastAsia"/>
                      <w:kern w:val="0"/>
                      <w:szCs w:val="21"/>
                    </w:rPr>
                    <w:t>/</w:t>
                  </w:r>
                </w:p>
              </w:tc>
            </w:tr>
            <w:tr w14:paraId="3A265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713" w:type="pct"/>
                  <w:vAlign w:val="center"/>
                </w:tcPr>
                <w:p w14:paraId="1C361C71">
                  <w:pPr>
                    <w:widowControl/>
                    <w:snapToGrid w:val="0"/>
                    <w:jc w:val="center"/>
                    <w:rPr>
                      <w:kern w:val="0"/>
                      <w:szCs w:val="21"/>
                    </w:rPr>
                  </w:pPr>
                  <w:r>
                    <w:rPr>
                      <w:kern w:val="0"/>
                      <w:szCs w:val="21"/>
                    </w:rPr>
                    <w:t>达标情况</w:t>
                  </w:r>
                </w:p>
              </w:tc>
              <w:tc>
                <w:tcPr>
                  <w:tcW w:w="771" w:type="pct"/>
                  <w:vAlign w:val="center"/>
                </w:tcPr>
                <w:p w14:paraId="3A2358E6">
                  <w:pPr>
                    <w:snapToGrid w:val="0"/>
                    <w:jc w:val="center"/>
                    <w:rPr>
                      <w:kern w:val="0"/>
                      <w:szCs w:val="21"/>
                    </w:rPr>
                  </w:pPr>
                  <w:r>
                    <w:rPr>
                      <w:kern w:val="0"/>
                      <w:szCs w:val="21"/>
                    </w:rPr>
                    <w:t>达标</w:t>
                  </w:r>
                </w:p>
              </w:tc>
              <w:tc>
                <w:tcPr>
                  <w:tcW w:w="839" w:type="pct"/>
                  <w:vAlign w:val="center"/>
                </w:tcPr>
                <w:p w14:paraId="6BEA13AE">
                  <w:pPr>
                    <w:snapToGrid w:val="0"/>
                    <w:jc w:val="center"/>
                    <w:rPr>
                      <w:kern w:val="0"/>
                      <w:szCs w:val="21"/>
                    </w:rPr>
                  </w:pPr>
                  <w:r>
                    <w:rPr>
                      <w:kern w:val="0"/>
                      <w:szCs w:val="21"/>
                    </w:rPr>
                    <w:t>达标</w:t>
                  </w:r>
                </w:p>
              </w:tc>
              <w:tc>
                <w:tcPr>
                  <w:tcW w:w="807" w:type="pct"/>
                  <w:vAlign w:val="center"/>
                </w:tcPr>
                <w:p w14:paraId="2FDB6147">
                  <w:pPr>
                    <w:snapToGrid w:val="0"/>
                    <w:jc w:val="center"/>
                    <w:rPr>
                      <w:kern w:val="0"/>
                      <w:szCs w:val="21"/>
                    </w:rPr>
                  </w:pPr>
                  <w:r>
                    <w:rPr>
                      <w:kern w:val="0"/>
                      <w:szCs w:val="21"/>
                    </w:rPr>
                    <w:t>达标</w:t>
                  </w:r>
                </w:p>
              </w:tc>
              <w:tc>
                <w:tcPr>
                  <w:tcW w:w="849" w:type="pct"/>
                  <w:vAlign w:val="center"/>
                </w:tcPr>
                <w:p w14:paraId="08734B71">
                  <w:pPr>
                    <w:snapToGrid w:val="0"/>
                    <w:jc w:val="center"/>
                    <w:rPr>
                      <w:kern w:val="0"/>
                      <w:szCs w:val="21"/>
                    </w:rPr>
                  </w:pPr>
                  <w:r>
                    <w:rPr>
                      <w:kern w:val="0"/>
                      <w:szCs w:val="21"/>
                    </w:rPr>
                    <w:t>不达标</w:t>
                  </w:r>
                </w:p>
              </w:tc>
              <w:tc>
                <w:tcPr>
                  <w:tcW w:w="430" w:type="pct"/>
                  <w:vAlign w:val="center"/>
                </w:tcPr>
                <w:p w14:paraId="6FA2CF6F">
                  <w:pPr>
                    <w:snapToGrid w:val="0"/>
                    <w:jc w:val="center"/>
                    <w:rPr>
                      <w:kern w:val="0"/>
                      <w:szCs w:val="21"/>
                    </w:rPr>
                  </w:pPr>
                  <w:r>
                    <w:rPr>
                      <w:rFonts w:hint="eastAsia"/>
                      <w:kern w:val="0"/>
                      <w:szCs w:val="21"/>
                    </w:rPr>
                    <w:t>/</w:t>
                  </w:r>
                </w:p>
              </w:tc>
              <w:tc>
                <w:tcPr>
                  <w:tcW w:w="591" w:type="pct"/>
                  <w:vAlign w:val="center"/>
                </w:tcPr>
                <w:p w14:paraId="4794E042">
                  <w:pPr>
                    <w:snapToGrid w:val="0"/>
                    <w:jc w:val="center"/>
                    <w:rPr>
                      <w:kern w:val="0"/>
                      <w:szCs w:val="21"/>
                    </w:rPr>
                  </w:pPr>
                  <w:r>
                    <w:rPr>
                      <w:rFonts w:hint="eastAsia"/>
                      <w:kern w:val="0"/>
                      <w:szCs w:val="21"/>
                    </w:rPr>
                    <w:t>/</w:t>
                  </w:r>
                </w:p>
              </w:tc>
            </w:tr>
          </w:tbl>
          <w:p w14:paraId="41587ED7">
            <w:pPr>
              <w:spacing w:line="360" w:lineRule="auto"/>
              <w:ind w:firstLine="420"/>
              <w:rPr>
                <w:bCs/>
                <w:sz w:val="24"/>
              </w:rPr>
            </w:pPr>
            <w:r>
              <w:rPr>
                <w:sz w:val="24"/>
              </w:rPr>
              <w:t>根据评价结果，</w:t>
            </w:r>
            <w:r>
              <w:rPr>
                <w:rFonts w:hint="eastAsia"/>
                <w:sz w:val="24"/>
              </w:rPr>
              <w:t>梁山县</w:t>
            </w:r>
            <w:r>
              <w:rPr>
                <w:sz w:val="24"/>
              </w:rPr>
              <w:t>2024年PM</w:t>
            </w:r>
            <w:r>
              <w:rPr>
                <w:sz w:val="24"/>
                <w:vertAlign w:val="subscript"/>
              </w:rPr>
              <w:t>10</w:t>
            </w:r>
            <w:r>
              <w:rPr>
                <w:sz w:val="24"/>
              </w:rPr>
              <w:t>、SO</w:t>
            </w:r>
            <w:r>
              <w:rPr>
                <w:sz w:val="24"/>
                <w:vertAlign w:val="subscript"/>
              </w:rPr>
              <w:t>2</w:t>
            </w:r>
            <w:r>
              <w:rPr>
                <w:sz w:val="24"/>
              </w:rPr>
              <w:t>、NOx年均浓度符合《环境空气质量标准》（GB3095-2012）二级标准要求，PM</w:t>
            </w:r>
            <w:r>
              <w:rPr>
                <w:sz w:val="24"/>
                <w:vertAlign w:val="subscript"/>
              </w:rPr>
              <w:t>2.5</w:t>
            </w:r>
            <w:r>
              <w:rPr>
                <w:sz w:val="24"/>
              </w:rPr>
              <w:t>年均浓度超标，细颗粒物为影响该区域空气质量的首要污染物</w:t>
            </w:r>
            <w:r>
              <w:rPr>
                <w:rFonts w:hint="eastAsia"/>
                <w:bCs/>
                <w:sz w:val="24"/>
              </w:rPr>
              <w:t>。</w:t>
            </w:r>
          </w:p>
          <w:p w14:paraId="62ABD518">
            <w:pPr>
              <w:spacing w:line="360" w:lineRule="auto"/>
              <w:ind w:firstLine="480" w:firstLineChars="200"/>
              <w:rPr>
                <w:b/>
                <w:bCs/>
                <w:kern w:val="0"/>
                <w:sz w:val="24"/>
              </w:rPr>
            </w:pPr>
            <w:r>
              <w:rPr>
                <w:sz w:val="24"/>
              </w:rPr>
              <w:t>目前梁山县人民政府正积极落实《山东省深入打好蓝天保卫战行动计划（2021—2025年）》、《山东省生态环境厅关于印发山东建设项目主要大气污染物排放总量替代指标核算及管理办法的通知》等文件要求，通过实行大气污染物排放总量指标2倍削减替代，优化产业结构与布局，减少煤炭消费，推进工业污染源提标改造，强化工业企业无组织排放控制管理，加强VOCs专项整治，控制机动车污染，实施秋冬季重点行业错峰生产等方面的行动，加快以细颗粒物为重点的大气污染治理，项目所在区域大气环境质量将会逐步得到改善</w:t>
            </w:r>
            <w:r>
              <w:rPr>
                <w:sz w:val="24"/>
                <w:szCs w:val="22"/>
              </w:rPr>
              <w:t>。</w:t>
            </w:r>
          </w:p>
          <w:p w14:paraId="4111F916">
            <w:pPr>
              <w:spacing w:line="360" w:lineRule="auto"/>
              <w:ind w:firstLine="482" w:firstLineChars="200"/>
              <w:rPr>
                <w:b/>
                <w:bCs/>
                <w:sz w:val="24"/>
              </w:rPr>
            </w:pPr>
            <w:r>
              <w:rPr>
                <w:b/>
                <w:bCs/>
                <w:sz w:val="24"/>
              </w:rPr>
              <w:t>二、地表水环境质量状况</w:t>
            </w:r>
          </w:p>
          <w:p w14:paraId="6DDC0E44">
            <w:pPr>
              <w:spacing w:line="360" w:lineRule="auto"/>
              <w:ind w:firstLine="480" w:firstLineChars="200"/>
              <w:rPr>
                <w:sz w:val="24"/>
              </w:rPr>
            </w:pPr>
            <w:r>
              <w:rPr>
                <w:sz w:val="24"/>
              </w:rPr>
              <w:t>本项目所在地区主要河流为京杭运河（梁济运河段），执行《地表水环境质量标准》（GB3838-2002）Ⅲ类标准。根据2025年1月山东省省控重点河流水质状况数据（网址为：http://dbsfb.sdem.org.cn:8003/waterpublic/#），京杭运河（梁济运河）邓楼断面水质</w:t>
            </w:r>
            <w:r>
              <w:rPr>
                <w:rFonts w:hint="eastAsia"/>
                <w:sz w:val="24"/>
              </w:rPr>
              <w:t>现状</w:t>
            </w:r>
            <w:r>
              <w:rPr>
                <w:sz w:val="24"/>
              </w:rPr>
              <w:t>为</w:t>
            </w:r>
            <w:r>
              <w:rPr>
                <w:rFonts w:hint="eastAsia"/>
                <w:sz w:val="24"/>
              </w:rPr>
              <w:t>Ⅲ</w:t>
            </w:r>
            <w:r>
              <w:rPr>
                <w:sz w:val="24"/>
              </w:rPr>
              <w:t>类，能够满足《地表水环境质量标准》（GB3838-2002）中Ⅲ类标准要求。</w:t>
            </w:r>
          </w:p>
          <w:p w14:paraId="6DFE825A">
            <w:pPr>
              <w:spacing w:line="360" w:lineRule="auto"/>
              <w:jc w:val="center"/>
              <w:rPr>
                <w:b/>
                <w:bCs/>
                <w:sz w:val="24"/>
                <w:szCs w:val="20"/>
              </w:rPr>
            </w:pPr>
            <w:r>
              <w:drawing>
                <wp:inline distT="0" distB="0" distL="0" distR="0">
                  <wp:extent cx="5337810" cy="16256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5350986" cy="1629845"/>
                          </a:xfrm>
                          <a:prstGeom prst="rect">
                            <a:avLst/>
                          </a:prstGeom>
                        </pic:spPr>
                      </pic:pic>
                    </a:graphicData>
                  </a:graphic>
                </wp:inline>
              </w:drawing>
            </w:r>
          </w:p>
          <w:p w14:paraId="12A61775">
            <w:pPr>
              <w:spacing w:line="360" w:lineRule="auto"/>
              <w:jc w:val="center"/>
              <w:rPr>
                <w:b/>
                <w:bCs/>
                <w:sz w:val="24"/>
              </w:rPr>
            </w:pPr>
            <w:r>
              <w:rPr>
                <w:b/>
                <w:bCs/>
                <w:sz w:val="24"/>
              </w:rPr>
              <w:t xml:space="preserve">图3  </w:t>
            </w:r>
            <w:r>
              <w:rPr>
                <w:rFonts w:hint="eastAsia"/>
                <w:b/>
                <w:bCs/>
                <w:sz w:val="24"/>
              </w:rPr>
              <w:t>202</w:t>
            </w:r>
            <w:r>
              <w:rPr>
                <w:b/>
                <w:bCs/>
                <w:sz w:val="24"/>
              </w:rPr>
              <w:t>5</w:t>
            </w:r>
            <w:r>
              <w:rPr>
                <w:rFonts w:hint="eastAsia"/>
                <w:b/>
                <w:bCs/>
                <w:sz w:val="24"/>
              </w:rPr>
              <w:t>年</w:t>
            </w:r>
            <w:r>
              <w:rPr>
                <w:b/>
                <w:bCs/>
                <w:sz w:val="24"/>
              </w:rPr>
              <w:t>1</w:t>
            </w:r>
            <w:r>
              <w:rPr>
                <w:rFonts w:hint="eastAsia"/>
                <w:b/>
                <w:bCs/>
                <w:sz w:val="24"/>
              </w:rPr>
              <w:t>月</w:t>
            </w:r>
            <w:r>
              <w:rPr>
                <w:b/>
                <w:bCs/>
                <w:sz w:val="24"/>
              </w:rPr>
              <w:t>山东省省控重点河流水质状况</w:t>
            </w:r>
          </w:p>
          <w:p w14:paraId="098B097C">
            <w:pPr>
              <w:spacing w:line="360" w:lineRule="auto"/>
              <w:ind w:firstLine="482" w:firstLineChars="200"/>
              <w:rPr>
                <w:b/>
                <w:bCs/>
                <w:sz w:val="24"/>
              </w:rPr>
            </w:pPr>
            <w:r>
              <w:rPr>
                <w:b/>
                <w:bCs/>
                <w:sz w:val="24"/>
              </w:rPr>
              <w:t>三、声环境质量状况</w:t>
            </w:r>
          </w:p>
          <w:p w14:paraId="51A80FB4">
            <w:pPr>
              <w:spacing w:line="360" w:lineRule="auto"/>
              <w:ind w:firstLine="480" w:firstLineChars="200"/>
              <w:contextualSpacing/>
              <w:rPr>
                <w:bCs/>
                <w:kern w:val="0"/>
                <w:sz w:val="24"/>
              </w:rPr>
            </w:pPr>
            <w:r>
              <w:rPr>
                <w:sz w:val="24"/>
              </w:rPr>
              <w:t>根据现场调查，项目厂界外周边50米范围内不存在声环境保护目标，因此本次评价不对周边声环境保护目标进行现状监测。项目所在区域环境噪声执行《声环境质量标准》（GB3096-2008）2类标准</w:t>
            </w:r>
            <w:r>
              <w:rPr>
                <w:bCs/>
                <w:kern w:val="0"/>
                <w:sz w:val="24"/>
              </w:rPr>
              <w:t>。</w:t>
            </w:r>
          </w:p>
          <w:p w14:paraId="289B7039">
            <w:pPr>
              <w:spacing w:line="360" w:lineRule="auto"/>
              <w:ind w:firstLine="482" w:firstLineChars="200"/>
              <w:contextualSpacing/>
              <w:rPr>
                <w:b/>
                <w:bCs/>
                <w:sz w:val="24"/>
              </w:rPr>
            </w:pPr>
            <w:r>
              <w:rPr>
                <w:b/>
                <w:bCs/>
                <w:kern w:val="0"/>
                <w:sz w:val="24"/>
              </w:rPr>
              <w:t>四、</w:t>
            </w:r>
            <w:r>
              <w:rPr>
                <w:b/>
                <w:bCs/>
                <w:sz w:val="24"/>
              </w:rPr>
              <w:t>地下水和土壤环境质量状况</w:t>
            </w:r>
          </w:p>
          <w:p w14:paraId="3BD71003">
            <w:pPr>
              <w:spacing w:line="360" w:lineRule="auto"/>
              <w:ind w:firstLine="480" w:firstLineChars="200"/>
              <w:contextualSpacing/>
              <w:rPr>
                <w:bCs/>
                <w:sz w:val="24"/>
              </w:rPr>
            </w:pPr>
            <w:r>
              <w:rPr>
                <w:sz w:val="24"/>
              </w:rPr>
              <w:t>项目厂界外500m范围内无地下水集中式饮用水水源和热水、矿泉水、温泉等特殊地下水资源，因此项目不需要进行土壤、地下水现状调查。</w:t>
            </w:r>
          </w:p>
          <w:p w14:paraId="55A851FF">
            <w:pPr>
              <w:spacing w:line="360" w:lineRule="auto"/>
              <w:ind w:firstLine="482" w:firstLineChars="200"/>
              <w:contextualSpacing/>
              <w:rPr>
                <w:b/>
                <w:bCs/>
                <w:kern w:val="0"/>
                <w:sz w:val="24"/>
              </w:rPr>
            </w:pPr>
            <w:r>
              <w:rPr>
                <w:b/>
                <w:bCs/>
                <w:kern w:val="0"/>
                <w:sz w:val="24"/>
              </w:rPr>
              <w:t>五、电磁辐射</w:t>
            </w:r>
          </w:p>
          <w:p w14:paraId="45A92849">
            <w:pPr>
              <w:spacing w:line="360" w:lineRule="auto"/>
              <w:ind w:firstLine="480" w:firstLineChars="200"/>
              <w:rPr>
                <w:bCs/>
                <w:kern w:val="0"/>
                <w:sz w:val="24"/>
              </w:rPr>
            </w:pPr>
            <w:r>
              <w:rPr>
                <w:bCs/>
                <w:kern w:val="0"/>
                <w:sz w:val="24"/>
              </w:rPr>
              <w:t>本项目</w:t>
            </w:r>
            <w:r>
              <w:rPr>
                <w:rFonts w:hint="eastAsia"/>
                <w:bCs/>
                <w:kern w:val="0"/>
                <w:sz w:val="24"/>
              </w:rPr>
              <w:t>使用的设备中包含超声波探伤仪，</w:t>
            </w:r>
            <w:r>
              <w:rPr>
                <w:bCs/>
                <w:kern w:val="0"/>
                <w:sz w:val="24"/>
              </w:rPr>
              <w:t>不属于新建或改建、扩建广播电台、差转台、电视塔台、卫星地球上行站、雷达等电磁辐射类项目，无需开展电磁辐射现状监测与评价。</w:t>
            </w:r>
          </w:p>
          <w:p w14:paraId="0487ECE7">
            <w:pPr>
              <w:spacing w:line="360" w:lineRule="auto"/>
              <w:ind w:firstLine="482" w:firstLineChars="200"/>
              <w:contextualSpacing/>
              <w:rPr>
                <w:b/>
                <w:bCs/>
                <w:kern w:val="0"/>
                <w:sz w:val="24"/>
              </w:rPr>
            </w:pPr>
            <w:r>
              <w:rPr>
                <w:b/>
                <w:bCs/>
                <w:kern w:val="0"/>
                <w:sz w:val="24"/>
              </w:rPr>
              <w:t>六、</w:t>
            </w:r>
            <w:r>
              <w:rPr>
                <w:b/>
                <w:bCs/>
                <w:sz w:val="24"/>
              </w:rPr>
              <w:t>生态环境状况</w:t>
            </w:r>
          </w:p>
          <w:p w14:paraId="2A3E7C6B">
            <w:pPr>
              <w:spacing w:line="360" w:lineRule="auto"/>
              <w:ind w:firstLine="480" w:firstLineChars="200"/>
              <w:rPr>
                <w:bCs/>
                <w:kern w:val="0"/>
                <w:sz w:val="24"/>
              </w:rPr>
            </w:pPr>
            <w:r>
              <w:rPr>
                <w:rFonts w:hint="eastAsia"/>
                <w:bCs/>
                <w:kern w:val="0"/>
                <w:sz w:val="24"/>
              </w:rPr>
              <w:t>根据环评内容，本项目位于山东省济宁市梁山县梁山经济开发区内，周边主要为生产企业和村庄。区域内生物种类较少，生物群落相对单一，没有重要生态环境区，无珍稀动植物，无重大环境制约因素，不属于产业园区外建设项目新增用地且用地范围内含有生态环境保护目类项目，因此，不进行生态现状调查。</w:t>
            </w:r>
          </w:p>
          <w:p w14:paraId="28F6E26D"/>
          <w:p w14:paraId="2E2DA1F9"/>
        </w:tc>
      </w:tr>
      <w:tr w14:paraId="1CA41A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2" w:hRule="atLeast"/>
          <w:jc w:val="center"/>
        </w:trPr>
        <w:tc>
          <w:tcPr>
            <w:tcW w:w="590" w:type="dxa"/>
            <w:vAlign w:val="center"/>
          </w:tcPr>
          <w:p w14:paraId="46B09928">
            <w:pPr>
              <w:adjustRightInd w:val="0"/>
              <w:snapToGrid w:val="0"/>
              <w:jc w:val="center"/>
              <w:rPr>
                <w:kern w:val="0"/>
                <w:sz w:val="24"/>
              </w:rPr>
            </w:pPr>
            <w:r>
              <w:rPr>
                <w:kern w:val="0"/>
                <w:sz w:val="24"/>
              </w:rPr>
              <w:t>环</w:t>
            </w:r>
          </w:p>
          <w:p w14:paraId="5FE0A6CA">
            <w:pPr>
              <w:adjustRightInd w:val="0"/>
              <w:snapToGrid w:val="0"/>
              <w:jc w:val="center"/>
              <w:rPr>
                <w:kern w:val="0"/>
                <w:sz w:val="24"/>
              </w:rPr>
            </w:pPr>
            <w:r>
              <w:rPr>
                <w:kern w:val="0"/>
                <w:sz w:val="24"/>
              </w:rPr>
              <w:t>境</w:t>
            </w:r>
          </w:p>
          <w:p w14:paraId="435F6DDE">
            <w:pPr>
              <w:adjustRightInd w:val="0"/>
              <w:snapToGrid w:val="0"/>
              <w:jc w:val="center"/>
              <w:rPr>
                <w:kern w:val="0"/>
                <w:sz w:val="24"/>
              </w:rPr>
            </w:pPr>
            <w:r>
              <w:rPr>
                <w:kern w:val="0"/>
                <w:sz w:val="24"/>
              </w:rPr>
              <w:t>保</w:t>
            </w:r>
          </w:p>
          <w:p w14:paraId="7B9108C1">
            <w:pPr>
              <w:adjustRightInd w:val="0"/>
              <w:snapToGrid w:val="0"/>
              <w:jc w:val="center"/>
              <w:rPr>
                <w:kern w:val="0"/>
                <w:sz w:val="24"/>
              </w:rPr>
            </w:pPr>
            <w:r>
              <w:rPr>
                <w:kern w:val="0"/>
                <w:sz w:val="24"/>
              </w:rPr>
              <w:t>护</w:t>
            </w:r>
          </w:p>
          <w:p w14:paraId="35073971">
            <w:pPr>
              <w:adjustRightInd w:val="0"/>
              <w:snapToGrid w:val="0"/>
              <w:jc w:val="center"/>
              <w:rPr>
                <w:kern w:val="0"/>
                <w:sz w:val="24"/>
              </w:rPr>
            </w:pPr>
            <w:r>
              <w:rPr>
                <w:kern w:val="0"/>
                <w:sz w:val="24"/>
              </w:rPr>
              <w:t>目</w:t>
            </w:r>
          </w:p>
          <w:p w14:paraId="7CE7058D">
            <w:pPr>
              <w:adjustRightInd w:val="0"/>
              <w:snapToGrid w:val="0"/>
              <w:jc w:val="center"/>
              <w:rPr>
                <w:kern w:val="0"/>
                <w:sz w:val="24"/>
                <w:highlight w:val="yellow"/>
              </w:rPr>
            </w:pPr>
            <w:r>
              <w:rPr>
                <w:kern w:val="0"/>
                <w:sz w:val="24"/>
              </w:rPr>
              <w:t>标</w:t>
            </w:r>
          </w:p>
        </w:tc>
        <w:tc>
          <w:tcPr>
            <w:tcW w:w="8471" w:type="dxa"/>
            <w:vAlign w:val="center"/>
          </w:tcPr>
          <w:p w14:paraId="155C22D4">
            <w:pPr>
              <w:adjustRightInd w:val="0"/>
              <w:snapToGrid w:val="0"/>
              <w:spacing w:line="360" w:lineRule="auto"/>
              <w:ind w:firstLine="480" w:firstLineChars="200"/>
              <w:rPr>
                <w:kern w:val="0"/>
                <w:sz w:val="24"/>
              </w:rPr>
            </w:pPr>
            <w:r>
              <w:rPr>
                <w:kern w:val="0"/>
                <w:sz w:val="24"/>
              </w:rPr>
              <w:t>1</w:t>
            </w:r>
            <w:r>
              <w:rPr>
                <w:rFonts w:hint="eastAsia"/>
                <w:kern w:val="0"/>
                <w:sz w:val="24"/>
              </w:rPr>
              <w:t>、</w:t>
            </w:r>
            <w:r>
              <w:rPr>
                <w:kern w:val="0"/>
                <w:sz w:val="24"/>
              </w:rPr>
              <w:t>大气环境。项目厂界外500米范围</w:t>
            </w:r>
            <w:r>
              <w:rPr>
                <w:rFonts w:hint="eastAsia"/>
                <w:kern w:val="0"/>
                <w:sz w:val="24"/>
              </w:rPr>
              <w:t>内</w:t>
            </w:r>
            <w:r>
              <w:rPr>
                <w:kern w:val="0"/>
                <w:sz w:val="24"/>
              </w:rPr>
              <w:t>保护目标为</w:t>
            </w:r>
            <w:r>
              <w:rPr>
                <w:rFonts w:hint="eastAsia"/>
                <w:kern w:val="0"/>
                <w:sz w:val="24"/>
              </w:rPr>
              <w:t>盛庄村、东王村</w:t>
            </w:r>
            <w:r>
              <w:rPr>
                <w:kern w:val="0"/>
                <w:sz w:val="24"/>
              </w:rPr>
              <w:t>。</w:t>
            </w:r>
          </w:p>
          <w:p w14:paraId="73D442CC">
            <w:pPr>
              <w:adjustRightInd w:val="0"/>
              <w:snapToGrid w:val="0"/>
              <w:spacing w:line="360" w:lineRule="auto"/>
              <w:ind w:firstLine="480" w:firstLineChars="200"/>
              <w:rPr>
                <w:kern w:val="0"/>
                <w:sz w:val="24"/>
              </w:rPr>
            </w:pPr>
            <w:r>
              <w:rPr>
                <w:kern w:val="0"/>
                <w:sz w:val="24"/>
              </w:rPr>
              <w:t>2</w:t>
            </w:r>
            <w:r>
              <w:rPr>
                <w:rFonts w:hint="eastAsia"/>
                <w:kern w:val="0"/>
                <w:sz w:val="24"/>
              </w:rPr>
              <w:t>、</w:t>
            </w:r>
            <w:r>
              <w:rPr>
                <w:kern w:val="0"/>
                <w:sz w:val="24"/>
              </w:rPr>
              <w:t>声环境。项目厂界外50米范围内无声环境保护目标。</w:t>
            </w:r>
          </w:p>
          <w:p w14:paraId="429D4A86">
            <w:pPr>
              <w:adjustRightInd w:val="0"/>
              <w:snapToGrid w:val="0"/>
              <w:spacing w:line="360" w:lineRule="auto"/>
              <w:ind w:firstLine="480" w:firstLineChars="200"/>
              <w:rPr>
                <w:kern w:val="0"/>
                <w:sz w:val="24"/>
              </w:rPr>
            </w:pPr>
            <w:r>
              <w:rPr>
                <w:kern w:val="0"/>
                <w:sz w:val="24"/>
              </w:rPr>
              <w:t>3</w:t>
            </w:r>
            <w:r>
              <w:rPr>
                <w:rFonts w:hint="eastAsia"/>
                <w:kern w:val="0"/>
                <w:sz w:val="24"/>
              </w:rPr>
              <w:t>、</w:t>
            </w:r>
            <w:r>
              <w:rPr>
                <w:kern w:val="0"/>
                <w:sz w:val="24"/>
              </w:rPr>
              <w:t>地下水环境。项目厂界外500米范围内无地下水集中式饮用水水源和热水、矿泉水、温泉等特殊地下水资源。</w:t>
            </w:r>
          </w:p>
          <w:p w14:paraId="73BCEAC2">
            <w:pPr>
              <w:spacing w:line="360" w:lineRule="auto"/>
              <w:ind w:firstLine="480" w:firstLineChars="200"/>
              <w:rPr>
                <w:kern w:val="0"/>
                <w:sz w:val="24"/>
              </w:rPr>
            </w:pPr>
            <w:r>
              <w:rPr>
                <w:kern w:val="0"/>
                <w:sz w:val="24"/>
              </w:rPr>
              <w:t>4、生态环境。</w:t>
            </w:r>
            <w:r>
              <w:rPr>
                <w:sz w:val="24"/>
              </w:rPr>
              <w:t>本项目位于</w:t>
            </w:r>
            <w:r>
              <w:rPr>
                <w:rFonts w:hint="eastAsia"/>
                <w:sz w:val="24"/>
              </w:rPr>
              <w:t>山东省济宁市梁山经济开发区三利路南、东王村北180m处，</w:t>
            </w:r>
            <w:r>
              <w:rPr>
                <w:rFonts w:hint="eastAsia"/>
                <w:kern w:val="0"/>
                <w:sz w:val="24"/>
              </w:rPr>
              <w:t>占地范围内无生态环境敏感目标。</w:t>
            </w:r>
          </w:p>
          <w:p w14:paraId="63FD75E3">
            <w:pPr>
              <w:topLinePunct/>
              <w:spacing w:line="360" w:lineRule="auto"/>
              <w:ind w:firstLine="480" w:firstLineChars="200"/>
              <w:rPr>
                <w:snapToGrid w:val="0"/>
                <w:kern w:val="0"/>
                <w:sz w:val="24"/>
                <w:szCs w:val="20"/>
              </w:rPr>
            </w:pPr>
            <w:r>
              <w:rPr>
                <w:snapToGrid w:val="0"/>
                <w:kern w:val="0"/>
                <w:sz w:val="24"/>
                <w:szCs w:val="20"/>
              </w:rPr>
              <w:t>项目主要环境保护目标见下表。</w:t>
            </w:r>
          </w:p>
          <w:p w14:paraId="38E7E1B1">
            <w:pPr>
              <w:topLinePunct/>
              <w:spacing w:line="360" w:lineRule="auto"/>
              <w:jc w:val="center"/>
              <w:rPr>
                <w:b/>
                <w:snapToGrid w:val="0"/>
                <w:kern w:val="0"/>
                <w:sz w:val="24"/>
                <w:szCs w:val="20"/>
              </w:rPr>
            </w:pPr>
            <w:r>
              <w:rPr>
                <w:b/>
                <w:kern w:val="0"/>
                <w:sz w:val="24"/>
              </w:rPr>
              <w:t xml:space="preserve">表22 </w:t>
            </w:r>
            <w:r>
              <w:rPr>
                <w:b/>
                <w:snapToGrid w:val="0"/>
                <w:kern w:val="0"/>
                <w:sz w:val="24"/>
                <w:szCs w:val="20"/>
              </w:rPr>
              <w:t>本项目附近主要敏感目标</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1204"/>
              <w:gridCol w:w="1102"/>
              <w:gridCol w:w="1053"/>
              <w:gridCol w:w="3948"/>
            </w:tblGrid>
            <w:tr w14:paraId="3E530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9" w:type="pct"/>
                  <w:vAlign w:val="center"/>
                </w:tcPr>
                <w:p w14:paraId="4086A78F">
                  <w:pPr>
                    <w:rPr>
                      <w:szCs w:val="21"/>
                    </w:rPr>
                  </w:pPr>
                  <w:r>
                    <w:rPr>
                      <w:szCs w:val="21"/>
                    </w:rPr>
                    <w:t>环境类别</w:t>
                  </w:r>
                </w:p>
              </w:tc>
              <w:tc>
                <w:tcPr>
                  <w:tcW w:w="717" w:type="pct"/>
                  <w:vAlign w:val="center"/>
                </w:tcPr>
                <w:p w14:paraId="57BAE8B0">
                  <w:pPr>
                    <w:jc w:val="center"/>
                    <w:rPr>
                      <w:szCs w:val="21"/>
                    </w:rPr>
                  </w:pPr>
                  <w:r>
                    <w:rPr>
                      <w:szCs w:val="21"/>
                    </w:rPr>
                    <w:t>保护目标</w:t>
                  </w:r>
                </w:p>
              </w:tc>
              <w:tc>
                <w:tcPr>
                  <w:tcW w:w="656" w:type="pct"/>
                  <w:vAlign w:val="center"/>
                </w:tcPr>
                <w:p w14:paraId="5D031809">
                  <w:pPr>
                    <w:jc w:val="center"/>
                    <w:rPr>
                      <w:szCs w:val="21"/>
                    </w:rPr>
                  </w:pPr>
                  <w:r>
                    <w:rPr>
                      <w:szCs w:val="21"/>
                    </w:rPr>
                    <w:t>相对方位</w:t>
                  </w:r>
                </w:p>
              </w:tc>
              <w:tc>
                <w:tcPr>
                  <w:tcW w:w="627" w:type="pct"/>
                  <w:vAlign w:val="center"/>
                </w:tcPr>
                <w:p w14:paraId="6D9A17D3">
                  <w:pPr>
                    <w:jc w:val="center"/>
                    <w:rPr>
                      <w:szCs w:val="21"/>
                    </w:rPr>
                  </w:pPr>
                  <w:r>
                    <w:rPr>
                      <w:szCs w:val="21"/>
                    </w:rPr>
                    <w:t>相对距离</w:t>
                  </w:r>
                </w:p>
              </w:tc>
              <w:tc>
                <w:tcPr>
                  <w:tcW w:w="2351" w:type="pct"/>
                  <w:vAlign w:val="center"/>
                </w:tcPr>
                <w:p w14:paraId="1621DDF6">
                  <w:pPr>
                    <w:jc w:val="center"/>
                    <w:rPr>
                      <w:szCs w:val="21"/>
                    </w:rPr>
                  </w:pPr>
                  <w:r>
                    <w:rPr>
                      <w:szCs w:val="21"/>
                    </w:rPr>
                    <w:t>环境功能要求</w:t>
                  </w:r>
                </w:p>
              </w:tc>
            </w:tr>
            <w:tr w14:paraId="62F1F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restart"/>
                  <w:vAlign w:val="center"/>
                </w:tcPr>
                <w:p w14:paraId="1C232177">
                  <w:pPr>
                    <w:contextualSpacing/>
                    <w:jc w:val="center"/>
                    <w:rPr>
                      <w:bCs/>
                      <w:szCs w:val="21"/>
                    </w:rPr>
                  </w:pPr>
                  <w:r>
                    <w:rPr>
                      <w:rFonts w:hint="eastAsia"/>
                      <w:bCs/>
                      <w:szCs w:val="21"/>
                    </w:rPr>
                    <w:t>厂界外500m范围内环境空气保护目标</w:t>
                  </w:r>
                </w:p>
              </w:tc>
              <w:tc>
                <w:tcPr>
                  <w:tcW w:w="717" w:type="pct"/>
                  <w:vAlign w:val="center"/>
                </w:tcPr>
                <w:p w14:paraId="3217E559">
                  <w:pPr>
                    <w:contextualSpacing/>
                    <w:jc w:val="center"/>
                    <w:rPr>
                      <w:kern w:val="0"/>
                      <w:szCs w:val="21"/>
                    </w:rPr>
                  </w:pPr>
                  <w:r>
                    <w:rPr>
                      <w:kern w:val="0"/>
                      <w:szCs w:val="21"/>
                    </w:rPr>
                    <w:t>东王村</w:t>
                  </w:r>
                </w:p>
              </w:tc>
              <w:tc>
                <w:tcPr>
                  <w:tcW w:w="656" w:type="pct"/>
                  <w:vAlign w:val="center"/>
                </w:tcPr>
                <w:p w14:paraId="700B3095">
                  <w:pPr>
                    <w:jc w:val="center"/>
                    <w:rPr>
                      <w:szCs w:val="21"/>
                    </w:rPr>
                  </w:pPr>
                  <w:r>
                    <w:rPr>
                      <w:szCs w:val="21"/>
                    </w:rPr>
                    <w:t>S</w:t>
                  </w:r>
                </w:p>
              </w:tc>
              <w:tc>
                <w:tcPr>
                  <w:tcW w:w="627" w:type="pct"/>
                  <w:vAlign w:val="center"/>
                </w:tcPr>
                <w:p w14:paraId="6AC66A35">
                  <w:pPr>
                    <w:jc w:val="center"/>
                    <w:rPr>
                      <w:kern w:val="0"/>
                      <w:szCs w:val="21"/>
                    </w:rPr>
                  </w:pPr>
                  <w:r>
                    <w:rPr>
                      <w:kern w:val="0"/>
                      <w:szCs w:val="21"/>
                    </w:rPr>
                    <w:t>180m</w:t>
                  </w:r>
                </w:p>
              </w:tc>
              <w:tc>
                <w:tcPr>
                  <w:tcW w:w="2351" w:type="pct"/>
                  <w:vMerge w:val="restart"/>
                  <w:vAlign w:val="center"/>
                </w:tcPr>
                <w:p w14:paraId="6197DF2E">
                  <w:pPr>
                    <w:contextualSpacing/>
                    <w:jc w:val="center"/>
                    <w:rPr>
                      <w:bCs/>
                      <w:szCs w:val="21"/>
                    </w:rPr>
                  </w:pPr>
                  <w:r>
                    <w:rPr>
                      <w:bCs/>
                      <w:szCs w:val="21"/>
                    </w:rPr>
                    <w:t>《环境空气质量标准》（GB3095-2012）二级标准</w:t>
                  </w:r>
                </w:p>
              </w:tc>
            </w:tr>
            <w:tr w14:paraId="0E058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continue"/>
                  <w:vAlign w:val="center"/>
                </w:tcPr>
                <w:p w14:paraId="1EDA67AD">
                  <w:pPr>
                    <w:contextualSpacing/>
                    <w:jc w:val="center"/>
                    <w:rPr>
                      <w:bCs/>
                      <w:szCs w:val="21"/>
                    </w:rPr>
                  </w:pPr>
                </w:p>
              </w:tc>
              <w:tc>
                <w:tcPr>
                  <w:tcW w:w="717" w:type="pct"/>
                  <w:vAlign w:val="center"/>
                </w:tcPr>
                <w:p w14:paraId="7373FC92">
                  <w:pPr>
                    <w:contextualSpacing/>
                    <w:jc w:val="center"/>
                    <w:rPr>
                      <w:kern w:val="0"/>
                      <w:szCs w:val="21"/>
                    </w:rPr>
                  </w:pPr>
                  <w:r>
                    <w:rPr>
                      <w:rFonts w:hint="eastAsia"/>
                      <w:kern w:val="0"/>
                      <w:szCs w:val="21"/>
                    </w:rPr>
                    <w:t>盛庄村</w:t>
                  </w:r>
                </w:p>
              </w:tc>
              <w:tc>
                <w:tcPr>
                  <w:tcW w:w="656" w:type="pct"/>
                  <w:vAlign w:val="center"/>
                </w:tcPr>
                <w:p w14:paraId="1644AA77">
                  <w:pPr>
                    <w:contextualSpacing/>
                    <w:jc w:val="center"/>
                    <w:rPr>
                      <w:szCs w:val="21"/>
                    </w:rPr>
                  </w:pPr>
                  <w:r>
                    <w:rPr>
                      <w:szCs w:val="21"/>
                    </w:rPr>
                    <w:t>SW</w:t>
                  </w:r>
                </w:p>
              </w:tc>
              <w:tc>
                <w:tcPr>
                  <w:tcW w:w="627" w:type="pct"/>
                  <w:vAlign w:val="center"/>
                </w:tcPr>
                <w:p w14:paraId="2AD99FC9">
                  <w:pPr>
                    <w:contextualSpacing/>
                    <w:jc w:val="center"/>
                    <w:rPr>
                      <w:kern w:val="0"/>
                      <w:szCs w:val="21"/>
                    </w:rPr>
                  </w:pPr>
                  <w:r>
                    <w:rPr>
                      <w:rFonts w:hint="eastAsia"/>
                      <w:kern w:val="0"/>
                      <w:szCs w:val="21"/>
                    </w:rPr>
                    <w:t>2</w:t>
                  </w:r>
                  <w:r>
                    <w:rPr>
                      <w:kern w:val="0"/>
                      <w:szCs w:val="21"/>
                    </w:rPr>
                    <w:t>04m</w:t>
                  </w:r>
                </w:p>
              </w:tc>
              <w:tc>
                <w:tcPr>
                  <w:tcW w:w="2351" w:type="pct"/>
                  <w:vMerge w:val="continue"/>
                  <w:vAlign w:val="center"/>
                </w:tcPr>
                <w:p w14:paraId="0C932192">
                  <w:pPr>
                    <w:contextualSpacing/>
                    <w:jc w:val="center"/>
                    <w:rPr>
                      <w:bCs/>
                      <w:szCs w:val="21"/>
                    </w:rPr>
                  </w:pPr>
                </w:p>
              </w:tc>
            </w:tr>
            <w:tr w14:paraId="1EE64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4CB2AB14">
                  <w:pPr>
                    <w:spacing w:after="120"/>
                    <w:jc w:val="center"/>
                    <w:rPr>
                      <w:bCs/>
                      <w:szCs w:val="21"/>
                    </w:rPr>
                  </w:pPr>
                  <w:r>
                    <w:rPr>
                      <w:bCs/>
                      <w:szCs w:val="21"/>
                    </w:rPr>
                    <w:t>声环境</w:t>
                  </w:r>
                </w:p>
              </w:tc>
              <w:tc>
                <w:tcPr>
                  <w:tcW w:w="2000" w:type="pct"/>
                  <w:gridSpan w:val="3"/>
                  <w:vAlign w:val="center"/>
                </w:tcPr>
                <w:p w14:paraId="7F36F5A0">
                  <w:pPr>
                    <w:contextualSpacing/>
                    <w:jc w:val="center"/>
                    <w:rPr>
                      <w:kern w:val="0"/>
                      <w:szCs w:val="21"/>
                    </w:rPr>
                  </w:pPr>
                  <w:r>
                    <w:rPr>
                      <w:szCs w:val="21"/>
                    </w:rPr>
                    <w:t>项目厂区50米范围内无敏感保护目标</w:t>
                  </w:r>
                </w:p>
              </w:tc>
              <w:tc>
                <w:tcPr>
                  <w:tcW w:w="2351" w:type="pct"/>
                  <w:vAlign w:val="center"/>
                </w:tcPr>
                <w:p w14:paraId="5A1AA5FC">
                  <w:pPr>
                    <w:contextualSpacing/>
                    <w:jc w:val="center"/>
                    <w:rPr>
                      <w:bCs/>
                      <w:szCs w:val="21"/>
                    </w:rPr>
                  </w:pPr>
                  <w:r>
                    <w:rPr>
                      <w:bCs/>
                      <w:szCs w:val="21"/>
                    </w:rPr>
                    <w:t>《声环境质量标准》（GB3096-2008）2类标准</w:t>
                  </w:r>
                </w:p>
              </w:tc>
            </w:tr>
            <w:tr w14:paraId="4F137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49" w:type="pct"/>
                  <w:vAlign w:val="center"/>
                </w:tcPr>
                <w:p w14:paraId="6A748E47">
                  <w:pPr>
                    <w:spacing w:after="120"/>
                    <w:jc w:val="center"/>
                    <w:rPr>
                      <w:bCs/>
                      <w:szCs w:val="21"/>
                    </w:rPr>
                  </w:pPr>
                  <w:r>
                    <w:rPr>
                      <w:bCs/>
                      <w:szCs w:val="21"/>
                    </w:rPr>
                    <w:t>地下水环境</w:t>
                  </w:r>
                </w:p>
              </w:tc>
              <w:tc>
                <w:tcPr>
                  <w:tcW w:w="2000" w:type="pct"/>
                  <w:gridSpan w:val="3"/>
                  <w:vAlign w:val="center"/>
                </w:tcPr>
                <w:p w14:paraId="74B2DD15">
                  <w:pPr>
                    <w:jc w:val="center"/>
                    <w:rPr>
                      <w:bCs/>
                      <w:szCs w:val="21"/>
                    </w:rPr>
                  </w:pPr>
                  <w:r>
                    <w:rPr>
                      <w:szCs w:val="21"/>
                    </w:rPr>
                    <w:t>项目厂界外500m范围内无地下水集中式饮用水源和热水、矿泉水、温泉等特殊地下水资源</w:t>
                  </w:r>
                </w:p>
              </w:tc>
              <w:tc>
                <w:tcPr>
                  <w:tcW w:w="2351" w:type="pct"/>
                  <w:vAlign w:val="center"/>
                </w:tcPr>
                <w:p w14:paraId="76EA485E">
                  <w:pPr>
                    <w:contextualSpacing/>
                    <w:jc w:val="center"/>
                    <w:rPr>
                      <w:bCs/>
                      <w:szCs w:val="21"/>
                    </w:rPr>
                  </w:pPr>
                  <w:r>
                    <w:rPr>
                      <w:bCs/>
                      <w:szCs w:val="21"/>
                    </w:rPr>
                    <w:t>《地下水质量标准》（GB/T14848-2017）Ⅲ类标准</w:t>
                  </w:r>
                </w:p>
              </w:tc>
            </w:tr>
            <w:tr w14:paraId="65E8F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77258DD5">
                  <w:pPr>
                    <w:spacing w:after="120"/>
                    <w:jc w:val="center"/>
                    <w:rPr>
                      <w:bCs/>
                      <w:szCs w:val="21"/>
                    </w:rPr>
                  </w:pPr>
                  <w:r>
                    <w:rPr>
                      <w:bCs/>
                      <w:szCs w:val="21"/>
                    </w:rPr>
                    <w:t>生态环境</w:t>
                  </w:r>
                </w:p>
              </w:tc>
              <w:tc>
                <w:tcPr>
                  <w:tcW w:w="4351" w:type="pct"/>
                  <w:gridSpan w:val="4"/>
                  <w:vAlign w:val="center"/>
                </w:tcPr>
                <w:p w14:paraId="5A512C9E">
                  <w:pPr>
                    <w:spacing w:after="120"/>
                    <w:jc w:val="center"/>
                    <w:rPr>
                      <w:bCs/>
                      <w:szCs w:val="21"/>
                    </w:rPr>
                  </w:pPr>
                  <w:r>
                    <w:rPr>
                      <w:bCs/>
                      <w:szCs w:val="21"/>
                    </w:rPr>
                    <w:t>项目不属于产业园区外新增用地项目</w:t>
                  </w:r>
                </w:p>
              </w:tc>
            </w:tr>
          </w:tbl>
          <w:p w14:paraId="5607BED0">
            <w:pPr>
              <w:spacing w:line="100" w:lineRule="exact"/>
              <w:rPr>
                <w:kern w:val="0"/>
                <w:sz w:val="24"/>
              </w:rPr>
            </w:pPr>
          </w:p>
        </w:tc>
      </w:tr>
      <w:tr w14:paraId="350E9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79" w:hRule="atLeast"/>
          <w:jc w:val="center"/>
        </w:trPr>
        <w:tc>
          <w:tcPr>
            <w:tcW w:w="590" w:type="dxa"/>
            <w:tcMar>
              <w:left w:w="28" w:type="dxa"/>
              <w:right w:w="28" w:type="dxa"/>
            </w:tcMar>
            <w:vAlign w:val="center"/>
          </w:tcPr>
          <w:p w14:paraId="31D6601D">
            <w:pPr>
              <w:adjustRightInd w:val="0"/>
              <w:snapToGrid w:val="0"/>
              <w:jc w:val="center"/>
              <w:rPr>
                <w:kern w:val="0"/>
                <w:sz w:val="24"/>
              </w:rPr>
            </w:pPr>
            <w:r>
              <w:rPr>
                <w:kern w:val="0"/>
                <w:sz w:val="24"/>
              </w:rPr>
              <w:t>污</w:t>
            </w:r>
          </w:p>
          <w:p w14:paraId="4EFDDB49">
            <w:pPr>
              <w:adjustRightInd w:val="0"/>
              <w:snapToGrid w:val="0"/>
              <w:jc w:val="center"/>
              <w:rPr>
                <w:kern w:val="0"/>
                <w:sz w:val="24"/>
              </w:rPr>
            </w:pPr>
            <w:r>
              <w:rPr>
                <w:kern w:val="0"/>
                <w:sz w:val="24"/>
              </w:rPr>
              <w:t>染</w:t>
            </w:r>
          </w:p>
          <w:p w14:paraId="78943BCE">
            <w:pPr>
              <w:adjustRightInd w:val="0"/>
              <w:snapToGrid w:val="0"/>
              <w:jc w:val="center"/>
              <w:rPr>
                <w:kern w:val="0"/>
                <w:sz w:val="24"/>
              </w:rPr>
            </w:pPr>
            <w:r>
              <w:rPr>
                <w:kern w:val="0"/>
                <w:sz w:val="24"/>
              </w:rPr>
              <w:t>物</w:t>
            </w:r>
          </w:p>
          <w:p w14:paraId="101AD2F7">
            <w:pPr>
              <w:adjustRightInd w:val="0"/>
              <w:snapToGrid w:val="0"/>
              <w:jc w:val="center"/>
              <w:rPr>
                <w:kern w:val="0"/>
                <w:sz w:val="24"/>
              </w:rPr>
            </w:pPr>
            <w:r>
              <w:rPr>
                <w:kern w:val="0"/>
                <w:sz w:val="24"/>
              </w:rPr>
              <w:t>排</w:t>
            </w:r>
          </w:p>
          <w:p w14:paraId="59299890">
            <w:pPr>
              <w:adjustRightInd w:val="0"/>
              <w:snapToGrid w:val="0"/>
              <w:jc w:val="center"/>
              <w:rPr>
                <w:kern w:val="0"/>
                <w:sz w:val="24"/>
              </w:rPr>
            </w:pPr>
            <w:r>
              <w:rPr>
                <w:kern w:val="0"/>
                <w:sz w:val="24"/>
              </w:rPr>
              <w:t>放</w:t>
            </w:r>
          </w:p>
          <w:p w14:paraId="7B04749B">
            <w:pPr>
              <w:adjustRightInd w:val="0"/>
              <w:snapToGrid w:val="0"/>
              <w:jc w:val="center"/>
              <w:rPr>
                <w:kern w:val="0"/>
                <w:sz w:val="24"/>
              </w:rPr>
            </w:pPr>
            <w:r>
              <w:rPr>
                <w:kern w:val="0"/>
                <w:sz w:val="24"/>
              </w:rPr>
              <w:t>控</w:t>
            </w:r>
          </w:p>
          <w:p w14:paraId="4810D93A">
            <w:pPr>
              <w:adjustRightInd w:val="0"/>
              <w:snapToGrid w:val="0"/>
              <w:jc w:val="center"/>
              <w:rPr>
                <w:kern w:val="0"/>
                <w:sz w:val="24"/>
              </w:rPr>
            </w:pPr>
            <w:r>
              <w:rPr>
                <w:kern w:val="0"/>
                <w:sz w:val="24"/>
              </w:rPr>
              <w:t>制</w:t>
            </w:r>
          </w:p>
          <w:p w14:paraId="63DF9ADF">
            <w:pPr>
              <w:adjustRightInd w:val="0"/>
              <w:snapToGrid w:val="0"/>
              <w:jc w:val="center"/>
              <w:rPr>
                <w:kern w:val="0"/>
                <w:sz w:val="24"/>
              </w:rPr>
            </w:pPr>
            <w:r>
              <w:rPr>
                <w:kern w:val="0"/>
                <w:sz w:val="24"/>
              </w:rPr>
              <w:t>标</w:t>
            </w:r>
          </w:p>
          <w:p w14:paraId="1BEB1112">
            <w:pPr>
              <w:adjustRightInd w:val="0"/>
              <w:snapToGrid w:val="0"/>
              <w:jc w:val="center"/>
              <w:rPr>
                <w:kern w:val="0"/>
                <w:sz w:val="24"/>
                <w:highlight w:val="yellow"/>
              </w:rPr>
            </w:pPr>
            <w:r>
              <w:rPr>
                <w:kern w:val="0"/>
                <w:sz w:val="24"/>
              </w:rPr>
              <w:t>准</w:t>
            </w:r>
          </w:p>
        </w:tc>
        <w:tc>
          <w:tcPr>
            <w:tcW w:w="8471" w:type="dxa"/>
            <w:vAlign w:val="center"/>
          </w:tcPr>
          <w:p w14:paraId="42D67696">
            <w:pPr>
              <w:spacing w:line="360" w:lineRule="auto"/>
              <w:ind w:firstLine="482" w:firstLineChars="200"/>
              <w:rPr>
                <w:b/>
                <w:sz w:val="24"/>
              </w:rPr>
            </w:pPr>
            <w:r>
              <w:rPr>
                <w:b/>
                <w:sz w:val="24"/>
              </w:rPr>
              <w:t>1、废气排放标准</w:t>
            </w:r>
          </w:p>
          <w:p w14:paraId="06DD19FD">
            <w:pPr>
              <w:tabs>
                <w:tab w:val="left" w:pos="0"/>
              </w:tabs>
              <w:spacing w:line="360" w:lineRule="auto"/>
              <w:ind w:firstLine="480" w:firstLineChars="200"/>
              <w:rPr>
                <w:sz w:val="24"/>
              </w:rPr>
            </w:pPr>
            <w:r>
              <w:rPr>
                <w:sz w:val="24"/>
              </w:rPr>
              <w:t>施工期废气执行《大气污染物综合排放标准》（GB16297-1996）表2无组织排放限值要求；</w:t>
            </w:r>
          </w:p>
          <w:p w14:paraId="3FD0B1A7">
            <w:pPr>
              <w:tabs>
                <w:tab w:val="left" w:pos="0"/>
              </w:tabs>
              <w:spacing w:line="360" w:lineRule="auto"/>
              <w:ind w:firstLine="480" w:firstLineChars="200"/>
            </w:pPr>
            <w:r>
              <w:rPr>
                <w:sz w:val="24"/>
              </w:rPr>
              <w:t>运营期颗粒物有组织排放执行</w:t>
            </w:r>
            <w:r>
              <w:rPr>
                <w:bCs/>
                <w:sz w:val="24"/>
              </w:rPr>
              <w:t>《区域性大气污染物综合排放标准》（DB37/2376-2019）表1一般控制区排放浓度限值要求和《大气污染物综合排放标准》（GB16297-1996）表2二级排放标准限值的要求</w:t>
            </w:r>
            <w:r>
              <w:rPr>
                <w:sz w:val="24"/>
              </w:rPr>
              <w:t>；</w:t>
            </w:r>
            <w:r>
              <w:rPr>
                <w:rFonts w:hint="eastAsia"/>
                <w:sz w:val="24"/>
              </w:rPr>
              <w:t>颗粒物无</w:t>
            </w:r>
            <w:r>
              <w:rPr>
                <w:sz w:val="24"/>
              </w:rPr>
              <w:t>组织排放执行</w:t>
            </w:r>
            <w:r>
              <w:rPr>
                <w:bCs/>
                <w:sz w:val="24"/>
              </w:rPr>
              <w:t>《大气污染物综合排放标准》（GB16297-1996）表2中无组织排放监控浓度限值要求</w:t>
            </w:r>
            <w:r>
              <w:rPr>
                <w:rFonts w:hint="eastAsia"/>
                <w:bCs/>
                <w:sz w:val="24"/>
              </w:rPr>
              <w:t>。</w:t>
            </w:r>
            <w:r>
              <w:t xml:space="preserve"> </w:t>
            </w:r>
          </w:p>
          <w:p w14:paraId="58C586DD">
            <w:pPr>
              <w:tabs>
                <w:tab w:val="left" w:pos="0"/>
              </w:tabs>
              <w:spacing w:line="360" w:lineRule="auto"/>
              <w:ind w:firstLine="480" w:firstLineChars="200"/>
              <w:rPr>
                <w:sz w:val="24"/>
              </w:rPr>
            </w:pPr>
            <w:r>
              <w:rPr>
                <w:bCs/>
                <w:sz w:val="24"/>
              </w:rPr>
              <w:t>VOCs有组织排放执行</w:t>
            </w:r>
            <w:bookmarkStart w:id="158" w:name="OLE_LINK175"/>
            <w:bookmarkStart w:id="159" w:name="OLE_LINK174"/>
            <w:r>
              <w:rPr>
                <w:sz w:val="24"/>
              </w:rPr>
              <w:t>《挥发性有机物排放标准 第5部分：表面涂装行业》(DB37/2801.5-2018)</w:t>
            </w:r>
            <w:bookmarkEnd w:id="158"/>
            <w:bookmarkEnd w:id="159"/>
            <w:r>
              <w:rPr>
                <w:sz w:val="24"/>
              </w:rPr>
              <w:t>表2中</w:t>
            </w:r>
            <w:r>
              <w:rPr>
                <w:rFonts w:hint="eastAsia"/>
                <w:sz w:val="24"/>
              </w:rPr>
              <w:t>集装箱及金属包装容器制造(C333)</w:t>
            </w:r>
            <w:r>
              <w:rPr>
                <w:sz w:val="24"/>
              </w:rPr>
              <w:t>的标准要求（70</w:t>
            </w:r>
            <w:r>
              <w:rPr>
                <w:bCs/>
                <w:sz w:val="24"/>
              </w:rPr>
              <w:t>mg/m</w:t>
            </w:r>
            <w:r>
              <w:rPr>
                <w:bCs/>
                <w:sz w:val="24"/>
                <w:vertAlign w:val="superscript"/>
              </w:rPr>
              <w:t>3</w:t>
            </w:r>
            <w:r>
              <w:rPr>
                <w:bCs/>
                <w:sz w:val="24"/>
              </w:rPr>
              <w:t>、2.4kg/h</w:t>
            </w:r>
            <w:r>
              <w:rPr>
                <w:sz w:val="24"/>
              </w:rPr>
              <w:t>）</w:t>
            </w:r>
            <w:r>
              <w:rPr>
                <w:bCs/>
                <w:sz w:val="24"/>
              </w:rPr>
              <w:t>；无组织排放执行</w:t>
            </w:r>
            <w:r>
              <w:rPr>
                <w:sz w:val="24"/>
              </w:rPr>
              <w:t>《挥发性有机物排放标准 第5部分：表面涂装行业》(DB37/2801.5-2018) 表3中浓度限值要求</w:t>
            </w:r>
            <w:r>
              <w:rPr>
                <w:bCs/>
                <w:sz w:val="24"/>
              </w:rPr>
              <w:t>（VOCs≤2.0mg/m</w:t>
            </w:r>
            <w:r>
              <w:rPr>
                <w:bCs/>
                <w:sz w:val="24"/>
                <w:vertAlign w:val="superscript"/>
              </w:rPr>
              <w:t>3</w:t>
            </w:r>
            <w:r>
              <w:rPr>
                <w:bCs/>
                <w:sz w:val="24"/>
              </w:rPr>
              <w:t>）；厂区内VOCs无组织排放满足《挥发性有机物无组织排放控制标准》（GB37822-2019）附录A中表A.1的要求（1h平均浓度值：6mg/m</w:t>
            </w:r>
            <w:r>
              <w:rPr>
                <w:bCs/>
                <w:sz w:val="24"/>
                <w:vertAlign w:val="superscript"/>
              </w:rPr>
              <w:t>3</w:t>
            </w:r>
            <w:r>
              <w:rPr>
                <w:bCs/>
                <w:sz w:val="24"/>
              </w:rPr>
              <w:t>、任意一次浓度值：20mg/m</w:t>
            </w:r>
            <w:r>
              <w:rPr>
                <w:bCs/>
                <w:sz w:val="24"/>
                <w:vertAlign w:val="superscript"/>
              </w:rPr>
              <w:t>3</w:t>
            </w:r>
            <w:r>
              <w:rPr>
                <w:bCs/>
                <w:sz w:val="24"/>
              </w:rPr>
              <w:t>）。</w:t>
            </w:r>
          </w:p>
          <w:p w14:paraId="4D784321">
            <w:pPr>
              <w:pStyle w:val="23"/>
              <w:spacing w:before="0" w:line="240" w:lineRule="auto"/>
              <w:ind w:right="0" w:firstLine="482"/>
              <w:jc w:val="center"/>
              <w:rPr>
                <w:rFonts w:ascii="Times New Roman" w:hAnsi="Times New Roman"/>
                <w:b/>
                <w:color w:val="auto"/>
              </w:rPr>
            </w:pPr>
            <w:r>
              <w:rPr>
                <w:rFonts w:ascii="Times New Roman" w:hAnsi="Times New Roman"/>
                <w:b/>
                <w:color w:val="auto"/>
              </w:rPr>
              <w:t>表23本项目废气污染物排放限值</w:t>
            </w:r>
          </w:p>
          <w:tbl>
            <w:tblPr>
              <w:tblStyle w:val="25"/>
              <w:tblW w:w="8272"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1544"/>
              <w:gridCol w:w="785"/>
              <w:gridCol w:w="1153"/>
              <w:gridCol w:w="2043"/>
              <w:gridCol w:w="1529"/>
            </w:tblGrid>
            <w:tr w14:paraId="2D82B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218" w:type="dxa"/>
                  <w:shd w:val="clear" w:color="auto" w:fill="auto"/>
                  <w:vAlign w:val="center"/>
                </w:tcPr>
                <w:p w14:paraId="0B619BE8">
                  <w:pPr>
                    <w:spacing w:line="340" w:lineRule="exact"/>
                    <w:contextualSpacing/>
                    <w:jc w:val="center"/>
                    <w:rPr>
                      <w:spacing w:val="-4"/>
                    </w:rPr>
                  </w:pPr>
                  <w:r>
                    <w:rPr>
                      <w:spacing w:val="-4"/>
                    </w:rPr>
                    <w:t>名称</w:t>
                  </w:r>
                </w:p>
              </w:tc>
              <w:tc>
                <w:tcPr>
                  <w:tcW w:w="1544" w:type="dxa"/>
                  <w:shd w:val="clear" w:color="auto" w:fill="auto"/>
                  <w:vAlign w:val="center"/>
                </w:tcPr>
                <w:p w14:paraId="332A9A44">
                  <w:pPr>
                    <w:spacing w:line="340" w:lineRule="exact"/>
                    <w:contextualSpacing/>
                    <w:jc w:val="center"/>
                    <w:rPr>
                      <w:spacing w:val="-4"/>
                    </w:rPr>
                  </w:pPr>
                  <w:r>
                    <w:rPr>
                      <w:spacing w:val="-4"/>
                    </w:rPr>
                    <w:t>排放形式</w:t>
                  </w:r>
                </w:p>
              </w:tc>
              <w:tc>
                <w:tcPr>
                  <w:tcW w:w="785" w:type="dxa"/>
                  <w:shd w:val="clear" w:color="auto" w:fill="auto"/>
                  <w:vAlign w:val="center"/>
                </w:tcPr>
                <w:p w14:paraId="4511AE37">
                  <w:pPr>
                    <w:spacing w:line="340" w:lineRule="exact"/>
                    <w:contextualSpacing/>
                    <w:jc w:val="center"/>
                    <w:rPr>
                      <w:spacing w:val="-4"/>
                    </w:rPr>
                  </w:pPr>
                  <w:r>
                    <w:rPr>
                      <w:spacing w:val="-4"/>
                    </w:rPr>
                    <w:t>排放浓度</w:t>
                  </w:r>
                </w:p>
                <w:p w14:paraId="05EA0ABF">
                  <w:pPr>
                    <w:spacing w:line="340" w:lineRule="exact"/>
                    <w:contextualSpacing/>
                    <w:jc w:val="center"/>
                    <w:rPr>
                      <w:spacing w:val="-4"/>
                    </w:rPr>
                  </w:pPr>
                  <w:r>
                    <w:rPr>
                      <w:szCs w:val="21"/>
                    </w:rPr>
                    <w:t>mg/m</w:t>
                  </w:r>
                  <w:r>
                    <w:rPr>
                      <w:szCs w:val="21"/>
                      <w:vertAlign w:val="superscript"/>
                    </w:rPr>
                    <w:t>3</w:t>
                  </w:r>
                </w:p>
              </w:tc>
              <w:tc>
                <w:tcPr>
                  <w:tcW w:w="1153" w:type="dxa"/>
                  <w:shd w:val="clear" w:color="auto" w:fill="auto"/>
                  <w:vAlign w:val="center"/>
                </w:tcPr>
                <w:p w14:paraId="4CE9E8BD">
                  <w:pPr>
                    <w:spacing w:line="340" w:lineRule="exact"/>
                    <w:contextualSpacing/>
                    <w:jc w:val="center"/>
                    <w:rPr>
                      <w:spacing w:val="-4"/>
                    </w:rPr>
                  </w:pPr>
                  <w:r>
                    <w:rPr>
                      <w:spacing w:val="-4"/>
                    </w:rPr>
                    <w:t>排放速率</w:t>
                  </w:r>
                </w:p>
                <w:p w14:paraId="4799B215">
                  <w:pPr>
                    <w:spacing w:line="340" w:lineRule="exact"/>
                    <w:contextualSpacing/>
                    <w:jc w:val="center"/>
                    <w:rPr>
                      <w:spacing w:val="-4"/>
                    </w:rPr>
                  </w:pPr>
                  <w:r>
                    <w:rPr>
                      <w:szCs w:val="21"/>
                    </w:rPr>
                    <w:t>kg/h</w:t>
                  </w:r>
                </w:p>
              </w:tc>
              <w:tc>
                <w:tcPr>
                  <w:tcW w:w="2043" w:type="dxa"/>
                  <w:shd w:val="clear" w:color="auto" w:fill="auto"/>
                  <w:vAlign w:val="center"/>
                </w:tcPr>
                <w:p w14:paraId="2329B08B">
                  <w:pPr>
                    <w:spacing w:line="340" w:lineRule="exact"/>
                    <w:contextualSpacing/>
                    <w:jc w:val="center"/>
                    <w:rPr>
                      <w:spacing w:val="-4"/>
                    </w:rPr>
                  </w:pPr>
                  <w:r>
                    <w:rPr>
                      <w:spacing w:val="-4"/>
                    </w:rPr>
                    <w:t>厂界浓度</w:t>
                  </w:r>
                </w:p>
                <w:p w14:paraId="35DA6FCF">
                  <w:pPr>
                    <w:spacing w:line="340" w:lineRule="exact"/>
                    <w:contextualSpacing/>
                    <w:jc w:val="center"/>
                    <w:rPr>
                      <w:spacing w:val="-4"/>
                    </w:rPr>
                  </w:pPr>
                  <w:r>
                    <w:rPr>
                      <w:szCs w:val="21"/>
                    </w:rPr>
                    <w:t>mg/m</w:t>
                  </w:r>
                  <w:r>
                    <w:rPr>
                      <w:szCs w:val="21"/>
                      <w:vertAlign w:val="superscript"/>
                    </w:rPr>
                    <w:t>3</w:t>
                  </w:r>
                </w:p>
              </w:tc>
              <w:tc>
                <w:tcPr>
                  <w:tcW w:w="1529" w:type="dxa"/>
                  <w:shd w:val="clear" w:color="auto" w:fill="auto"/>
                  <w:vAlign w:val="center"/>
                </w:tcPr>
                <w:p w14:paraId="141F1CB1">
                  <w:pPr>
                    <w:spacing w:line="340" w:lineRule="exact"/>
                    <w:contextualSpacing/>
                    <w:jc w:val="center"/>
                    <w:rPr>
                      <w:spacing w:val="-4"/>
                    </w:rPr>
                  </w:pPr>
                  <w:r>
                    <w:rPr>
                      <w:spacing w:val="-4"/>
                    </w:rPr>
                    <w:t>备注</w:t>
                  </w:r>
                </w:p>
              </w:tc>
            </w:tr>
            <w:tr w14:paraId="75059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vMerge w:val="restart"/>
                  <w:shd w:val="clear" w:color="auto" w:fill="auto"/>
                  <w:vAlign w:val="center"/>
                </w:tcPr>
                <w:p w14:paraId="572C7C16">
                  <w:pPr>
                    <w:spacing w:line="340" w:lineRule="exact"/>
                    <w:contextualSpacing/>
                    <w:jc w:val="center"/>
                    <w:rPr>
                      <w:spacing w:val="-4"/>
                    </w:rPr>
                  </w:pPr>
                  <w:r>
                    <w:rPr>
                      <w:szCs w:val="21"/>
                    </w:rPr>
                    <w:t>VOCs</w:t>
                  </w:r>
                </w:p>
              </w:tc>
              <w:tc>
                <w:tcPr>
                  <w:tcW w:w="1544" w:type="dxa"/>
                  <w:shd w:val="clear" w:color="auto" w:fill="auto"/>
                  <w:vAlign w:val="center"/>
                </w:tcPr>
                <w:p w14:paraId="3320E1EB">
                  <w:pPr>
                    <w:spacing w:line="340" w:lineRule="exact"/>
                    <w:contextualSpacing/>
                    <w:jc w:val="center"/>
                    <w:rPr>
                      <w:spacing w:val="-4"/>
                    </w:rPr>
                  </w:pPr>
                  <w:r>
                    <w:rPr>
                      <w:spacing w:val="-4"/>
                    </w:rPr>
                    <w:t>有组织</w:t>
                  </w:r>
                </w:p>
              </w:tc>
              <w:tc>
                <w:tcPr>
                  <w:tcW w:w="785" w:type="dxa"/>
                  <w:shd w:val="clear" w:color="auto" w:fill="auto"/>
                  <w:vAlign w:val="center"/>
                </w:tcPr>
                <w:p w14:paraId="4FDD6685">
                  <w:pPr>
                    <w:spacing w:line="340" w:lineRule="exact"/>
                    <w:contextualSpacing/>
                    <w:jc w:val="center"/>
                    <w:rPr>
                      <w:spacing w:val="-4"/>
                    </w:rPr>
                  </w:pPr>
                  <w:r>
                    <w:rPr>
                      <w:spacing w:val="-4"/>
                    </w:rPr>
                    <w:t>70</w:t>
                  </w:r>
                </w:p>
              </w:tc>
              <w:tc>
                <w:tcPr>
                  <w:tcW w:w="1153" w:type="dxa"/>
                  <w:shd w:val="clear" w:color="auto" w:fill="auto"/>
                  <w:vAlign w:val="center"/>
                </w:tcPr>
                <w:p w14:paraId="7C507AF4">
                  <w:pPr>
                    <w:spacing w:line="340" w:lineRule="exact"/>
                    <w:contextualSpacing/>
                    <w:jc w:val="center"/>
                    <w:rPr>
                      <w:spacing w:val="-4"/>
                    </w:rPr>
                  </w:pPr>
                  <w:r>
                    <w:rPr>
                      <w:spacing w:val="-4"/>
                    </w:rPr>
                    <w:t>2.4</w:t>
                  </w:r>
                </w:p>
              </w:tc>
              <w:tc>
                <w:tcPr>
                  <w:tcW w:w="2043" w:type="dxa"/>
                  <w:shd w:val="clear" w:color="auto" w:fill="auto"/>
                  <w:vAlign w:val="center"/>
                </w:tcPr>
                <w:p w14:paraId="44E3A891">
                  <w:pPr>
                    <w:spacing w:line="340" w:lineRule="exact"/>
                    <w:contextualSpacing/>
                    <w:jc w:val="center"/>
                    <w:rPr>
                      <w:spacing w:val="-4"/>
                    </w:rPr>
                  </w:pPr>
                  <w:r>
                    <w:rPr>
                      <w:spacing w:val="-4"/>
                    </w:rPr>
                    <w:t>/</w:t>
                  </w:r>
                </w:p>
              </w:tc>
              <w:tc>
                <w:tcPr>
                  <w:tcW w:w="1529" w:type="dxa"/>
                  <w:vMerge w:val="restart"/>
                  <w:shd w:val="clear" w:color="auto" w:fill="auto"/>
                  <w:vAlign w:val="center"/>
                </w:tcPr>
                <w:p w14:paraId="2328BC59">
                  <w:pPr>
                    <w:spacing w:line="340" w:lineRule="exact"/>
                    <w:contextualSpacing/>
                    <w:jc w:val="center"/>
                    <w:rPr>
                      <w:spacing w:val="-4"/>
                    </w:rPr>
                  </w:pPr>
                  <w:r>
                    <w:rPr>
                      <w:spacing w:val="-4"/>
                    </w:rPr>
                    <w:t>排气筒高度15m</w:t>
                  </w:r>
                </w:p>
              </w:tc>
            </w:tr>
            <w:tr w14:paraId="47F32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vMerge w:val="continue"/>
                  <w:shd w:val="clear" w:color="auto" w:fill="auto"/>
                  <w:vAlign w:val="center"/>
                </w:tcPr>
                <w:p w14:paraId="3417F3B6">
                  <w:pPr>
                    <w:spacing w:line="340" w:lineRule="exact"/>
                    <w:contextualSpacing/>
                    <w:jc w:val="center"/>
                    <w:rPr>
                      <w:spacing w:val="-4"/>
                    </w:rPr>
                  </w:pPr>
                </w:p>
              </w:tc>
              <w:tc>
                <w:tcPr>
                  <w:tcW w:w="1544" w:type="dxa"/>
                  <w:vMerge w:val="restart"/>
                  <w:shd w:val="clear" w:color="auto" w:fill="auto"/>
                  <w:vAlign w:val="center"/>
                </w:tcPr>
                <w:p w14:paraId="0022444E">
                  <w:pPr>
                    <w:spacing w:line="340" w:lineRule="exact"/>
                    <w:contextualSpacing/>
                    <w:jc w:val="center"/>
                    <w:rPr>
                      <w:spacing w:val="-4"/>
                    </w:rPr>
                  </w:pPr>
                  <w:r>
                    <w:rPr>
                      <w:spacing w:val="-4"/>
                    </w:rPr>
                    <w:t>无组织</w:t>
                  </w:r>
                </w:p>
              </w:tc>
              <w:tc>
                <w:tcPr>
                  <w:tcW w:w="785" w:type="dxa"/>
                  <w:shd w:val="clear" w:color="auto" w:fill="auto"/>
                  <w:vAlign w:val="center"/>
                </w:tcPr>
                <w:p w14:paraId="438EE38C">
                  <w:pPr>
                    <w:spacing w:line="340" w:lineRule="exact"/>
                    <w:contextualSpacing/>
                    <w:jc w:val="center"/>
                    <w:rPr>
                      <w:spacing w:val="-4"/>
                    </w:rPr>
                  </w:pPr>
                  <w:r>
                    <w:rPr>
                      <w:spacing w:val="-4"/>
                    </w:rPr>
                    <w:t>/</w:t>
                  </w:r>
                </w:p>
              </w:tc>
              <w:tc>
                <w:tcPr>
                  <w:tcW w:w="1153" w:type="dxa"/>
                  <w:shd w:val="clear" w:color="auto" w:fill="auto"/>
                  <w:vAlign w:val="center"/>
                </w:tcPr>
                <w:p w14:paraId="0F44F5EC">
                  <w:pPr>
                    <w:spacing w:line="340" w:lineRule="exact"/>
                    <w:contextualSpacing/>
                    <w:jc w:val="center"/>
                    <w:rPr>
                      <w:spacing w:val="-4"/>
                    </w:rPr>
                  </w:pPr>
                  <w:r>
                    <w:rPr>
                      <w:spacing w:val="-4"/>
                    </w:rPr>
                    <w:t>/</w:t>
                  </w:r>
                </w:p>
              </w:tc>
              <w:tc>
                <w:tcPr>
                  <w:tcW w:w="2043" w:type="dxa"/>
                  <w:shd w:val="clear" w:color="auto" w:fill="auto"/>
                  <w:vAlign w:val="center"/>
                </w:tcPr>
                <w:p w14:paraId="5D0BD690">
                  <w:pPr>
                    <w:spacing w:line="340" w:lineRule="exact"/>
                    <w:contextualSpacing/>
                    <w:jc w:val="center"/>
                    <w:rPr>
                      <w:spacing w:val="-4"/>
                    </w:rPr>
                  </w:pPr>
                  <w:r>
                    <w:rPr>
                      <w:spacing w:val="-4"/>
                    </w:rPr>
                    <w:t>2.0</w:t>
                  </w:r>
                </w:p>
              </w:tc>
              <w:tc>
                <w:tcPr>
                  <w:tcW w:w="1529" w:type="dxa"/>
                  <w:vMerge w:val="continue"/>
                  <w:shd w:val="clear" w:color="auto" w:fill="auto"/>
                  <w:vAlign w:val="center"/>
                </w:tcPr>
                <w:p w14:paraId="4F081478">
                  <w:pPr>
                    <w:spacing w:line="340" w:lineRule="exact"/>
                    <w:contextualSpacing/>
                    <w:jc w:val="center"/>
                    <w:rPr>
                      <w:spacing w:val="-4"/>
                    </w:rPr>
                  </w:pPr>
                </w:p>
              </w:tc>
            </w:tr>
            <w:tr w14:paraId="711B9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8" w:type="dxa"/>
                  <w:vMerge w:val="continue"/>
                  <w:shd w:val="clear" w:color="auto" w:fill="auto"/>
                  <w:vAlign w:val="center"/>
                </w:tcPr>
                <w:p w14:paraId="0432238F">
                  <w:pPr>
                    <w:spacing w:line="340" w:lineRule="exact"/>
                    <w:contextualSpacing/>
                    <w:jc w:val="center"/>
                    <w:rPr>
                      <w:spacing w:val="-4"/>
                    </w:rPr>
                  </w:pPr>
                </w:p>
              </w:tc>
              <w:tc>
                <w:tcPr>
                  <w:tcW w:w="1544" w:type="dxa"/>
                  <w:vMerge w:val="continue"/>
                  <w:shd w:val="clear" w:color="auto" w:fill="auto"/>
                  <w:vAlign w:val="center"/>
                </w:tcPr>
                <w:p w14:paraId="0DA0B9A8">
                  <w:pPr>
                    <w:spacing w:line="340" w:lineRule="exact"/>
                    <w:contextualSpacing/>
                    <w:jc w:val="center"/>
                    <w:rPr>
                      <w:spacing w:val="-4"/>
                    </w:rPr>
                  </w:pPr>
                </w:p>
              </w:tc>
              <w:tc>
                <w:tcPr>
                  <w:tcW w:w="785" w:type="dxa"/>
                  <w:shd w:val="clear" w:color="auto" w:fill="auto"/>
                  <w:vAlign w:val="center"/>
                </w:tcPr>
                <w:p w14:paraId="30D70F5C">
                  <w:pPr>
                    <w:spacing w:line="340" w:lineRule="exact"/>
                    <w:contextualSpacing/>
                    <w:jc w:val="center"/>
                    <w:rPr>
                      <w:spacing w:val="-4"/>
                    </w:rPr>
                  </w:pPr>
                  <w:r>
                    <w:rPr>
                      <w:spacing w:val="-4"/>
                    </w:rPr>
                    <w:t>/</w:t>
                  </w:r>
                </w:p>
              </w:tc>
              <w:tc>
                <w:tcPr>
                  <w:tcW w:w="1153" w:type="dxa"/>
                  <w:shd w:val="clear" w:color="auto" w:fill="auto"/>
                  <w:vAlign w:val="center"/>
                </w:tcPr>
                <w:p w14:paraId="67DF1836">
                  <w:pPr>
                    <w:spacing w:line="340" w:lineRule="exact"/>
                    <w:contextualSpacing/>
                    <w:jc w:val="center"/>
                    <w:rPr>
                      <w:spacing w:val="-4"/>
                    </w:rPr>
                  </w:pPr>
                  <w:r>
                    <w:rPr>
                      <w:spacing w:val="-4"/>
                    </w:rPr>
                    <w:t>/</w:t>
                  </w:r>
                </w:p>
              </w:tc>
              <w:tc>
                <w:tcPr>
                  <w:tcW w:w="2043" w:type="dxa"/>
                  <w:shd w:val="clear" w:color="auto" w:fill="auto"/>
                  <w:vAlign w:val="center"/>
                </w:tcPr>
                <w:p w14:paraId="21124D44">
                  <w:pPr>
                    <w:spacing w:line="340" w:lineRule="exact"/>
                    <w:contextualSpacing/>
                    <w:jc w:val="center"/>
                    <w:rPr>
                      <w:spacing w:val="-4"/>
                    </w:rPr>
                  </w:pPr>
                  <w:r>
                    <w:rPr>
                      <w:spacing w:val="-4"/>
                    </w:rPr>
                    <w:t>1h平均值：6</w:t>
                  </w:r>
                </w:p>
                <w:p w14:paraId="4C1969D5">
                  <w:pPr>
                    <w:spacing w:line="340" w:lineRule="exact"/>
                    <w:contextualSpacing/>
                    <w:jc w:val="center"/>
                    <w:rPr>
                      <w:spacing w:val="-4"/>
                    </w:rPr>
                  </w:pPr>
                  <w:r>
                    <w:rPr>
                      <w:spacing w:val="-4"/>
                    </w:rPr>
                    <w:t>任意一次浓度值：20</w:t>
                  </w:r>
                </w:p>
              </w:tc>
              <w:tc>
                <w:tcPr>
                  <w:tcW w:w="1529" w:type="dxa"/>
                  <w:vMerge w:val="continue"/>
                  <w:shd w:val="clear" w:color="auto" w:fill="auto"/>
                  <w:vAlign w:val="center"/>
                </w:tcPr>
                <w:p w14:paraId="0C59D82E">
                  <w:pPr>
                    <w:spacing w:line="340" w:lineRule="exact"/>
                    <w:contextualSpacing/>
                    <w:jc w:val="center"/>
                    <w:rPr>
                      <w:spacing w:val="-4"/>
                    </w:rPr>
                  </w:pPr>
                </w:p>
              </w:tc>
            </w:tr>
            <w:tr w14:paraId="11143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218" w:type="dxa"/>
                  <w:vMerge w:val="restart"/>
                  <w:shd w:val="clear" w:color="auto" w:fill="auto"/>
                  <w:vAlign w:val="center"/>
                </w:tcPr>
                <w:p w14:paraId="113BF396">
                  <w:pPr>
                    <w:spacing w:line="340" w:lineRule="exact"/>
                    <w:contextualSpacing/>
                    <w:jc w:val="center"/>
                    <w:rPr>
                      <w:spacing w:val="-4"/>
                    </w:rPr>
                  </w:pPr>
                  <w:r>
                    <w:rPr>
                      <w:spacing w:val="-4"/>
                    </w:rPr>
                    <w:t>颗粒物</w:t>
                  </w:r>
                </w:p>
              </w:tc>
              <w:tc>
                <w:tcPr>
                  <w:tcW w:w="1544" w:type="dxa"/>
                  <w:shd w:val="clear" w:color="auto" w:fill="auto"/>
                  <w:vAlign w:val="center"/>
                </w:tcPr>
                <w:p w14:paraId="409C4AAF">
                  <w:pPr>
                    <w:spacing w:line="340" w:lineRule="exact"/>
                    <w:contextualSpacing/>
                    <w:jc w:val="center"/>
                    <w:rPr>
                      <w:spacing w:val="-4"/>
                    </w:rPr>
                  </w:pPr>
                  <w:r>
                    <w:rPr>
                      <w:spacing w:val="-4"/>
                    </w:rPr>
                    <w:t>有组织</w:t>
                  </w:r>
                </w:p>
              </w:tc>
              <w:tc>
                <w:tcPr>
                  <w:tcW w:w="785" w:type="dxa"/>
                  <w:shd w:val="clear" w:color="auto" w:fill="auto"/>
                  <w:vAlign w:val="center"/>
                </w:tcPr>
                <w:p w14:paraId="46654B14">
                  <w:pPr>
                    <w:spacing w:line="340" w:lineRule="exact"/>
                    <w:contextualSpacing/>
                    <w:jc w:val="center"/>
                    <w:rPr>
                      <w:spacing w:val="-4"/>
                    </w:rPr>
                  </w:pPr>
                  <w:r>
                    <w:rPr>
                      <w:spacing w:val="-4"/>
                    </w:rPr>
                    <w:t>20</w:t>
                  </w:r>
                </w:p>
              </w:tc>
              <w:tc>
                <w:tcPr>
                  <w:tcW w:w="1153" w:type="dxa"/>
                  <w:shd w:val="clear" w:color="auto" w:fill="auto"/>
                  <w:vAlign w:val="center"/>
                </w:tcPr>
                <w:p w14:paraId="03646E3C">
                  <w:pPr>
                    <w:spacing w:line="340" w:lineRule="exact"/>
                    <w:contextualSpacing/>
                    <w:jc w:val="center"/>
                    <w:rPr>
                      <w:spacing w:val="-4"/>
                    </w:rPr>
                  </w:pPr>
                  <w:r>
                    <w:rPr>
                      <w:spacing w:val="-4"/>
                    </w:rPr>
                    <w:t>3.5</w:t>
                  </w:r>
                </w:p>
              </w:tc>
              <w:tc>
                <w:tcPr>
                  <w:tcW w:w="2043" w:type="dxa"/>
                  <w:shd w:val="clear" w:color="auto" w:fill="auto"/>
                  <w:vAlign w:val="center"/>
                </w:tcPr>
                <w:p w14:paraId="4F113825">
                  <w:pPr>
                    <w:spacing w:line="340" w:lineRule="exact"/>
                    <w:contextualSpacing/>
                    <w:jc w:val="center"/>
                    <w:rPr>
                      <w:spacing w:val="-4"/>
                    </w:rPr>
                  </w:pPr>
                  <w:r>
                    <w:rPr>
                      <w:spacing w:val="-4"/>
                    </w:rPr>
                    <w:t>/</w:t>
                  </w:r>
                </w:p>
              </w:tc>
              <w:tc>
                <w:tcPr>
                  <w:tcW w:w="1529" w:type="dxa"/>
                  <w:vMerge w:val="continue"/>
                  <w:shd w:val="clear" w:color="auto" w:fill="auto"/>
                  <w:vAlign w:val="center"/>
                </w:tcPr>
                <w:p w14:paraId="244C79A1">
                  <w:pPr>
                    <w:spacing w:line="340" w:lineRule="exact"/>
                    <w:contextualSpacing/>
                    <w:jc w:val="center"/>
                    <w:rPr>
                      <w:spacing w:val="-4"/>
                    </w:rPr>
                  </w:pPr>
                </w:p>
              </w:tc>
            </w:tr>
            <w:tr w14:paraId="69455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218" w:type="dxa"/>
                  <w:vMerge w:val="continue"/>
                  <w:shd w:val="clear" w:color="auto" w:fill="auto"/>
                  <w:vAlign w:val="center"/>
                </w:tcPr>
                <w:p w14:paraId="406E635F">
                  <w:pPr>
                    <w:spacing w:line="340" w:lineRule="exact"/>
                    <w:contextualSpacing/>
                    <w:jc w:val="center"/>
                    <w:rPr>
                      <w:spacing w:val="-4"/>
                    </w:rPr>
                  </w:pPr>
                </w:p>
              </w:tc>
              <w:tc>
                <w:tcPr>
                  <w:tcW w:w="1544" w:type="dxa"/>
                  <w:shd w:val="clear" w:color="auto" w:fill="auto"/>
                  <w:vAlign w:val="center"/>
                </w:tcPr>
                <w:p w14:paraId="25CF0B8D">
                  <w:pPr>
                    <w:spacing w:line="340" w:lineRule="exact"/>
                    <w:contextualSpacing/>
                    <w:jc w:val="center"/>
                    <w:rPr>
                      <w:spacing w:val="-4"/>
                    </w:rPr>
                  </w:pPr>
                  <w:r>
                    <w:rPr>
                      <w:spacing w:val="-4"/>
                    </w:rPr>
                    <w:t>无组织</w:t>
                  </w:r>
                </w:p>
              </w:tc>
              <w:tc>
                <w:tcPr>
                  <w:tcW w:w="785" w:type="dxa"/>
                  <w:shd w:val="clear" w:color="auto" w:fill="auto"/>
                  <w:vAlign w:val="center"/>
                </w:tcPr>
                <w:p w14:paraId="78988B5A">
                  <w:pPr>
                    <w:spacing w:line="340" w:lineRule="exact"/>
                    <w:contextualSpacing/>
                    <w:jc w:val="center"/>
                    <w:rPr>
                      <w:spacing w:val="-4"/>
                    </w:rPr>
                  </w:pPr>
                  <w:r>
                    <w:rPr>
                      <w:spacing w:val="-4"/>
                    </w:rPr>
                    <w:t>/</w:t>
                  </w:r>
                </w:p>
              </w:tc>
              <w:tc>
                <w:tcPr>
                  <w:tcW w:w="1153" w:type="dxa"/>
                  <w:shd w:val="clear" w:color="auto" w:fill="auto"/>
                  <w:vAlign w:val="center"/>
                </w:tcPr>
                <w:p w14:paraId="54ECBB7E">
                  <w:pPr>
                    <w:spacing w:line="340" w:lineRule="exact"/>
                    <w:contextualSpacing/>
                    <w:jc w:val="center"/>
                    <w:rPr>
                      <w:spacing w:val="-4"/>
                    </w:rPr>
                  </w:pPr>
                  <w:r>
                    <w:rPr>
                      <w:spacing w:val="-4"/>
                    </w:rPr>
                    <w:t>/</w:t>
                  </w:r>
                </w:p>
              </w:tc>
              <w:tc>
                <w:tcPr>
                  <w:tcW w:w="2043" w:type="dxa"/>
                  <w:shd w:val="clear" w:color="auto" w:fill="auto"/>
                  <w:vAlign w:val="center"/>
                </w:tcPr>
                <w:p w14:paraId="29A1BE45">
                  <w:pPr>
                    <w:spacing w:line="340" w:lineRule="exact"/>
                    <w:contextualSpacing/>
                    <w:jc w:val="center"/>
                    <w:rPr>
                      <w:spacing w:val="-4"/>
                    </w:rPr>
                  </w:pPr>
                  <w:r>
                    <w:rPr>
                      <w:spacing w:val="-4"/>
                    </w:rPr>
                    <w:t>1.0</w:t>
                  </w:r>
                </w:p>
              </w:tc>
              <w:tc>
                <w:tcPr>
                  <w:tcW w:w="1529" w:type="dxa"/>
                  <w:vMerge w:val="continue"/>
                  <w:shd w:val="clear" w:color="auto" w:fill="auto"/>
                  <w:vAlign w:val="center"/>
                </w:tcPr>
                <w:p w14:paraId="1BA2296E">
                  <w:pPr>
                    <w:spacing w:line="340" w:lineRule="exact"/>
                    <w:contextualSpacing/>
                    <w:jc w:val="center"/>
                    <w:rPr>
                      <w:spacing w:val="-4"/>
                    </w:rPr>
                  </w:pPr>
                </w:p>
              </w:tc>
            </w:tr>
          </w:tbl>
          <w:p w14:paraId="7317D7AE">
            <w:pPr>
              <w:spacing w:line="360" w:lineRule="auto"/>
              <w:ind w:firstLine="482" w:firstLineChars="200"/>
              <w:rPr>
                <w:b/>
                <w:sz w:val="24"/>
              </w:rPr>
            </w:pPr>
            <w:r>
              <w:rPr>
                <w:b/>
                <w:sz w:val="24"/>
              </w:rPr>
              <w:t>2、废水排放标准</w:t>
            </w:r>
          </w:p>
          <w:p w14:paraId="4888066A">
            <w:pPr>
              <w:widowControl/>
              <w:spacing w:line="360" w:lineRule="auto"/>
              <w:ind w:firstLine="480" w:firstLineChars="200"/>
              <w:rPr>
                <w:kern w:val="36"/>
                <w:sz w:val="32"/>
              </w:rPr>
            </w:pPr>
            <w:r>
              <w:rPr>
                <w:sz w:val="24"/>
                <w:szCs w:val="22"/>
              </w:rPr>
              <w:t>本项目</w:t>
            </w:r>
            <w:r>
              <w:rPr>
                <w:rFonts w:hint="eastAsia"/>
                <w:sz w:val="24"/>
                <w:szCs w:val="22"/>
              </w:rPr>
              <w:t>无生产废水产生，</w:t>
            </w:r>
            <w:r>
              <w:rPr>
                <w:sz w:val="24"/>
                <w:szCs w:val="22"/>
              </w:rPr>
              <w:t>产生的生活污水经化粪池处理后</w:t>
            </w:r>
            <w:r>
              <w:rPr>
                <w:sz w:val="24"/>
              </w:rPr>
              <w:t>由环卫部门定期清运</w:t>
            </w:r>
            <w:r>
              <w:rPr>
                <w:sz w:val="24"/>
                <w:szCs w:val="22"/>
              </w:rPr>
              <w:t>，不外排。</w:t>
            </w:r>
          </w:p>
          <w:p w14:paraId="4572CAF5">
            <w:pPr>
              <w:widowControl/>
              <w:spacing w:line="360" w:lineRule="auto"/>
              <w:ind w:firstLine="482" w:firstLineChars="200"/>
              <w:rPr>
                <w:b/>
                <w:kern w:val="36"/>
                <w:sz w:val="24"/>
              </w:rPr>
            </w:pPr>
            <w:r>
              <w:rPr>
                <w:b/>
                <w:kern w:val="36"/>
                <w:sz w:val="24"/>
              </w:rPr>
              <w:t>3、</w:t>
            </w:r>
            <w:r>
              <w:rPr>
                <w:b/>
                <w:sz w:val="24"/>
              </w:rPr>
              <w:t>噪声排放标准</w:t>
            </w:r>
          </w:p>
          <w:p w14:paraId="4CB00873">
            <w:pPr>
              <w:spacing w:line="360" w:lineRule="auto"/>
              <w:ind w:firstLine="480" w:firstLineChars="200"/>
              <w:rPr>
                <w:sz w:val="24"/>
              </w:rPr>
            </w:pPr>
            <w:r>
              <w:rPr>
                <w:rFonts w:hint="eastAsia"/>
                <w:sz w:val="24"/>
              </w:rPr>
              <w:t>施工期噪声执行《建筑施工场界环境噪声排放标准》</w:t>
            </w:r>
            <w:r>
              <w:rPr>
                <w:sz w:val="24"/>
              </w:rPr>
              <w:t>(GB12523-2011)</w:t>
            </w:r>
            <w:r>
              <w:rPr>
                <w:rFonts w:hint="eastAsia"/>
                <w:sz w:val="24"/>
              </w:rPr>
              <w:t>，</w:t>
            </w:r>
            <w:r>
              <w:rPr>
                <w:sz w:val="24"/>
              </w:rPr>
              <w:t>昼间≤</w:t>
            </w:r>
            <w:r>
              <w:rPr>
                <w:rFonts w:hint="eastAsia"/>
                <w:sz w:val="24"/>
              </w:rPr>
              <w:t>7</w:t>
            </w:r>
            <w:r>
              <w:rPr>
                <w:sz w:val="24"/>
              </w:rPr>
              <w:t>0dB(A)</w:t>
            </w:r>
            <w:r>
              <w:rPr>
                <w:rFonts w:hint="eastAsia"/>
                <w:sz w:val="24"/>
              </w:rPr>
              <w:t>；</w:t>
            </w:r>
          </w:p>
          <w:p w14:paraId="15D70081">
            <w:pPr>
              <w:spacing w:line="360" w:lineRule="auto"/>
              <w:ind w:firstLine="480" w:firstLineChars="200"/>
              <w:rPr>
                <w:sz w:val="24"/>
              </w:rPr>
            </w:pPr>
            <w:r>
              <w:rPr>
                <w:sz w:val="24"/>
              </w:rPr>
              <w:t>项目夜间不生产，</w:t>
            </w:r>
            <w:r>
              <w:rPr>
                <w:rFonts w:hint="eastAsia"/>
                <w:sz w:val="24"/>
              </w:rPr>
              <w:t>运营期噪声</w:t>
            </w:r>
            <w:r>
              <w:rPr>
                <w:sz w:val="24"/>
              </w:rPr>
              <w:t>执行《工业企业厂界环境噪声排放标准》（GB12348-2008）中2类标准，昼间≤60dB(A)。</w:t>
            </w:r>
          </w:p>
          <w:p w14:paraId="6217C9E6">
            <w:pPr>
              <w:widowControl/>
              <w:spacing w:line="360" w:lineRule="auto"/>
              <w:ind w:firstLine="482" w:firstLineChars="200"/>
              <w:rPr>
                <w:b/>
                <w:kern w:val="36"/>
                <w:sz w:val="24"/>
              </w:rPr>
            </w:pPr>
            <w:r>
              <w:rPr>
                <w:b/>
                <w:kern w:val="36"/>
                <w:sz w:val="24"/>
              </w:rPr>
              <w:t>4、</w:t>
            </w:r>
            <w:r>
              <w:rPr>
                <w:b/>
                <w:sz w:val="24"/>
              </w:rPr>
              <w:t>固体废物排放标准</w:t>
            </w:r>
          </w:p>
          <w:p w14:paraId="72A48CA2">
            <w:pPr>
              <w:tabs>
                <w:tab w:val="left" w:pos="0"/>
              </w:tabs>
              <w:wordWrap w:val="0"/>
              <w:spacing w:line="360" w:lineRule="auto"/>
              <w:ind w:firstLine="480" w:firstLineChars="200"/>
              <w:rPr>
                <w:sz w:val="24"/>
              </w:rPr>
            </w:pPr>
            <w:r>
              <w:rPr>
                <w:rFonts w:hint="eastAsia"/>
                <w:sz w:val="24"/>
              </w:rPr>
              <w:t>一般工业固废执行《中华人民共和国固体废物污染环境防治法》（</w:t>
            </w:r>
            <w:r>
              <w:rPr>
                <w:sz w:val="24"/>
              </w:rPr>
              <w:t>2020年修订）</w:t>
            </w:r>
            <w:r>
              <w:rPr>
                <w:rFonts w:hint="eastAsia"/>
                <w:sz w:val="24"/>
              </w:rPr>
              <w:t>、</w:t>
            </w:r>
            <w:r>
              <w:rPr>
                <w:sz w:val="24"/>
              </w:rPr>
              <w:t>《一般工业固体废物管理台账制定指南（试行）》要求</w:t>
            </w:r>
            <w:r>
              <w:rPr>
                <w:rFonts w:hint="eastAsia"/>
                <w:sz w:val="24"/>
              </w:rPr>
              <w:t>；危险</w:t>
            </w:r>
            <w:r>
              <w:rPr>
                <w:sz w:val="24"/>
              </w:rPr>
              <w:t>废物</w:t>
            </w:r>
            <w:r>
              <w:rPr>
                <w:rFonts w:hint="eastAsia"/>
                <w:sz w:val="24"/>
              </w:rPr>
              <w:t>执行</w:t>
            </w:r>
            <w:r>
              <w:rPr>
                <w:sz w:val="24"/>
              </w:rPr>
              <w:t>《危险废物贮存污染控制标准》（GB18597-2023）</w:t>
            </w:r>
            <w:r>
              <w:rPr>
                <w:rFonts w:hint="eastAsia"/>
                <w:sz w:val="24"/>
              </w:rPr>
              <w:t>相关要求。</w:t>
            </w:r>
          </w:p>
        </w:tc>
      </w:tr>
      <w:tr w14:paraId="026806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5" w:hRule="atLeast"/>
          <w:jc w:val="center"/>
        </w:trPr>
        <w:tc>
          <w:tcPr>
            <w:tcW w:w="590" w:type="dxa"/>
            <w:vAlign w:val="center"/>
          </w:tcPr>
          <w:p w14:paraId="0AB65970">
            <w:pPr>
              <w:adjustRightInd w:val="0"/>
              <w:snapToGrid w:val="0"/>
              <w:jc w:val="center"/>
              <w:rPr>
                <w:kern w:val="0"/>
                <w:sz w:val="24"/>
              </w:rPr>
            </w:pPr>
            <w:r>
              <w:rPr>
                <w:kern w:val="0"/>
                <w:sz w:val="24"/>
              </w:rPr>
              <w:t>总</w:t>
            </w:r>
          </w:p>
          <w:p w14:paraId="282C1B41">
            <w:pPr>
              <w:adjustRightInd w:val="0"/>
              <w:snapToGrid w:val="0"/>
              <w:jc w:val="center"/>
              <w:rPr>
                <w:kern w:val="0"/>
                <w:sz w:val="24"/>
              </w:rPr>
            </w:pPr>
            <w:r>
              <w:rPr>
                <w:kern w:val="0"/>
                <w:sz w:val="24"/>
              </w:rPr>
              <w:t>量</w:t>
            </w:r>
          </w:p>
          <w:p w14:paraId="3B1092B8">
            <w:pPr>
              <w:adjustRightInd w:val="0"/>
              <w:snapToGrid w:val="0"/>
              <w:jc w:val="center"/>
              <w:rPr>
                <w:kern w:val="0"/>
                <w:sz w:val="24"/>
              </w:rPr>
            </w:pPr>
            <w:r>
              <w:rPr>
                <w:kern w:val="0"/>
                <w:sz w:val="24"/>
              </w:rPr>
              <w:t>控</w:t>
            </w:r>
          </w:p>
          <w:p w14:paraId="112D8843">
            <w:pPr>
              <w:adjustRightInd w:val="0"/>
              <w:snapToGrid w:val="0"/>
              <w:jc w:val="center"/>
              <w:rPr>
                <w:kern w:val="0"/>
                <w:sz w:val="24"/>
              </w:rPr>
            </w:pPr>
            <w:r>
              <w:rPr>
                <w:kern w:val="0"/>
                <w:sz w:val="24"/>
              </w:rPr>
              <w:t>制</w:t>
            </w:r>
          </w:p>
          <w:p w14:paraId="39099F65">
            <w:pPr>
              <w:adjustRightInd w:val="0"/>
              <w:snapToGrid w:val="0"/>
              <w:jc w:val="center"/>
              <w:rPr>
                <w:kern w:val="0"/>
                <w:sz w:val="24"/>
              </w:rPr>
            </w:pPr>
            <w:r>
              <w:rPr>
                <w:kern w:val="0"/>
                <w:sz w:val="24"/>
              </w:rPr>
              <w:t>指</w:t>
            </w:r>
          </w:p>
          <w:p w14:paraId="3CA19232">
            <w:pPr>
              <w:adjustRightInd w:val="0"/>
              <w:snapToGrid w:val="0"/>
              <w:jc w:val="center"/>
              <w:rPr>
                <w:kern w:val="0"/>
                <w:sz w:val="24"/>
                <w:highlight w:val="yellow"/>
              </w:rPr>
            </w:pPr>
            <w:r>
              <w:rPr>
                <w:kern w:val="0"/>
                <w:sz w:val="24"/>
              </w:rPr>
              <w:t>标</w:t>
            </w:r>
          </w:p>
        </w:tc>
        <w:tc>
          <w:tcPr>
            <w:tcW w:w="8471" w:type="dxa"/>
            <w:vAlign w:val="center"/>
          </w:tcPr>
          <w:p w14:paraId="4A6E6A8D">
            <w:pPr>
              <w:pStyle w:val="9"/>
              <w:tabs>
                <w:tab w:val="left" w:pos="2098"/>
              </w:tabs>
              <w:spacing w:after="0" w:line="360" w:lineRule="auto"/>
              <w:ind w:left="0" w:leftChars="0" w:firstLine="480" w:firstLineChars="200"/>
              <w:contextualSpacing/>
              <w:rPr>
                <w:szCs w:val="24"/>
              </w:rPr>
            </w:pPr>
          </w:p>
          <w:p w14:paraId="7840F95D">
            <w:pPr>
              <w:pStyle w:val="10"/>
              <w:ind w:left="0" w:leftChars="0" w:firstLine="0" w:firstLineChars="0"/>
            </w:pPr>
          </w:p>
          <w:p w14:paraId="1857EC64">
            <w:pPr>
              <w:pStyle w:val="9"/>
              <w:tabs>
                <w:tab w:val="left" w:pos="2098"/>
              </w:tabs>
              <w:spacing w:after="0" w:line="360" w:lineRule="auto"/>
              <w:ind w:left="0" w:leftChars="0" w:firstLine="480" w:firstLineChars="200"/>
              <w:contextualSpacing/>
              <w:rPr>
                <w:szCs w:val="24"/>
              </w:rPr>
            </w:pPr>
          </w:p>
          <w:p w14:paraId="1983BDDB">
            <w:pPr>
              <w:pStyle w:val="9"/>
              <w:tabs>
                <w:tab w:val="left" w:pos="2098"/>
              </w:tabs>
              <w:spacing w:after="0" w:line="360" w:lineRule="auto"/>
              <w:ind w:left="0" w:leftChars="0" w:firstLine="480" w:firstLineChars="200"/>
              <w:contextualSpacing/>
              <w:rPr>
                <w:szCs w:val="24"/>
              </w:rPr>
            </w:pPr>
            <w:r>
              <w:rPr>
                <w:szCs w:val="24"/>
              </w:rPr>
              <w:t>本项目无废水外排，无需申请COD、氨氮总量控制指标。</w:t>
            </w:r>
          </w:p>
          <w:p w14:paraId="392B10E7">
            <w:pPr>
              <w:pStyle w:val="86"/>
              <w:spacing w:line="360" w:lineRule="auto"/>
              <w:ind w:firstLine="480" w:firstLineChars="200"/>
              <w:rPr>
                <w:rFonts w:ascii="Times New Roman" w:cs="Times New Roman"/>
                <w:color w:val="auto"/>
              </w:rPr>
            </w:pPr>
            <w:r>
              <w:rPr>
                <w:rFonts w:hint="eastAsia" w:ascii="Times New Roman" w:cs="Times New Roman"/>
                <w:color w:val="auto"/>
                <w:szCs w:val="21"/>
              </w:rPr>
              <w:t>本</w:t>
            </w:r>
            <w:r>
              <w:rPr>
                <w:rFonts w:ascii="Times New Roman" w:cs="Times New Roman"/>
                <w:color w:val="auto"/>
                <w:szCs w:val="21"/>
              </w:rPr>
              <w:t>项目</w:t>
            </w:r>
            <w:r>
              <w:rPr>
                <w:rFonts w:hint="eastAsia" w:ascii="Times New Roman" w:cs="Times New Roman"/>
                <w:color w:val="auto"/>
                <w:szCs w:val="21"/>
              </w:rPr>
              <w:t>建成后</w:t>
            </w:r>
            <w:r>
              <w:rPr>
                <w:rFonts w:ascii="Times New Roman" w:cs="Times New Roman"/>
                <w:color w:val="auto"/>
                <w:szCs w:val="21"/>
              </w:rPr>
              <w:t>有组织污染物排放量为：颗粒物1.186t/a、</w:t>
            </w:r>
            <w:r>
              <w:rPr>
                <w:rFonts w:hint="eastAsia" w:ascii="Times New Roman" w:cs="Times New Roman"/>
                <w:color w:val="auto"/>
                <w:szCs w:val="21"/>
              </w:rPr>
              <w:t>V</w:t>
            </w:r>
            <w:r>
              <w:rPr>
                <w:rFonts w:ascii="Times New Roman" w:cs="Times New Roman"/>
                <w:color w:val="auto"/>
                <w:szCs w:val="21"/>
              </w:rPr>
              <w:t>OCs0.011t/a</w:t>
            </w:r>
            <w:r>
              <w:rPr>
                <w:rFonts w:ascii="Times New Roman" w:cs="Times New Roman"/>
                <w:color w:val="auto"/>
              </w:rPr>
              <w:t>。根据《山东省生态环境厅关于印发山东省建设项目主要大气污染物排放总量替代指标核算及管理办法的通知》（鲁环发[2019]132号）有关要求，需要2倍削减量替代</w:t>
            </w:r>
            <w:r>
              <w:rPr>
                <w:rFonts w:hint="eastAsia" w:ascii="Times New Roman" w:cs="Times New Roman"/>
                <w:color w:val="auto"/>
              </w:rPr>
              <w:t>，</w:t>
            </w:r>
            <w:r>
              <w:rPr>
                <w:color w:val="auto"/>
              </w:rPr>
              <w:t>需申请倍量替代指标为颗</w:t>
            </w:r>
            <w:r>
              <w:rPr>
                <w:rFonts w:ascii="Times New Roman" w:cs="Times New Roman"/>
                <w:color w:val="auto"/>
              </w:rPr>
              <w:t>粒物2.372t/a、</w:t>
            </w:r>
            <w:r>
              <w:rPr>
                <w:rFonts w:hint="eastAsia" w:ascii="Times New Roman" w:cs="Times New Roman"/>
                <w:color w:val="auto"/>
              </w:rPr>
              <w:t>V</w:t>
            </w:r>
            <w:r>
              <w:rPr>
                <w:rFonts w:ascii="Times New Roman" w:cs="Times New Roman"/>
                <w:color w:val="auto"/>
              </w:rPr>
              <w:t xml:space="preserve">OCs0.022t/a。 </w:t>
            </w:r>
          </w:p>
          <w:p w14:paraId="6B8A95E6">
            <w:pPr>
              <w:pStyle w:val="86"/>
              <w:spacing w:line="360" w:lineRule="auto"/>
              <w:rPr>
                <w:rFonts w:ascii="Times New Roman" w:cs="Times New Roman"/>
                <w:color w:val="auto"/>
              </w:rPr>
            </w:pPr>
          </w:p>
          <w:p w14:paraId="2A902C35">
            <w:pPr>
              <w:pStyle w:val="86"/>
              <w:spacing w:line="360" w:lineRule="auto"/>
              <w:rPr>
                <w:rFonts w:ascii="Times New Roman" w:cs="Times New Roman"/>
                <w:color w:val="auto"/>
              </w:rPr>
            </w:pPr>
          </w:p>
          <w:p w14:paraId="3AD52FE7">
            <w:pPr>
              <w:pStyle w:val="86"/>
              <w:spacing w:line="360" w:lineRule="auto"/>
              <w:rPr>
                <w:rFonts w:ascii="Times New Roman" w:cs="Times New Roman"/>
                <w:color w:val="auto"/>
              </w:rPr>
            </w:pPr>
          </w:p>
          <w:p w14:paraId="65D66C8D">
            <w:pPr>
              <w:pStyle w:val="86"/>
              <w:spacing w:line="360" w:lineRule="auto"/>
              <w:rPr>
                <w:rFonts w:ascii="Times New Roman" w:cs="Times New Roman"/>
                <w:color w:val="auto"/>
              </w:rPr>
            </w:pPr>
          </w:p>
          <w:p w14:paraId="1627CD86">
            <w:pPr>
              <w:pStyle w:val="86"/>
              <w:spacing w:line="360" w:lineRule="auto"/>
              <w:rPr>
                <w:rFonts w:ascii="Times New Roman" w:cs="Times New Roman"/>
                <w:color w:val="auto"/>
              </w:rPr>
            </w:pPr>
          </w:p>
          <w:p w14:paraId="1DC1015D">
            <w:pPr>
              <w:pStyle w:val="86"/>
              <w:spacing w:line="360" w:lineRule="auto"/>
              <w:rPr>
                <w:rFonts w:ascii="Times New Roman" w:cs="Times New Roman"/>
                <w:color w:val="auto"/>
              </w:rPr>
            </w:pPr>
          </w:p>
          <w:p w14:paraId="31DA2AED">
            <w:pPr>
              <w:pStyle w:val="86"/>
              <w:spacing w:line="360" w:lineRule="auto"/>
              <w:rPr>
                <w:rFonts w:ascii="Times New Roman" w:cs="Times New Roman"/>
                <w:color w:val="auto"/>
              </w:rPr>
            </w:pPr>
          </w:p>
          <w:p w14:paraId="2EBF2EF7">
            <w:pPr>
              <w:pStyle w:val="86"/>
              <w:spacing w:line="360" w:lineRule="auto"/>
              <w:rPr>
                <w:rFonts w:ascii="Times New Roman" w:cs="Times New Roman"/>
                <w:color w:val="auto"/>
              </w:rPr>
            </w:pPr>
          </w:p>
          <w:p w14:paraId="2D8B673C">
            <w:pPr>
              <w:pStyle w:val="86"/>
              <w:spacing w:line="360" w:lineRule="auto"/>
              <w:rPr>
                <w:rFonts w:ascii="Times New Roman" w:cs="Times New Roman"/>
                <w:color w:val="auto"/>
              </w:rPr>
            </w:pPr>
          </w:p>
          <w:p w14:paraId="5D2B049B">
            <w:pPr>
              <w:pStyle w:val="86"/>
              <w:spacing w:line="360" w:lineRule="auto"/>
              <w:rPr>
                <w:rFonts w:ascii="Times New Roman" w:cs="Times New Roman"/>
                <w:color w:val="auto"/>
              </w:rPr>
            </w:pPr>
          </w:p>
          <w:p w14:paraId="1BA8687B">
            <w:pPr>
              <w:pStyle w:val="86"/>
              <w:spacing w:line="360" w:lineRule="auto"/>
              <w:rPr>
                <w:rFonts w:ascii="Times New Roman" w:cs="Times New Roman"/>
                <w:color w:val="auto"/>
              </w:rPr>
            </w:pPr>
          </w:p>
          <w:p w14:paraId="7852E7D3">
            <w:pPr>
              <w:pStyle w:val="86"/>
              <w:spacing w:line="360" w:lineRule="auto"/>
              <w:rPr>
                <w:rFonts w:ascii="Times New Roman" w:cs="Times New Roman"/>
                <w:color w:val="auto"/>
              </w:rPr>
            </w:pPr>
          </w:p>
          <w:p w14:paraId="24675FAC">
            <w:pPr>
              <w:pStyle w:val="86"/>
              <w:spacing w:line="360" w:lineRule="auto"/>
              <w:rPr>
                <w:rFonts w:ascii="Times New Roman" w:cs="Times New Roman"/>
                <w:color w:val="auto"/>
              </w:rPr>
            </w:pPr>
          </w:p>
          <w:p w14:paraId="288BDEF1">
            <w:pPr>
              <w:pStyle w:val="86"/>
              <w:spacing w:line="360" w:lineRule="auto"/>
              <w:rPr>
                <w:rFonts w:ascii="Times New Roman" w:cs="Times New Roman"/>
                <w:color w:val="auto"/>
              </w:rPr>
            </w:pPr>
          </w:p>
        </w:tc>
      </w:tr>
    </w:tbl>
    <w:p w14:paraId="65309BEC">
      <w:pPr>
        <w:pStyle w:val="21"/>
        <w:spacing w:before="0" w:beforeAutospacing="0" w:after="0" w:afterAutospacing="0" w:line="360" w:lineRule="auto"/>
        <w:jc w:val="center"/>
        <w:outlineLvl w:val="0"/>
        <w:rPr>
          <w:rFonts w:ascii="黑体" w:hAnsi="黑体" w:eastAsia="黑体"/>
          <w:snapToGrid w:val="0"/>
          <w:sz w:val="30"/>
          <w:szCs w:val="30"/>
        </w:rPr>
      </w:pPr>
      <w:r>
        <w:rPr>
          <w:rFonts w:ascii="Times New Roman" w:hAnsi="Times New Roman"/>
          <w:snapToGrid w:val="0"/>
          <w:sz w:val="36"/>
          <w:szCs w:val="36"/>
        </w:rPr>
        <w:br w:type="page"/>
      </w:r>
      <w:r>
        <w:rPr>
          <w:rFonts w:ascii="黑体" w:hAnsi="黑体" w:eastAsia="黑体"/>
          <w:snapToGrid w:val="0"/>
          <w:sz w:val="30"/>
          <w:szCs w:val="30"/>
        </w:rPr>
        <w:t>四、主要环境影响和保护措施</w:t>
      </w: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71"/>
        <w:gridCol w:w="9007"/>
      </w:tblGrid>
      <w:tr w14:paraId="306D8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91" w:hRule="atLeast"/>
          <w:jc w:val="center"/>
        </w:trPr>
        <w:tc>
          <w:tcPr>
            <w:tcW w:w="198" w:type="pct"/>
            <w:tcMar>
              <w:left w:w="28" w:type="dxa"/>
              <w:right w:w="28" w:type="dxa"/>
            </w:tcMar>
            <w:vAlign w:val="center"/>
          </w:tcPr>
          <w:p w14:paraId="486C7271">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施</w:t>
            </w:r>
          </w:p>
          <w:p w14:paraId="547340F0">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工</w:t>
            </w:r>
          </w:p>
          <w:p w14:paraId="1DE022A3">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期</w:t>
            </w:r>
          </w:p>
          <w:p w14:paraId="40BBE04E">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环</w:t>
            </w:r>
          </w:p>
          <w:p w14:paraId="1660F181">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境</w:t>
            </w:r>
          </w:p>
          <w:p w14:paraId="4C842062">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保</w:t>
            </w:r>
          </w:p>
          <w:p w14:paraId="000819A5">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护</w:t>
            </w:r>
          </w:p>
          <w:p w14:paraId="309E588D">
            <w:pPr>
              <w:pStyle w:val="2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措</w:t>
            </w:r>
          </w:p>
          <w:p w14:paraId="2AA10F29">
            <w:pPr>
              <w:pStyle w:val="21"/>
              <w:adjustRightInd w:val="0"/>
              <w:snapToGrid w:val="0"/>
              <w:spacing w:before="0" w:beforeAutospacing="0" w:after="0" w:afterAutospacing="0"/>
              <w:jc w:val="center"/>
              <w:rPr>
                <w:rFonts w:ascii="Times New Roman" w:hAnsi="Times New Roman"/>
                <w:bCs/>
                <w:kern w:val="2"/>
                <w:szCs w:val="24"/>
              </w:rPr>
            </w:pPr>
            <w:r>
              <w:rPr>
                <w:rFonts w:ascii="Times New Roman" w:hAnsi="Times New Roman"/>
                <w:kern w:val="2"/>
                <w:szCs w:val="24"/>
              </w:rPr>
              <w:t xml:space="preserve">施 </w:t>
            </w:r>
          </w:p>
        </w:tc>
        <w:tc>
          <w:tcPr>
            <w:tcW w:w="4802" w:type="pct"/>
            <w:tcBorders>
              <w:bottom w:val="single" w:color="auto" w:sz="4" w:space="0"/>
            </w:tcBorders>
            <w:vAlign w:val="center"/>
          </w:tcPr>
          <w:p w14:paraId="143F5938">
            <w:pPr>
              <w:pStyle w:val="9"/>
              <w:snapToGrid w:val="0"/>
              <w:spacing w:after="0" w:line="360" w:lineRule="auto"/>
              <w:ind w:left="0" w:leftChars="0" w:firstLine="480"/>
            </w:pPr>
            <w:r>
              <w:rPr>
                <w:rFonts w:hint="eastAsia"/>
                <w:b/>
              </w:rPr>
              <w:t>施工期：</w:t>
            </w:r>
            <w:r>
              <w:rPr>
                <w:rFonts w:hint="eastAsia"/>
              </w:rPr>
              <w:t>污染工序主要产生在场地整理、工程建设、设备安装、调试及装修四个环节。</w:t>
            </w:r>
          </w:p>
          <w:p w14:paraId="494BA513">
            <w:pPr>
              <w:pStyle w:val="9"/>
              <w:snapToGrid w:val="0"/>
              <w:spacing w:after="0" w:line="360" w:lineRule="auto"/>
              <w:ind w:left="0" w:leftChars="0" w:firstLine="480"/>
              <w:rPr>
                <w:b/>
                <w:szCs w:val="24"/>
              </w:rPr>
            </w:pPr>
            <w:r>
              <w:rPr>
                <w:b/>
                <w:szCs w:val="24"/>
              </w:rPr>
              <w:t>1</w:t>
            </w:r>
            <w:r>
              <w:rPr>
                <w:rFonts w:hint="eastAsia"/>
                <w:b/>
                <w:szCs w:val="24"/>
              </w:rPr>
              <w:t>、施工扬尘治理措施：</w:t>
            </w:r>
          </w:p>
          <w:p w14:paraId="61FB950A">
            <w:pPr>
              <w:spacing w:line="360" w:lineRule="auto"/>
              <w:ind w:firstLine="480" w:firstLineChars="200"/>
              <w:rPr>
                <w:bCs/>
                <w:sz w:val="24"/>
              </w:rPr>
            </w:pPr>
            <w:r>
              <w:rPr>
                <w:rFonts w:hint="eastAsia"/>
                <w:bCs/>
                <w:sz w:val="24"/>
              </w:rPr>
              <w:t>项目施工期空气影响主要为场地整平挖掘扬尘和建筑施工扬尘、施工机械尾气和装修过程有一定的有机废气。</w:t>
            </w:r>
          </w:p>
          <w:p w14:paraId="3777DA59">
            <w:pPr>
              <w:spacing w:line="360" w:lineRule="auto"/>
              <w:ind w:firstLine="480" w:firstLineChars="200"/>
              <w:rPr>
                <w:bCs/>
                <w:sz w:val="24"/>
              </w:rPr>
            </w:pPr>
            <w:r>
              <w:rPr>
                <w:rFonts w:hint="eastAsia"/>
                <w:bCs/>
                <w:sz w:val="24"/>
              </w:rPr>
              <w:t>（</w:t>
            </w:r>
            <w:r>
              <w:rPr>
                <w:bCs/>
                <w:sz w:val="24"/>
              </w:rPr>
              <w:t>1</w:t>
            </w:r>
            <w:r>
              <w:rPr>
                <w:rFonts w:hint="eastAsia"/>
                <w:bCs/>
                <w:sz w:val="24"/>
              </w:rPr>
              <w:t>）扬尘污染</w:t>
            </w:r>
          </w:p>
          <w:p w14:paraId="6A909A91">
            <w:pPr>
              <w:spacing w:line="360" w:lineRule="auto"/>
              <w:ind w:firstLine="480" w:firstLineChars="200"/>
              <w:rPr>
                <w:bCs/>
                <w:sz w:val="24"/>
              </w:rPr>
            </w:pPr>
            <w:r>
              <w:rPr>
                <w:rFonts w:hint="eastAsia"/>
                <w:bCs/>
                <w:sz w:val="24"/>
              </w:rPr>
              <w:t>施工期扬尘主要来自清理场地、挖掘、土地开挖、管网铺设、回填、物料残土堆积装卸随风起尘等，扬尘污染在一定时间和空间内会对周围环境空气质量产生影响，如不加以管理和控制，有可能会干扰周围群众正常的工作和生活，甚至危害人民群众身体健康。为了最大程度保护周围敏感点，项目施工严格按照《山东省扬尘污染防治管理办法》（根据</w:t>
            </w:r>
            <w:r>
              <w:rPr>
                <w:bCs/>
                <w:sz w:val="24"/>
              </w:rPr>
              <w:t>2018</w:t>
            </w:r>
            <w:r>
              <w:rPr>
                <w:rFonts w:hint="eastAsia"/>
                <w:bCs/>
                <w:sz w:val="24"/>
              </w:rPr>
              <w:t>年</w:t>
            </w:r>
            <w:r>
              <w:rPr>
                <w:bCs/>
                <w:sz w:val="24"/>
              </w:rPr>
              <w:t>1</w:t>
            </w:r>
            <w:r>
              <w:rPr>
                <w:rFonts w:hint="eastAsia"/>
                <w:bCs/>
                <w:sz w:val="24"/>
              </w:rPr>
              <w:t>月</w:t>
            </w:r>
            <w:r>
              <w:rPr>
                <w:bCs/>
                <w:sz w:val="24"/>
              </w:rPr>
              <w:t>24</w:t>
            </w:r>
            <w:r>
              <w:rPr>
                <w:rFonts w:hint="eastAsia"/>
                <w:bCs/>
                <w:sz w:val="24"/>
              </w:rPr>
              <w:t>日山东省人民政府令第</w:t>
            </w:r>
            <w:r>
              <w:rPr>
                <w:bCs/>
                <w:sz w:val="24"/>
              </w:rPr>
              <w:t>311</w:t>
            </w:r>
            <w:r>
              <w:rPr>
                <w:rFonts w:hint="eastAsia"/>
                <w:bCs/>
                <w:sz w:val="24"/>
              </w:rPr>
              <w:t>号修订）、关于印发山东省扬尘污染综合整治方案的通知鲁环发〔</w:t>
            </w:r>
            <w:r>
              <w:rPr>
                <w:bCs/>
                <w:sz w:val="24"/>
              </w:rPr>
              <w:t>2019</w:t>
            </w:r>
            <w:r>
              <w:rPr>
                <w:rFonts w:hint="eastAsia"/>
                <w:bCs/>
                <w:sz w:val="24"/>
              </w:rPr>
              <w:t>〕</w:t>
            </w:r>
            <w:r>
              <w:rPr>
                <w:bCs/>
                <w:sz w:val="24"/>
              </w:rPr>
              <w:t>112</w:t>
            </w:r>
            <w:r>
              <w:rPr>
                <w:rFonts w:hint="eastAsia"/>
                <w:bCs/>
                <w:sz w:val="24"/>
              </w:rPr>
              <w:t>号中和《关于印发《全市建筑施工扬尘管控实施方案》的通知》(</w:t>
            </w:r>
            <w:bookmarkStart w:id="160" w:name="OLE_LINK135"/>
            <w:bookmarkStart w:id="161" w:name="OLE_LINK136"/>
            <w:r>
              <w:rPr>
                <w:rFonts w:hint="eastAsia"/>
                <w:bCs/>
                <w:sz w:val="24"/>
              </w:rPr>
              <w:t>济建建字(2019)61号</w:t>
            </w:r>
            <w:bookmarkEnd w:id="160"/>
            <w:bookmarkEnd w:id="161"/>
            <w:r>
              <w:rPr>
                <w:rFonts w:hint="eastAsia"/>
                <w:bCs/>
                <w:sz w:val="24"/>
              </w:rPr>
              <w:t>)等文件要求的要求进行施工。</w:t>
            </w:r>
          </w:p>
          <w:p w14:paraId="3783BEAE">
            <w:pPr>
              <w:spacing w:line="360" w:lineRule="auto"/>
              <w:ind w:firstLine="480" w:firstLineChars="200"/>
              <w:rPr>
                <w:bCs/>
                <w:sz w:val="24"/>
              </w:rPr>
            </w:pPr>
            <w:r>
              <w:rPr>
                <w:rFonts w:hint="eastAsia" w:ascii="宋体" w:hAnsi="宋体" w:cs="宋体"/>
                <w:bCs/>
                <w:sz w:val="24"/>
              </w:rPr>
              <w:t>①</w:t>
            </w:r>
            <w:r>
              <w:rPr>
                <w:rFonts w:hint="eastAsia"/>
                <w:bCs/>
                <w:sz w:val="24"/>
              </w:rPr>
              <w:t>施工现场必须设置连续硬质围挡，一般路段围挡高度为</w:t>
            </w:r>
            <w:r>
              <w:rPr>
                <w:bCs/>
                <w:sz w:val="24"/>
              </w:rPr>
              <w:t>2</w:t>
            </w:r>
            <w:r>
              <w:rPr>
                <w:rFonts w:hint="eastAsia"/>
                <w:bCs/>
                <w:sz w:val="24"/>
              </w:rPr>
              <w:t>米。施工现场出入口和场内施工道路采用混凝土硬化或硬质材料铺设，并保证扬尘在线监测及远程视频监控系统、车辆冲洗设施正常使用。</w:t>
            </w:r>
          </w:p>
          <w:p w14:paraId="2FBDDE31">
            <w:pPr>
              <w:spacing w:line="360" w:lineRule="auto"/>
              <w:ind w:firstLine="480" w:firstLineChars="200"/>
              <w:rPr>
                <w:bCs/>
                <w:sz w:val="24"/>
              </w:rPr>
            </w:pPr>
            <w:r>
              <w:rPr>
                <w:rFonts w:hint="eastAsia" w:ascii="宋体" w:hAnsi="宋体" w:cs="宋体"/>
                <w:bCs/>
                <w:sz w:val="24"/>
              </w:rPr>
              <w:t>②</w:t>
            </w:r>
            <w:r>
              <w:rPr>
                <w:rFonts w:hint="eastAsia"/>
                <w:bCs/>
                <w:sz w:val="24"/>
              </w:rPr>
              <w:t>土方工程（基坑开挖、道路刨掘、房屋拆除、水渠开挖）作业时，须采取湿法作业，配备固定式、移动式洒水降尘设备，落实洒水、喷雾降尘等措施。在作业区域内设置喷淋设施或施放水炮进行压尘，并确保作业区域全覆盖。</w:t>
            </w:r>
          </w:p>
          <w:p w14:paraId="3393D52F">
            <w:pPr>
              <w:spacing w:line="360" w:lineRule="auto"/>
              <w:ind w:firstLine="480" w:firstLineChars="200"/>
              <w:rPr>
                <w:bCs/>
                <w:sz w:val="24"/>
              </w:rPr>
            </w:pPr>
            <w:r>
              <w:rPr>
                <w:rFonts w:hint="eastAsia" w:ascii="宋体" w:hAnsi="宋体" w:cs="宋体"/>
                <w:bCs/>
                <w:sz w:val="24"/>
              </w:rPr>
              <w:t>③</w:t>
            </w:r>
            <w:r>
              <w:rPr>
                <w:rFonts w:hint="eastAsia"/>
                <w:bCs/>
                <w:sz w:val="24"/>
              </w:rPr>
              <w:t>施工工地产生的渣土原则上应及时外运，确需留存且具备现场留存条件的，要严格按规定报备，建设单位须提交留存渣土处置计划，明确存放期限，并使用绿色密目网（不低于</w:t>
            </w:r>
            <w:r>
              <w:rPr>
                <w:bCs/>
                <w:sz w:val="24"/>
              </w:rPr>
              <w:t>2000</w:t>
            </w:r>
            <w:r>
              <w:rPr>
                <w:rFonts w:hint="eastAsia"/>
                <w:bCs/>
                <w:sz w:val="24"/>
              </w:rPr>
              <w:t>目</w:t>
            </w:r>
            <w:r>
              <w:rPr>
                <w:bCs/>
                <w:sz w:val="24"/>
              </w:rPr>
              <w:t>/100</w:t>
            </w:r>
            <w:r>
              <w:rPr>
                <w:rFonts w:hint="eastAsia"/>
                <w:bCs/>
                <w:sz w:val="24"/>
              </w:rPr>
              <w:t>平方厘米）进行全覆盖。施工现场集中堆放的土方和裸露场地必须采取覆盖、固化或绿化等防尘措施，严禁裸露。</w:t>
            </w:r>
          </w:p>
          <w:p w14:paraId="21304176">
            <w:pPr>
              <w:spacing w:line="360" w:lineRule="auto"/>
              <w:ind w:firstLine="480" w:firstLineChars="200"/>
              <w:rPr>
                <w:bCs/>
                <w:sz w:val="24"/>
              </w:rPr>
            </w:pPr>
            <w:r>
              <w:rPr>
                <w:rFonts w:hint="eastAsia" w:ascii="宋体" w:hAnsi="宋体" w:cs="宋体"/>
                <w:bCs/>
                <w:sz w:val="24"/>
              </w:rPr>
              <w:t>④</w:t>
            </w:r>
            <w:r>
              <w:rPr>
                <w:rFonts w:hint="eastAsia"/>
                <w:bCs/>
                <w:sz w:val="24"/>
              </w:rPr>
              <w:t>施工现场建筑垃圾必须日产日清，并采用封闭式管道或装袋后用垂直升降机械清运，设置垃圾存放点集中堆放并严密覆盖，严禁凌空抛掷和焚烧垃圾。施工现场料具堆放整齐，无垃圾死角，各作业楼层无尘土。建筑物周围必须使用符合规定要求的密目网（不低于</w:t>
            </w:r>
            <w:r>
              <w:rPr>
                <w:bCs/>
                <w:sz w:val="24"/>
              </w:rPr>
              <w:t>2000</w:t>
            </w:r>
            <w:r>
              <w:rPr>
                <w:rFonts w:hint="eastAsia"/>
                <w:bCs/>
                <w:sz w:val="24"/>
              </w:rPr>
              <w:t>目</w:t>
            </w:r>
            <w:r>
              <w:rPr>
                <w:bCs/>
                <w:sz w:val="24"/>
              </w:rPr>
              <w:t>/100</w:t>
            </w:r>
            <w:r>
              <w:rPr>
                <w:rFonts w:hint="eastAsia"/>
                <w:bCs/>
                <w:sz w:val="24"/>
              </w:rPr>
              <w:t>平方厘米）进行全封闭围挡，确保严密、牢固、平整、美观。</w:t>
            </w:r>
          </w:p>
          <w:p w14:paraId="4070F6C6">
            <w:pPr>
              <w:spacing w:line="360" w:lineRule="auto"/>
              <w:ind w:firstLine="480" w:firstLineChars="200"/>
              <w:rPr>
                <w:bCs/>
                <w:sz w:val="24"/>
              </w:rPr>
            </w:pPr>
            <w:r>
              <w:rPr>
                <w:rFonts w:hint="eastAsia" w:ascii="宋体" w:hAnsi="宋体" w:cs="宋体"/>
                <w:bCs/>
                <w:sz w:val="24"/>
              </w:rPr>
              <w:t>⑤</w:t>
            </w:r>
            <w:r>
              <w:rPr>
                <w:rFonts w:hint="eastAsia"/>
                <w:bCs/>
                <w:sz w:val="24"/>
              </w:rPr>
              <w:t>建设工程施工现场要严格落实</w:t>
            </w:r>
            <w:r>
              <w:rPr>
                <w:bCs/>
                <w:sz w:val="24"/>
              </w:rPr>
              <w:t>“</w:t>
            </w:r>
            <w:r>
              <w:rPr>
                <w:rFonts w:hint="eastAsia"/>
                <w:bCs/>
                <w:sz w:val="24"/>
              </w:rPr>
              <w:t>所有裸露渣土一律覆盖，所有运输道路一律硬化，所有不达标工地一律停工，所有达不到整改要求的一律问责</w:t>
            </w:r>
            <w:r>
              <w:rPr>
                <w:bCs/>
                <w:sz w:val="24"/>
              </w:rPr>
              <w:t>”</w:t>
            </w:r>
            <w:r>
              <w:rPr>
                <w:rFonts w:hint="eastAsia"/>
                <w:bCs/>
                <w:sz w:val="24"/>
              </w:rPr>
              <w:t>四个一律和</w:t>
            </w:r>
            <w:r>
              <w:rPr>
                <w:bCs/>
                <w:sz w:val="24"/>
              </w:rPr>
              <w:t>“</w:t>
            </w:r>
            <w:r>
              <w:rPr>
                <w:rFonts w:hint="eastAsia"/>
                <w:bCs/>
                <w:sz w:val="24"/>
              </w:rPr>
              <w:t>施工工地</w:t>
            </w:r>
            <w:r>
              <w:rPr>
                <w:bCs/>
                <w:sz w:val="24"/>
              </w:rPr>
              <w:t>100%</w:t>
            </w:r>
            <w:r>
              <w:rPr>
                <w:rFonts w:hint="eastAsia"/>
                <w:bCs/>
                <w:sz w:val="24"/>
              </w:rPr>
              <w:t>围挡、散装物料堆放</w:t>
            </w:r>
            <w:r>
              <w:rPr>
                <w:bCs/>
                <w:sz w:val="24"/>
              </w:rPr>
              <w:t>100%</w:t>
            </w:r>
            <w:r>
              <w:rPr>
                <w:rFonts w:hint="eastAsia"/>
                <w:bCs/>
                <w:sz w:val="24"/>
              </w:rPr>
              <w:t>覆盖、出入车辆</w:t>
            </w:r>
            <w:r>
              <w:rPr>
                <w:bCs/>
                <w:sz w:val="24"/>
              </w:rPr>
              <w:t>100%</w:t>
            </w:r>
            <w:r>
              <w:rPr>
                <w:rFonts w:hint="eastAsia"/>
                <w:bCs/>
                <w:sz w:val="24"/>
              </w:rPr>
              <w:t>冲洗、施工现场路面</w:t>
            </w:r>
            <w:r>
              <w:rPr>
                <w:bCs/>
                <w:sz w:val="24"/>
              </w:rPr>
              <w:t>100%</w:t>
            </w:r>
            <w:r>
              <w:rPr>
                <w:rFonts w:hint="eastAsia"/>
                <w:bCs/>
                <w:sz w:val="24"/>
              </w:rPr>
              <w:t>硬化、拆迁工地</w:t>
            </w:r>
            <w:r>
              <w:rPr>
                <w:bCs/>
                <w:sz w:val="24"/>
              </w:rPr>
              <w:t>100%</w:t>
            </w:r>
            <w:r>
              <w:rPr>
                <w:rFonts w:hint="eastAsia"/>
                <w:bCs/>
                <w:sz w:val="24"/>
              </w:rPr>
              <w:t>湿法作业、渣土车辆</w:t>
            </w:r>
            <w:r>
              <w:rPr>
                <w:bCs/>
                <w:sz w:val="24"/>
              </w:rPr>
              <w:t>100%</w:t>
            </w:r>
            <w:r>
              <w:rPr>
                <w:rFonts w:hint="eastAsia"/>
                <w:bCs/>
                <w:sz w:val="24"/>
              </w:rPr>
              <w:t>密闭运输</w:t>
            </w:r>
            <w:r>
              <w:rPr>
                <w:bCs/>
                <w:sz w:val="24"/>
              </w:rPr>
              <w:t>”</w:t>
            </w:r>
            <w:r>
              <w:rPr>
                <w:rFonts w:hint="eastAsia"/>
                <w:bCs/>
                <w:sz w:val="24"/>
              </w:rPr>
              <w:t>六个百分之百要求。开工前必须做到扬尘治理方案到位、在线监测及视频监控到位，并在施工现场明显位置设置扬尘治理公示牌，公开参建各方扬尘治理负责人姓名、举报电话等内容。</w:t>
            </w:r>
          </w:p>
          <w:p w14:paraId="2234AF88">
            <w:pPr>
              <w:spacing w:line="360" w:lineRule="auto"/>
              <w:ind w:firstLine="480" w:firstLineChars="200"/>
              <w:rPr>
                <w:bCs/>
                <w:sz w:val="24"/>
              </w:rPr>
            </w:pPr>
            <w:r>
              <w:rPr>
                <w:rFonts w:hint="eastAsia" w:ascii="宋体" w:hAnsi="宋体" w:cs="宋体"/>
                <w:bCs/>
                <w:sz w:val="24"/>
              </w:rPr>
              <w:t>⑥</w:t>
            </w:r>
            <w:r>
              <w:rPr>
                <w:rFonts w:hint="eastAsia"/>
                <w:bCs/>
                <w:sz w:val="24"/>
              </w:rPr>
              <w:t>施工现场必须建立洒水清扫抑尘制度，配备洒水设备。现场施工道路洒水须实现全覆盖，每</w:t>
            </w:r>
            <w:r>
              <w:rPr>
                <w:bCs/>
                <w:sz w:val="24"/>
              </w:rPr>
              <w:t>2</w:t>
            </w:r>
            <w:r>
              <w:rPr>
                <w:rFonts w:hint="eastAsia"/>
                <w:bCs/>
                <w:sz w:val="24"/>
              </w:rPr>
              <w:t>小时</w:t>
            </w:r>
            <w:r>
              <w:rPr>
                <w:bCs/>
                <w:sz w:val="24"/>
              </w:rPr>
              <w:t xml:space="preserve">1 </w:t>
            </w:r>
            <w:r>
              <w:rPr>
                <w:rFonts w:hint="eastAsia"/>
                <w:bCs/>
                <w:sz w:val="24"/>
              </w:rPr>
              <w:t>次，并有专人负责。重污染天气时相应增加洒水频次。</w:t>
            </w:r>
          </w:p>
          <w:p w14:paraId="0EBC3B9E">
            <w:pPr>
              <w:spacing w:line="360" w:lineRule="auto"/>
              <w:ind w:firstLine="480" w:firstLineChars="200"/>
              <w:rPr>
                <w:bCs/>
                <w:sz w:val="24"/>
              </w:rPr>
            </w:pPr>
            <w:r>
              <w:rPr>
                <w:rFonts w:hint="eastAsia" w:ascii="宋体" w:hAnsi="宋体" w:cs="宋体"/>
                <w:bCs/>
                <w:sz w:val="24"/>
              </w:rPr>
              <w:t>⑦</w:t>
            </w:r>
            <w:r>
              <w:rPr>
                <w:rFonts w:hint="eastAsia"/>
                <w:bCs/>
                <w:sz w:val="24"/>
              </w:rPr>
              <w:t>市政管网及道路、绿化工程施工中，实施挖土、装土、堆土、路面切割、破碎、清扫等作业时，应当辅以洒水等降尘措施；对已回填后的沟槽应当采取洒水、覆盖等降尘措施，防止扬尘污染。</w:t>
            </w:r>
          </w:p>
          <w:p w14:paraId="30041149">
            <w:pPr>
              <w:spacing w:line="360" w:lineRule="auto"/>
              <w:ind w:firstLine="480" w:firstLineChars="200"/>
              <w:rPr>
                <w:bCs/>
                <w:sz w:val="24"/>
              </w:rPr>
            </w:pPr>
            <w:r>
              <w:rPr>
                <w:rFonts w:hint="eastAsia" w:ascii="宋体" w:hAnsi="宋体" w:cs="宋体"/>
                <w:bCs/>
                <w:sz w:val="24"/>
              </w:rPr>
              <w:t>⑧</w:t>
            </w:r>
            <w:r>
              <w:rPr>
                <w:rFonts w:hint="eastAsia"/>
                <w:bCs/>
                <w:sz w:val="24"/>
              </w:rPr>
              <w:t>建设工程渣土运输必须采用经市城管、公安交警等部门核准的运输单位及车辆。渣土运输车辆号牌必须保证清晰，密闭化率、卫星定位系统安装率均达到</w:t>
            </w:r>
            <w:r>
              <w:rPr>
                <w:bCs/>
                <w:sz w:val="24"/>
              </w:rPr>
              <w:t>100%</w:t>
            </w:r>
            <w:r>
              <w:rPr>
                <w:rFonts w:hint="eastAsia"/>
                <w:bCs/>
                <w:sz w:val="24"/>
              </w:rPr>
              <w:t>，新购车辆必须全部符合我市新型智能环保渣土运输车辆有关技术规范；原有渣土运输车辆必须采取严格的密封密闭措施，切实达到无外露、无遗撒、无高尖、无扬尘要求，否则一律不得上路。所有渣土运输车辆须按规定的时间、地点、线路运输和装卸。</w:t>
            </w:r>
          </w:p>
          <w:p w14:paraId="5C73CAF4">
            <w:pPr>
              <w:spacing w:line="360" w:lineRule="auto"/>
              <w:ind w:firstLine="480" w:firstLineChars="200"/>
              <w:rPr>
                <w:bCs/>
                <w:sz w:val="24"/>
              </w:rPr>
            </w:pPr>
            <w:r>
              <w:rPr>
                <w:rFonts w:hint="eastAsia" w:ascii="宋体" w:hAnsi="宋体" w:cs="宋体"/>
                <w:bCs/>
                <w:sz w:val="24"/>
              </w:rPr>
              <w:t>⑨</w:t>
            </w:r>
            <w:r>
              <w:rPr>
                <w:rFonts w:hint="eastAsia"/>
                <w:bCs/>
                <w:sz w:val="24"/>
              </w:rPr>
              <w:t>遇有</w:t>
            </w:r>
            <w:r>
              <w:rPr>
                <w:bCs/>
                <w:sz w:val="24"/>
              </w:rPr>
              <w:t>4</w:t>
            </w:r>
            <w:r>
              <w:rPr>
                <w:rFonts w:hint="eastAsia"/>
                <w:bCs/>
                <w:sz w:val="24"/>
              </w:rPr>
              <w:t>级以上大风或重污染天气时，严禁土方开挖、回填等可能产生扬尘的作业；发布红色预警时，停止一切施工作业。新增建设工地在开工建设前要安装视频监控设施，施工工地主要扬尘产生点安装视频监控装置，实行施工全程监控。</w:t>
            </w:r>
          </w:p>
          <w:p w14:paraId="102CC355">
            <w:pPr>
              <w:spacing w:line="360" w:lineRule="auto"/>
              <w:ind w:firstLine="480" w:firstLineChars="200"/>
              <w:rPr>
                <w:bCs/>
                <w:sz w:val="24"/>
              </w:rPr>
            </w:pPr>
            <w:r>
              <w:rPr>
                <w:rFonts w:hint="eastAsia"/>
                <w:bCs/>
                <w:sz w:val="24"/>
              </w:rPr>
              <w:t>施工扬尘对施工场地内大气环境质量的影响也会间接地影响周围大气环境质量，但施工扬尘对大气环境质量的这些不利影响是偶然的、短暂的、局部的，也是施工中不可避免的，其将随施工的结束而消失。采取以上措施后，类比推出本项目施工扬尘主要影响范围在施工现场内，对施工现场近距离敏感点大气环境质量影响不大。</w:t>
            </w:r>
          </w:p>
          <w:p w14:paraId="4B313A26">
            <w:pPr>
              <w:spacing w:line="360" w:lineRule="auto"/>
              <w:ind w:firstLine="480" w:firstLineChars="200"/>
              <w:rPr>
                <w:bCs/>
                <w:sz w:val="24"/>
              </w:rPr>
            </w:pPr>
            <w:r>
              <w:rPr>
                <w:rFonts w:hint="eastAsia"/>
                <w:bCs/>
                <w:sz w:val="24"/>
              </w:rPr>
              <w:t>（</w:t>
            </w:r>
            <w:r>
              <w:rPr>
                <w:bCs/>
                <w:sz w:val="24"/>
              </w:rPr>
              <w:t>2</w:t>
            </w:r>
            <w:r>
              <w:rPr>
                <w:rFonts w:hint="eastAsia"/>
                <w:bCs/>
                <w:sz w:val="24"/>
              </w:rPr>
              <w:t>）装修过程有机废气</w:t>
            </w:r>
          </w:p>
          <w:p w14:paraId="05E94948">
            <w:pPr>
              <w:spacing w:line="360" w:lineRule="auto"/>
              <w:ind w:firstLine="480" w:firstLineChars="200"/>
              <w:rPr>
                <w:bCs/>
                <w:sz w:val="24"/>
              </w:rPr>
            </w:pPr>
            <w:r>
              <w:rPr>
                <w:rFonts w:hint="eastAsia"/>
                <w:bCs/>
                <w:sz w:val="24"/>
              </w:rPr>
              <w:t>有机废气主要来自主体工程完工后装修过程中所使用的油漆溶剂、板材、胶类等。从有关项目资料分析，室内装修带来的气体污染不仅种类多，而且这些气体都具有一定的毒性。拟建项目必须全部采用符合相关标准及环保要求的建筑材料，可有效降低有机废气的影响，对室内空气质量进行监测达标后再运营，不会对楼内人员健康造成影响。要求建设单位严格把好材料关，选择污染少的优质材料，装修时加强室内通风，尽可能减少装修带来的气体污染，装修过程有机废气对周围环境空气的影响时间短、影响范围有限、影响很小。</w:t>
            </w:r>
          </w:p>
          <w:p w14:paraId="2AF399C4">
            <w:pPr>
              <w:spacing w:line="360" w:lineRule="auto"/>
              <w:ind w:firstLine="480" w:firstLineChars="200"/>
              <w:rPr>
                <w:bCs/>
                <w:sz w:val="24"/>
              </w:rPr>
            </w:pPr>
            <w:r>
              <w:rPr>
                <w:rFonts w:hint="eastAsia"/>
                <w:bCs/>
                <w:sz w:val="24"/>
              </w:rPr>
              <w:t>（</w:t>
            </w:r>
            <w:r>
              <w:rPr>
                <w:bCs/>
                <w:sz w:val="24"/>
              </w:rPr>
              <w:t>3</w:t>
            </w:r>
            <w:r>
              <w:rPr>
                <w:rFonts w:hint="eastAsia"/>
                <w:bCs/>
                <w:sz w:val="24"/>
              </w:rPr>
              <w:t>）施工机械尾气</w:t>
            </w:r>
          </w:p>
          <w:p w14:paraId="13BC8A8F">
            <w:pPr>
              <w:spacing w:line="360" w:lineRule="auto"/>
              <w:ind w:firstLine="480" w:firstLineChars="200"/>
              <w:rPr>
                <w:bCs/>
                <w:sz w:val="24"/>
              </w:rPr>
            </w:pPr>
            <w:r>
              <w:rPr>
                <w:rFonts w:hint="eastAsia"/>
                <w:bCs/>
                <w:sz w:val="24"/>
              </w:rPr>
              <w:t>各种施工车辆在燃油时会产生</w:t>
            </w:r>
            <w:r>
              <w:rPr>
                <w:bCs/>
                <w:sz w:val="24"/>
              </w:rPr>
              <w:t>SO</w:t>
            </w:r>
            <w:r>
              <w:rPr>
                <w:bCs/>
                <w:sz w:val="24"/>
                <w:vertAlign w:val="subscript"/>
              </w:rPr>
              <w:t>2</w:t>
            </w:r>
            <w:r>
              <w:rPr>
                <w:rFonts w:hint="eastAsia"/>
                <w:bCs/>
                <w:sz w:val="24"/>
              </w:rPr>
              <w:t>、</w:t>
            </w:r>
            <w:r>
              <w:rPr>
                <w:bCs/>
                <w:sz w:val="24"/>
              </w:rPr>
              <w:t>NO</w:t>
            </w:r>
            <w:r>
              <w:rPr>
                <w:bCs/>
                <w:sz w:val="24"/>
                <w:vertAlign w:val="subscript"/>
              </w:rPr>
              <w:t>2</w:t>
            </w:r>
            <w:r>
              <w:rPr>
                <w:rFonts w:hint="eastAsia"/>
                <w:bCs/>
                <w:sz w:val="24"/>
              </w:rPr>
              <w:t>、</w:t>
            </w:r>
            <w:r>
              <w:rPr>
                <w:bCs/>
                <w:sz w:val="24"/>
              </w:rPr>
              <w:t>CO</w:t>
            </w:r>
            <w:r>
              <w:rPr>
                <w:rFonts w:hint="eastAsia"/>
                <w:bCs/>
                <w:sz w:val="24"/>
              </w:rPr>
              <w:t>、烃类等大气污染物，但这些污染源较分散，污染物排放量很少，且为间断排放，对施工区域及运输线路沿线的空气环境影响较小。尾气中所含的有害物质主要有</w:t>
            </w:r>
            <w:r>
              <w:rPr>
                <w:bCs/>
                <w:sz w:val="24"/>
              </w:rPr>
              <w:t>CO</w:t>
            </w:r>
            <w:r>
              <w:rPr>
                <w:rFonts w:hint="eastAsia"/>
                <w:bCs/>
                <w:sz w:val="24"/>
              </w:rPr>
              <w:t>、</w:t>
            </w:r>
            <w:r>
              <w:rPr>
                <w:bCs/>
                <w:sz w:val="24"/>
              </w:rPr>
              <w:t>HC</w:t>
            </w:r>
            <w:r>
              <w:rPr>
                <w:rFonts w:hint="eastAsia"/>
                <w:bCs/>
                <w:sz w:val="24"/>
              </w:rPr>
              <w:t>、</w:t>
            </w:r>
            <w:r>
              <w:rPr>
                <w:bCs/>
                <w:sz w:val="24"/>
              </w:rPr>
              <w:t>NO</w:t>
            </w:r>
            <w:r>
              <w:rPr>
                <w:bCs/>
                <w:sz w:val="24"/>
                <w:vertAlign w:val="subscript"/>
              </w:rPr>
              <w:t>2</w:t>
            </w:r>
            <w:r>
              <w:rPr>
                <w:rFonts w:hint="eastAsia"/>
                <w:bCs/>
                <w:sz w:val="24"/>
              </w:rPr>
              <w:t>等，但这些污染源较分散且为流动性，污染物排放量不大，表现为间歇性特征，影响是短期和局部的，施工结束影响也随之消失。对于施工期的作业机械废气，主要采取得防治与缓解措施有：</w:t>
            </w:r>
          </w:p>
          <w:p w14:paraId="33197B0E">
            <w:pPr>
              <w:spacing w:line="360" w:lineRule="auto"/>
              <w:ind w:firstLine="480" w:firstLineChars="200"/>
              <w:rPr>
                <w:bCs/>
                <w:sz w:val="24"/>
              </w:rPr>
            </w:pPr>
            <w:r>
              <w:rPr>
                <w:rFonts w:hint="eastAsia" w:ascii="宋体" w:hAnsi="宋体" w:cs="宋体"/>
                <w:bCs/>
                <w:sz w:val="24"/>
              </w:rPr>
              <w:t>①</w:t>
            </w:r>
            <w:r>
              <w:rPr>
                <w:rFonts w:hint="eastAsia"/>
                <w:bCs/>
                <w:sz w:val="24"/>
              </w:rPr>
              <w:t>使用低排放量的机械设备，禁止使用不能达标排放的机械设备；</w:t>
            </w:r>
          </w:p>
          <w:p w14:paraId="5CCB8184">
            <w:pPr>
              <w:spacing w:line="360" w:lineRule="auto"/>
              <w:ind w:firstLine="480" w:firstLineChars="200"/>
              <w:rPr>
                <w:bCs/>
                <w:sz w:val="24"/>
              </w:rPr>
            </w:pPr>
            <w:r>
              <w:rPr>
                <w:rFonts w:hint="eastAsia" w:ascii="宋体" w:hAnsi="宋体" w:cs="宋体"/>
                <w:bCs/>
                <w:sz w:val="24"/>
              </w:rPr>
              <w:t>②</w:t>
            </w:r>
            <w:r>
              <w:rPr>
                <w:rFonts w:hint="eastAsia"/>
                <w:bCs/>
                <w:sz w:val="24"/>
              </w:rPr>
              <w:t>设计合理地施工流程，进行合理地施工组织安排，减少重复作业等；</w:t>
            </w:r>
          </w:p>
          <w:p w14:paraId="281A1EDD">
            <w:pPr>
              <w:spacing w:line="360" w:lineRule="auto"/>
              <w:ind w:firstLine="480" w:firstLineChars="200"/>
              <w:rPr>
                <w:bCs/>
                <w:sz w:val="24"/>
              </w:rPr>
            </w:pPr>
            <w:r>
              <w:rPr>
                <w:rFonts w:hint="eastAsia" w:ascii="宋体" w:hAnsi="宋体" w:cs="宋体"/>
                <w:bCs/>
                <w:sz w:val="24"/>
              </w:rPr>
              <w:t>③</w:t>
            </w:r>
            <w:r>
              <w:rPr>
                <w:rFonts w:hint="eastAsia"/>
                <w:bCs/>
                <w:sz w:val="24"/>
              </w:rPr>
              <w:t>加强机械设备的保养与合理操作，减少其废气的排放量。</w:t>
            </w:r>
          </w:p>
          <w:p w14:paraId="3606EB5E">
            <w:pPr>
              <w:spacing w:line="360" w:lineRule="auto"/>
              <w:ind w:firstLine="480" w:firstLineChars="200"/>
              <w:rPr>
                <w:bCs/>
                <w:sz w:val="24"/>
              </w:rPr>
            </w:pPr>
            <w:r>
              <w:rPr>
                <w:rFonts w:hint="eastAsia"/>
                <w:bCs/>
                <w:sz w:val="24"/>
              </w:rPr>
              <w:t>（4）非道路移动机械管控要求:</w:t>
            </w:r>
          </w:p>
          <w:p w14:paraId="7BB5A157">
            <w:pPr>
              <w:spacing w:line="360" w:lineRule="auto"/>
              <w:ind w:firstLine="480" w:firstLineChars="200"/>
              <w:rPr>
                <w:bCs/>
                <w:sz w:val="24"/>
              </w:rPr>
            </w:pPr>
            <w:r>
              <w:rPr>
                <w:rFonts w:hint="eastAsia"/>
                <w:bCs/>
                <w:sz w:val="24"/>
              </w:rPr>
              <w:t>项目施工期采取非道路移动机械，主要包括装载机、叉车、挖掘机等，要求车辆进场前严格核实车辆编码进行登记并加大施工期日常的监管力度；车辆油品采用相对质量较好的，减少尾气的排放。非道路移动机械对施工区域及运输线路沿线的空气环境影响叫小。</w:t>
            </w:r>
          </w:p>
          <w:p w14:paraId="43E7FB05">
            <w:pPr>
              <w:pStyle w:val="9"/>
              <w:snapToGrid w:val="0"/>
              <w:spacing w:after="0" w:line="360" w:lineRule="auto"/>
              <w:ind w:left="0" w:leftChars="0" w:firstLine="480"/>
              <w:rPr>
                <w:b/>
                <w:szCs w:val="24"/>
              </w:rPr>
            </w:pPr>
            <w:r>
              <w:rPr>
                <w:b/>
                <w:szCs w:val="24"/>
              </w:rPr>
              <w:t>2</w:t>
            </w:r>
            <w:r>
              <w:rPr>
                <w:rFonts w:hint="eastAsia"/>
                <w:b/>
                <w:szCs w:val="24"/>
              </w:rPr>
              <w:t>、废水治理措施：</w:t>
            </w:r>
          </w:p>
          <w:p w14:paraId="2698AE77">
            <w:pPr>
              <w:adjustRightInd w:val="0"/>
              <w:snapToGrid w:val="0"/>
              <w:spacing w:line="360" w:lineRule="auto"/>
              <w:ind w:firstLine="567"/>
              <w:rPr>
                <w:sz w:val="24"/>
              </w:rPr>
            </w:pPr>
            <w:r>
              <w:rPr>
                <w:rFonts w:hint="eastAsia"/>
                <w:sz w:val="24"/>
              </w:rPr>
              <w:t>施工期间，基础工程、混凝土工程会产生少量灰浆水、冲洗水等建筑废水，产生量约为</w:t>
            </w:r>
            <w:r>
              <w:rPr>
                <w:sz w:val="24"/>
              </w:rPr>
              <w:t>8t/d</w:t>
            </w:r>
            <w:r>
              <w:rPr>
                <w:rFonts w:hint="eastAsia"/>
                <w:sz w:val="24"/>
              </w:rPr>
              <w:t>，</w:t>
            </w:r>
            <w:r>
              <w:rPr>
                <w:rFonts w:hint="eastAsia"/>
                <w:bCs/>
                <w:sz w:val="24"/>
              </w:rPr>
              <w:t>主要污染物为</w:t>
            </w:r>
            <w:r>
              <w:rPr>
                <w:bCs/>
                <w:sz w:val="24"/>
              </w:rPr>
              <w:t>SS</w:t>
            </w:r>
            <w:r>
              <w:rPr>
                <w:rFonts w:hint="eastAsia"/>
                <w:bCs/>
                <w:sz w:val="24"/>
              </w:rPr>
              <w:t>，</w:t>
            </w:r>
            <w:r>
              <w:rPr>
                <w:rFonts w:hint="eastAsia"/>
                <w:sz w:val="24"/>
              </w:rPr>
              <w:t>经简易沉淀池处理后回用，不外排，不影响周围地表水环境。</w:t>
            </w:r>
          </w:p>
          <w:p w14:paraId="570A913B">
            <w:pPr>
              <w:adjustRightInd w:val="0"/>
              <w:snapToGrid w:val="0"/>
              <w:spacing w:line="360" w:lineRule="auto"/>
              <w:ind w:firstLine="567"/>
              <w:rPr>
                <w:sz w:val="24"/>
              </w:rPr>
            </w:pPr>
            <w:r>
              <w:rPr>
                <w:rFonts w:hint="eastAsia"/>
                <w:sz w:val="24"/>
              </w:rPr>
              <w:t>施工人员产生少量的生活污水，产生量以</w:t>
            </w:r>
            <w:r>
              <w:rPr>
                <w:sz w:val="24"/>
              </w:rPr>
              <w:t>50L/</w:t>
            </w:r>
            <w:r>
              <w:rPr>
                <w:rFonts w:hint="eastAsia"/>
                <w:sz w:val="24"/>
              </w:rPr>
              <w:t>天</w:t>
            </w:r>
            <w:r>
              <w:rPr>
                <w:sz w:val="24"/>
              </w:rPr>
              <w:t>·</w:t>
            </w:r>
            <w:r>
              <w:rPr>
                <w:rFonts w:hint="eastAsia"/>
                <w:sz w:val="24"/>
              </w:rPr>
              <w:t>人计（</w:t>
            </w:r>
            <w:r>
              <w:rPr>
                <w:sz w:val="24"/>
              </w:rPr>
              <w:t>40</w:t>
            </w:r>
            <w:r>
              <w:rPr>
                <w:rFonts w:hint="eastAsia"/>
                <w:sz w:val="24"/>
              </w:rPr>
              <w:t>人），共为</w:t>
            </w:r>
            <w:r>
              <w:rPr>
                <w:sz w:val="24"/>
              </w:rPr>
              <w:t>2t/d</w:t>
            </w:r>
            <w:r>
              <w:rPr>
                <w:rFonts w:hint="eastAsia"/>
                <w:sz w:val="24"/>
              </w:rPr>
              <w:t>。施工期间，项目先建设临时化粪池，生活污水排入化粪池处理后由环卫部门进行清运，不外排。</w:t>
            </w:r>
          </w:p>
          <w:p w14:paraId="728A7B67">
            <w:pPr>
              <w:pStyle w:val="9"/>
              <w:snapToGrid w:val="0"/>
              <w:spacing w:after="0" w:line="360" w:lineRule="auto"/>
              <w:ind w:left="0" w:leftChars="0" w:firstLine="480"/>
              <w:rPr>
                <w:b/>
                <w:szCs w:val="24"/>
              </w:rPr>
            </w:pPr>
            <w:r>
              <w:rPr>
                <w:b/>
                <w:szCs w:val="24"/>
              </w:rPr>
              <w:t>3</w:t>
            </w:r>
            <w:r>
              <w:rPr>
                <w:rFonts w:hint="eastAsia"/>
                <w:b/>
                <w:szCs w:val="24"/>
              </w:rPr>
              <w:t>、噪声治理措施：</w:t>
            </w:r>
          </w:p>
          <w:p w14:paraId="42ACCA43">
            <w:pPr>
              <w:pStyle w:val="9"/>
              <w:spacing w:after="0" w:line="360" w:lineRule="auto"/>
              <w:ind w:left="0" w:leftChars="0" w:firstLine="480" w:firstLineChars="200"/>
              <w:contextualSpacing/>
              <w:rPr>
                <w:bCs/>
              </w:rPr>
            </w:pPr>
            <w:r>
              <w:rPr>
                <w:bCs/>
              </w:rPr>
              <w:t>施工噪声主要可分为机械噪声、施工作业噪声和施工车辆噪声。</w:t>
            </w:r>
          </w:p>
          <w:p w14:paraId="0754995F">
            <w:pPr>
              <w:pStyle w:val="9"/>
              <w:spacing w:after="0" w:line="360" w:lineRule="auto"/>
              <w:ind w:left="0" w:leftChars="0" w:firstLine="480" w:firstLineChars="200"/>
              <w:contextualSpacing/>
              <w:rPr>
                <w:bCs/>
              </w:rPr>
            </w:pPr>
            <w:r>
              <w:rPr>
                <w:bCs/>
              </w:rPr>
              <w:t>施工期应可能减少对敏感点的噪声影响，严格执行《中华人民共和国环境噪声污染防治法》中的规定，建设单位采取的噪声防治措施主要有：</w:t>
            </w:r>
          </w:p>
          <w:p w14:paraId="5C9A58A4">
            <w:pPr>
              <w:pStyle w:val="9"/>
              <w:spacing w:after="0" w:line="360" w:lineRule="auto"/>
              <w:ind w:left="0" w:leftChars="0" w:firstLine="480" w:firstLineChars="200"/>
              <w:contextualSpacing/>
              <w:rPr>
                <w:bCs/>
              </w:rPr>
            </w:pPr>
            <w:r>
              <w:rPr>
                <w:bCs/>
              </w:rPr>
              <w:t>1、尽可能选用低噪音的先进施工设备和工艺，增加减震防噪措施，并加强对机械设备的检查、维护和保养，从源强和运行上降低噪声影响。</w:t>
            </w:r>
          </w:p>
          <w:p w14:paraId="288EFAAE">
            <w:pPr>
              <w:pStyle w:val="9"/>
              <w:spacing w:after="0" w:line="360" w:lineRule="auto"/>
              <w:ind w:left="0" w:leftChars="0" w:firstLine="480" w:firstLineChars="200"/>
              <w:contextualSpacing/>
              <w:rPr>
                <w:bCs/>
              </w:rPr>
            </w:pPr>
            <w:r>
              <w:rPr>
                <w:bCs/>
              </w:rPr>
              <w:t>2、施工机械尽可能在远离环境敏感目标等敏感点处设置，确因施工需要，距离敏感点较近的机械，尽可能设置声屏障（如利用已有设施或构筑物、围挡作为隔声屏障）隔声，减少对敏感点噪声影响。</w:t>
            </w:r>
          </w:p>
          <w:p w14:paraId="7474D86E">
            <w:pPr>
              <w:pStyle w:val="9"/>
              <w:spacing w:after="0" w:line="360" w:lineRule="auto"/>
              <w:ind w:left="0" w:leftChars="0" w:firstLine="480" w:firstLineChars="200"/>
              <w:contextualSpacing/>
              <w:rPr>
                <w:bCs/>
              </w:rPr>
            </w:pPr>
            <w:r>
              <w:rPr>
                <w:bCs/>
              </w:rPr>
              <w:t>3、施工期推土机、装载机严禁超负荷运转，运输车辆严禁超载，进入施工现场低速行驶，减少鸣笛。</w:t>
            </w:r>
          </w:p>
          <w:p w14:paraId="59DD345B">
            <w:pPr>
              <w:pStyle w:val="9"/>
              <w:spacing w:after="0" w:line="360" w:lineRule="auto"/>
              <w:ind w:left="0" w:leftChars="0" w:firstLine="480" w:firstLineChars="200"/>
              <w:contextualSpacing/>
              <w:rPr>
                <w:bCs/>
              </w:rPr>
            </w:pPr>
            <w:r>
              <w:rPr>
                <w:bCs/>
              </w:rPr>
              <w:t>4、施工期间必须加强管理，合理布局施工设备，项目施工期间要严格按照济南市建筑施工噪声污染防治的有关要求，合理安排施工时间，为了减少施工对周围居民的影响，晚上10时至次日上午6时内时间段禁止施工；确因生产工艺需要必须连续施工的，必须取得有关监督管理部门的批准，向环境敏感目标等周围民众公告后方可施工。但同时也应考虑周边居民的承受能力，连续时间不宜太长。</w:t>
            </w:r>
          </w:p>
          <w:p w14:paraId="669A1134">
            <w:pPr>
              <w:pStyle w:val="9"/>
              <w:spacing w:after="0" w:line="360" w:lineRule="auto"/>
              <w:ind w:left="0" w:leftChars="0" w:firstLine="480" w:firstLineChars="200"/>
              <w:contextualSpacing/>
              <w:rPr>
                <w:bCs/>
              </w:rPr>
            </w:pPr>
            <w:r>
              <w:rPr>
                <w:bCs/>
              </w:rPr>
              <w:t>5、根据《中华人民共和国环境噪声污染防治法》、《山东省环境噪声污染防治条例》以及国家、省、市有关规定，在中、高考等特殊期间，环境保护行政主管部门报经区级以上人民政府批准，可以对产生环境噪声污染的建筑施工作业时间作出限制性规定，并提前七日向社会公告，本项目应按环境保护行政主管部门要求调整施工作业时间。</w:t>
            </w:r>
          </w:p>
          <w:p w14:paraId="57767F51">
            <w:pPr>
              <w:pStyle w:val="9"/>
              <w:spacing w:after="0" w:line="360" w:lineRule="auto"/>
              <w:ind w:left="0" w:leftChars="0" w:firstLine="480" w:firstLineChars="200"/>
              <w:contextualSpacing/>
              <w:rPr>
                <w:bCs/>
              </w:rPr>
            </w:pPr>
            <w:r>
              <w:rPr>
                <w:bCs/>
              </w:rPr>
              <w:t>6、高噪声设备应尽量避免在休息时间</w:t>
            </w:r>
            <w:r>
              <w:rPr>
                <w:rFonts w:hint="eastAsia"/>
                <w:bCs/>
              </w:rPr>
              <w:t>使用，严禁出现施工噪声扰民情况</w:t>
            </w:r>
            <w:r>
              <w:rPr>
                <w:bCs/>
              </w:rPr>
              <w:t>。</w:t>
            </w:r>
          </w:p>
          <w:p w14:paraId="26AE9F1B">
            <w:pPr>
              <w:pStyle w:val="9"/>
              <w:snapToGrid w:val="0"/>
              <w:spacing w:after="0" w:line="360" w:lineRule="auto"/>
              <w:ind w:left="0" w:leftChars="0" w:firstLine="480"/>
              <w:rPr>
                <w:b/>
                <w:szCs w:val="24"/>
              </w:rPr>
            </w:pPr>
            <w:r>
              <w:rPr>
                <w:b/>
                <w:szCs w:val="24"/>
              </w:rPr>
              <w:t>4</w:t>
            </w:r>
            <w:r>
              <w:rPr>
                <w:rFonts w:hint="eastAsia"/>
                <w:b/>
                <w:szCs w:val="24"/>
              </w:rPr>
              <w:t>、固体废物治理措施：</w:t>
            </w:r>
          </w:p>
          <w:p w14:paraId="3888D78E">
            <w:pPr>
              <w:adjustRightInd w:val="0"/>
              <w:snapToGrid w:val="0"/>
              <w:spacing w:line="360" w:lineRule="auto"/>
              <w:ind w:firstLine="567"/>
              <w:rPr>
                <w:sz w:val="24"/>
              </w:rPr>
            </w:pPr>
            <w:r>
              <w:rPr>
                <w:rFonts w:hint="eastAsia"/>
                <w:sz w:val="24"/>
              </w:rPr>
              <w:t>本工程施工期的固体废弃物主要是</w:t>
            </w:r>
            <w:r>
              <w:rPr>
                <w:rFonts w:hint="eastAsia"/>
                <w:bCs/>
                <w:sz w:val="24"/>
              </w:rPr>
              <w:t>施工人员的生活垃圾、施工渣土及损坏或废弃的各种建筑装修材料</w:t>
            </w:r>
            <w:r>
              <w:rPr>
                <w:rFonts w:hint="eastAsia"/>
                <w:sz w:val="24"/>
              </w:rPr>
              <w:t>。生活垃圾由当地环卫部门进行清运；建筑垃圾运至主管部门制定的建筑垃圾消纳场或储存场所；施工渣土优先用于施工场地内回填，剩余渣土作为弃土与建筑垃圾一同进行外运处理。损坏或废弃的建筑装修材料采用外售综合利用或委托处理。施工过程产生的危险废物暂存于场地内危废暂存库，委托有资质的单位进行处理。运输沙石和建筑材料时，应选择对城镇环境影响最小的运输路线，运输车集中运输，运输车上路前加强车体、车胎冲洗，装土适宜，防止沿路抛洒以及道路扬尘，适当洒水，检验合格后方可上路，必须使用密闭车体运输。由于本工程施工期拟采用固体废弃物的处置、运输措施合可行，因此本建设项目的固体废弃物对不会的环境造成的影响。</w:t>
            </w:r>
          </w:p>
          <w:p w14:paraId="42D289D9">
            <w:pPr>
              <w:pStyle w:val="9"/>
              <w:spacing w:after="0" w:line="360" w:lineRule="auto"/>
              <w:ind w:leftChars="0"/>
              <w:contextualSpacing/>
              <w:rPr>
                <w:bCs/>
              </w:rPr>
            </w:pPr>
            <w:r>
              <w:rPr>
                <w:rFonts w:hint="eastAsia"/>
                <w:bCs/>
              </w:rPr>
              <w:t>综上，</w:t>
            </w:r>
            <w:bookmarkStart w:id="162" w:name="OLE_LINK17"/>
            <w:bookmarkStart w:id="163" w:name="OLE_LINK20"/>
            <w:r>
              <w:rPr>
                <w:rFonts w:hint="eastAsia"/>
                <w:bCs/>
              </w:rPr>
              <w:t>施工过程产生的污染物均得到妥善处置，不会对周围环境产生较大影响。</w:t>
            </w:r>
            <w:bookmarkEnd w:id="162"/>
            <w:bookmarkEnd w:id="163"/>
          </w:p>
        </w:tc>
      </w:tr>
      <w:tr w14:paraId="4FF67E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8" w:hRule="atLeast"/>
          <w:jc w:val="center"/>
        </w:trPr>
        <w:tc>
          <w:tcPr>
            <w:tcW w:w="198" w:type="pct"/>
            <w:tcMar>
              <w:left w:w="28" w:type="dxa"/>
              <w:right w:w="28" w:type="dxa"/>
            </w:tcMar>
            <w:vAlign w:val="center"/>
          </w:tcPr>
          <w:p w14:paraId="4AC942E4">
            <w:pPr>
              <w:adjustRightInd w:val="0"/>
              <w:snapToGrid w:val="0"/>
              <w:jc w:val="center"/>
              <w:rPr>
                <w:bCs/>
                <w:sz w:val="24"/>
              </w:rPr>
            </w:pPr>
            <w:r>
              <w:rPr>
                <w:bCs/>
                <w:sz w:val="24"/>
              </w:rPr>
              <w:t>运营</w:t>
            </w:r>
          </w:p>
          <w:p w14:paraId="193BAFD3">
            <w:pPr>
              <w:adjustRightInd w:val="0"/>
              <w:snapToGrid w:val="0"/>
              <w:jc w:val="center"/>
              <w:rPr>
                <w:bCs/>
                <w:sz w:val="24"/>
              </w:rPr>
            </w:pPr>
            <w:r>
              <w:rPr>
                <w:bCs/>
                <w:sz w:val="24"/>
              </w:rPr>
              <w:t>期环</w:t>
            </w:r>
          </w:p>
          <w:p w14:paraId="3ECEF282">
            <w:pPr>
              <w:adjustRightInd w:val="0"/>
              <w:snapToGrid w:val="0"/>
              <w:jc w:val="center"/>
              <w:rPr>
                <w:bCs/>
                <w:sz w:val="24"/>
              </w:rPr>
            </w:pPr>
            <w:r>
              <w:rPr>
                <w:bCs/>
                <w:sz w:val="24"/>
              </w:rPr>
              <w:t>境影</w:t>
            </w:r>
          </w:p>
          <w:p w14:paraId="59172CCF">
            <w:pPr>
              <w:adjustRightInd w:val="0"/>
              <w:snapToGrid w:val="0"/>
              <w:jc w:val="center"/>
              <w:rPr>
                <w:bCs/>
                <w:sz w:val="24"/>
              </w:rPr>
            </w:pPr>
            <w:r>
              <w:rPr>
                <w:bCs/>
                <w:sz w:val="24"/>
              </w:rPr>
              <w:t>响和</w:t>
            </w:r>
          </w:p>
          <w:p w14:paraId="78C8173E">
            <w:pPr>
              <w:adjustRightInd w:val="0"/>
              <w:snapToGrid w:val="0"/>
              <w:jc w:val="center"/>
              <w:rPr>
                <w:bCs/>
                <w:sz w:val="24"/>
              </w:rPr>
            </w:pPr>
            <w:r>
              <w:rPr>
                <w:bCs/>
                <w:sz w:val="24"/>
              </w:rPr>
              <w:t>保护</w:t>
            </w:r>
          </w:p>
          <w:p w14:paraId="164E3C1C">
            <w:pPr>
              <w:adjustRightInd w:val="0"/>
              <w:snapToGrid w:val="0"/>
              <w:jc w:val="center"/>
            </w:pPr>
            <w:r>
              <w:rPr>
                <w:bCs/>
                <w:sz w:val="24"/>
              </w:rPr>
              <w:t>措施</w:t>
            </w:r>
          </w:p>
        </w:tc>
        <w:tc>
          <w:tcPr>
            <w:tcW w:w="4802" w:type="pct"/>
            <w:tcBorders>
              <w:top w:val="single" w:color="auto" w:sz="4" w:space="0"/>
              <w:bottom w:val="single" w:color="auto" w:sz="4" w:space="0"/>
              <w:right w:val="single" w:color="auto" w:sz="4" w:space="0"/>
            </w:tcBorders>
          </w:tcPr>
          <w:p w14:paraId="40166AD9">
            <w:pPr>
              <w:adjustRightInd w:val="0"/>
              <w:spacing w:line="360" w:lineRule="auto"/>
              <w:ind w:firstLine="482" w:firstLineChars="200"/>
              <w:contextualSpacing/>
              <w:rPr>
                <w:b/>
                <w:bCs/>
                <w:sz w:val="24"/>
              </w:rPr>
            </w:pPr>
            <w:r>
              <w:rPr>
                <w:b/>
                <w:bCs/>
                <w:sz w:val="24"/>
              </w:rPr>
              <w:t>一、环境空气影响分析</w:t>
            </w:r>
          </w:p>
          <w:p w14:paraId="23CF813D">
            <w:pPr>
              <w:adjustRightInd w:val="0"/>
              <w:snapToGrid w:val="0"/>
              <w:spacing w:line="360" w:lineRule="auto"/>
              <w:ind w:firstLine="480" w:firstLineChars="200"/>
              <w:rPr>
                <w:bCs/>
                <w:sz w:val="24"/>
              </w:rPr>
            </w:pPr>
            <w:r>
              <w:rPr>
                <w:bCs/>
                <w:sz w:val="24"/>
              </w:rPr>
              <w:t>项目运营过程中产生的废气主要为：</w:t>
            </w:r>
            <w:r>
              <w:rPr>
                <w:rFonts w:hint="eastAsia"/>
                <w:bCs/>
                <w:sz w:val="24"/>
              </w:rPr>
              <w:t>切割废气、焊接废气、抛光废气、喷塑废气、固化废气。</w:t>
            </w:r>
          </w:p>
          <w:p w14:paraId="47D68715">
            <w:pPr>
              <w:adjustRightInd w:val="0"/>
              <w:snapToGrid w:val="0"/>
              <w:spacing w:line="360" w:lineRule="auto"/>
              <w:ind w:firstLine="482" w:firstLineChars="200"/>
              <w:rPr>
                <w:b/>
                <w:bCs/>
                <w:sz w:val="24"/>
              </w:rPr>
            </w:pPr>
            <w:r>
              <w:rPr>
                <w:b/>
                <w:bCs/>
                <w:sz w:val="24"/>
              </w:rPr>
              <w:t>1、大气环境影响分析</w:t>
            </w:r>
          </w:p>
          <w:p w14:paraId="201C43B3">
            <w:pPr>
              <w:adjustRightInd w:val="0"/>
              <w:snapToGrid w:val="0"/>
              <w:spacing w:line="360" w:lineRule="auto"/>
              <w:ind w:firstLine="482" w:firstLineChars="200"/>
              <w:rPr>
                <w:b/>
                <w:bCs/>
                <w:sz w:val="24"/>
              </w:rPr>
            </w:pPr>
            <w:r>
              <w:rPr>
                <w:b/>
                <w:bCs/>
                <w:sz w:val="24"/>
              </w:rPr>
              <w:t>有组织废气：</w:t>
            </w:r>
          </w:p>
          <w:p w14:paraId="1464F1D9">
            <w:pPr>
              <w:adjustRightInd w:val="0"/>
              <w:snapToGrid w:val="0"/>
              <w:spacing w:line="360" w:lineRule="auto"/>
              <w:ind w:firstLine="482" w:firstLineChars="200"/>
              <w:rPr>
                <w:b/>
                <w:bCs/>
                <w:sz w:val="24"/>
              </w:rPr>
            </w:pPr>
            <w:r>
              <w:rPr>
                <w:b/>
                <w:bCs/>
                <w:sz w:val="24"/>
              </w:rPr>
              <w:t>（1）</w:t>
            </w:r>
            <w:r>
              <w:rPr>
                <w:rFonts w:hint="eastAsia"/>
                <w:b/>
                <w:bCs/>
                <w:sz w:val="24"/>
              </w:rPr>
              <w:t>切割废气</w:t>
            </w:r>
          </w:p>
          <w:p w14:paraId="5FD4AB07">
            <w:pPr>
              <w:pStyle w:val="7"/>
              <w:spacing w:line="360" w:lineRule="auto"/>
              <w:ind w:firstLine="480" w:firstLineChars="200"/>
              <w:contextualSpacing/>
              <w:rPr>
                <w:bCs/>
                <w:szCs w:val="24"/>
              </w:rPr>
            </w:pPr>
            <w:r>
              <w:rPr>
                <w:bCs/>
                <w:szCs w:val="24"/>
              </w:rPr>
              <w:t>本项目采用激光切割机、等离子切割机进行切割下料，</w:t>
            </w:r>
            <w:r>
              <w:rPr>
                <w:bCs/>
              </w:rPr>
              <w:t>参照《排放源统计调查产排污核算方法和系数手册》中工业行业产排污系数手册33-37，431-434机械行业系数手册，</w:t>
            </w:r>
            <w:r>
              <w:rPr>
                <w:rFonts w:hint="eastAsia"/>
                <w:bCs/>
              </w:rPr>
              <w:t>等离子切割</w:t>
            </w:r>
            <w:r>
              <w:rPr>
                <w:bCs/>
              </w:rPr>
              <w:t>粉尘产生量为1</w:t>
            </w:r>
            <w:r>
              <w:rPr>
                <w:rFonts w:hint="eastAsia"/>
                <w:bCs/>
              </w:rPr>
              <w:t>.</w:t>
            </w:r>
            <w:r>
              <w:rPr>
                <w:bCs/>
              </w:rPr>
              <w:t>1kg/t原料</w:t>
            </w:r>
            <w:r>
              <w:rPr>
                <w:bCs/>
                <w:szCs w:val="24"/>
              </w:rPr>
              <w:t>，</w:t>
            </w:r>
            <w:r>
              <w:rPr>
                <w:rFonts w:hint="eastAsia"/>
                <w:bCs/>
                <w:szCs w:val="24"/>
              </w:rPr>
              <w:t>采用切割机下料的钢板约为8000t</w:t>
            </w:r>
            <w:r>
              <w:rPr>
                <w:bCs/>
                <w:szCs w:val="24"/>
              </w:rPr>
              <w:t>，则切割废气产生量为</w:t>
            </w:r>
            <w:r>
              <w:rPr>
                <w:rFonts w:hint="eastAsia"/>
                <w:bCs/>
                <w:szCs w:val="24"/>
              </w:rPr>
              <w:t>8.8</w:t>
            </w:r>
            <w:r>
              <w:rPr>
                <w:bCs/>
                <w:szCs w:val="24"/>
              </w:rPr>
              <w:t>t/a。</w:t>
            </w:r>
          </w:p>
          <w:p w14:paraId="21667BEF">
            <w:pPr>
              <w:autoSpaceDE w:val="0"/>
              <w:autoSpaceDN w:val="0"/>
              <w:adjustRightInd w:val="0"/>
              <w:spacing w:line="360" w:lineRule="auto"/>
              <w:ind w:firstLine="482"/>
              <w:jc w:val="left"/>
              <w:rPr>
                <w:b/>
                <w:bCs/>
                <w:kern w:val="0"/>
                <w:sz w:val="24"/>
              </w:rPr>
            </w:pPr>
            <w:r>
              <w:rPr>
                <w:b/>
                <w:bCs/>
                <w:kern w:val="0"/>
                <w:sz w:val="24"/>
              </w:rPr>
              <w:t>（2）焊接烟尘</w:t>
            </w:r>
          </w:p>
          <w:p w14:paraId="3CF76B44">
            <w:pPr>
              <w:autoSpaceDE w:val="0"/>
              <w:autoSpaceDN w:val="0"/>
              <w:adjustRightInd w:val="0"/>
              <w:spacing w:line="360" w:lineRule="auto"/>
              <w:ind w:firstLine="480"/>
              <w:jc w:val="left"/>
              <w:rPr>
                <w:sz w:val="24"/>
              </w:rPr>
            </w:pPr>
            <w:r>
              <w:rPr>
                <w:bCs/>
                <w:kern w:val="0"/>
                <w:sz w:val="24"/>
              </w:rPr>
              <w:t>本项目产品焊接过程中会产生一定量的焊接烟尘，生产过程中采用</w:t>
            </w:r>
            <w:r>
              <w:rPr>
                <w:rFonts w:hint="eastAsia"/>
                <w:bCs/>
                <w:kern w:val="0"/>
                <w:sz w:val="24"/>
              </w:rPr>
              <w:t>气保</w:t>
            </w:r>
            <w:r>
              <w:rPr>
                <w:bCs/>
                <w:kern w:val="0"/>
                <w:sz w:val="24"/>
              </w:rPr>
              <w:t>焊、氩弧焊、埋弧焊、氩弧焊等焊机，采用实芯焊丝。参照《排放源统计调查产排污核算方法和系数手册》中工业行业产排污系数手册33-37，431-434机械行业系数手册，焊接过程中粉尘产生量为9.19kg/t原料，本项目实芯焊丝用量为30t/a，则焊接烟尘产生量为0.28t/a</w:t>
            </w:r>
            <w:r>
              <w:rPr>
                <w:sz w:val="24"/>
                <w:szCs w:val="28"/>
              </w:rPr>
              <w:t>。</w:t>
            </w:r>
          </w:p>
          <w:p w14:paraId="5EE8AE31">
            <w:pPr>
              <w:adjustRightInd w:val="0"/>
              <w:snapToGrid w:val="0"/>
              <w:spacing w:line="360" w:lineRule="auto"/>
              <w:ind w:firstLine="482" w:firstLineChars="200"/>
              <w:rPr>
                <w:b/>
                <w:bCs/>
                <w:sz w:val="24"/>
              </w:rPr>
            </w:pPr>
            <w:r>
              <w:rPr>
                <w:b/>
                <w:bCs/>
                <w:sz w:val="24"/>
              </w:rPr>
              <w:t>（3）抛光</w:t>
            </w:r>
            <w:r>
              <w:rPr>
                <w:rFonts w:hint="eastAsia"/>
                <w:b/>
                <w:bCs/>
                <w:sz w:val="24"/>
              </w:rPr>
              <w:t>废气</w:t>
            </w:r>
          </w:p>
          <w:p w14:paraId="14587970">
            <w:pPr>
              <w:autoSpaceDE w:val="0"/>
              <w:autoSpaceDN w:val="0"/>
              <w:adjustRightInd w:val="0"/>
              <w:spacing w:line="360" w:lineRule="auto"/>
              <w:ind w:firstLine="480"/>
              <w:jc w:val="left"/>
              <w:rPr>
                <w:sz w:val="24"/>
              </w:rPr>
            </w:pPr>
            <w:r>
              <w:rPr>
                <w:rFonts w:hint="eastAsia"/>
                <w:bCs/>
                <w:sz w:val="24"/>
              </w:rPr>
              <w:t>项目建设完成后</w:t>
            </w:r>
            <w:r>
              <w:rPr>
                <w:bCs/>
                <w:sz w:val="24"/>
              </w:rPr>
              <w:t>抛光粉尘来自抛光工序，</w:t>
            </w:r>
            <w:r>
              <w:rPr>
                <w:rFonts w:hint="eastAsia"/>
                <w:bCs/>
                <w:sz w:val="24"/>
              </w:rPr>
              <w:t>本项目仅对产品的焊接接缝处进行抛光处理，根据企业提供的设计资料</w:t>
            </w:r>
            <w:r>
              <w:rPr>
                <w:bCs/>
                <w:sz w:val="24"/>
              </w:rPr>
              <w:t>，</w:t>
            </w:r>
            <w:r>
              <w:rPr>
                <w:rFonts w:hint="eastAsia"/>
                <w:bCs/>
                <w:sz w:val="24"/>
              </w:rPr>
              <w:t>需要抛光部分钢材占用量的5</w:t>
            </w:r>
            <w:r>
              <w:rPr>
                <w:bCs/>
                <w:sz w:val="24"/>
              </w:rPr>
              <w:t>%，</w:t>
            </w:r>
            <w:r>
              <w:rPr>
                <w:rFonts w:hint="eastAsia"/>
                <w:bCs/>
                <w:sz w:val="24"/>
              </w:rPr>
              <w:t>约</w:t>
            </w:r>
            <w:r>
              <w:rPr>
                <w:bCs/>
                <w:sz w:val="24"/>
              </w:rPr>
              <w:t>885t/a，项目抛光粉尘产生量参考《排放源统计调查产排污核算方法和系数手册》中表1工业行业产排污系数手册 33-37，431-434 机械行业系数手册：干式预处理工艺粉尘产污系数为2.19 kg/t-原料，则抛光粉尘产生量</w:t>
            </w:r>
            <w:r>
              <w:rPr>
                <w:rFonts w:hint="eastAsia"/>
                <w:bCs/>
                <w:sz w:val="24"/>
              </w:rPr>
              <w:t>1</w:t>
            </w:r>
            <w:r>
              <w:rPr>
                <w:bCs/>
                <w:sz w:val="24"/>
              </w:rPr>
              <w:t>.94t/a。</w:t>
            </w:r>
          </w:p>
          <w:p w14:paraId="4C324BD0">
            <w:pPr>
              <w:autoSpaceDE w:val="0"/>
              <w:autoSpaceDN w:val="0"/>
              <w:adjustRightInd w:val="0"/>
              <w:spacing w:line="360" w:lineRule="auto"/>
              <w:ind w:firstLine="480"/>
              <w:jc w:val="left"/>
              <w:rPr>
                <w:sz w:val="24"/>
              </w:rPr>
            </w:pPr>
            <w:r>
              <w:rPr>
                <w:rFonts w:hint="eastAsia"/>
                <w:sz w:val="24"/>
              </w:rPr>
              <w:t>则本项目切割粉尘、焊接烟尘和抛光粉尘总产生量为</w:t>
            </w:r>
            <w:r>
              <w:rPr>
                <w:sz w:val="24"/>
              </w:rPr>
              <w:t>11.02</w:t>
            </w:r>
            <w:r>
              <w:rPr>
                <w:rFonts w:hint="eastAsia"/>
                <w:sz w:val="24"/>
              </w:rPr>
              <w:t>t/a。</w:t>
            </w:r>
          </w:p>
          <w:p w14:paraId="45C3246C">
            <w:pPr>
              <w:autoSpaceDE w:val="0"/>
              <w:autoSpaceDN w:val="0"/>
              <w:adjustRightInd w:val="0"/>
              <w:spacing w:line="360" w:lineRule="auto"/>
              <w:ind w:firstLine="480"/>
              <w:jc w:val="left"/>
              <w:rPr>
                <w:sz w:val="24"/>
              </w:rPr>
            </w:pPr>
            <w:r>
              <w:rPr>
                <w:sz w:val="24"/>
              </w:rPr>
              <w:t>本项目</w:t>
            </w:r>
            <w:bookmarkStart w:id="164" w:name="OLE_LINK81"/>
            <w:bookmarkStart w:id="165" w:name="OLE_LINK80"/>
            <w:r>
              <w:rPr>
                <w:rFonts w:hint="eastAsia"/>
                <w:sz w:val="24"/>
              </w:rPr>
              <w:t>切割粉尘、焊接烟尘和抛光粉尘</w:t>
            </w:r>
            <w:bookmarkEnd w:id="164"/>
            <w:bookmarkEnd w:id="165"/>
            <w:r>
              <w:rPr>
                <w:sz w:val="24"/>
              </w:rPr>
              <w:t>经集气罩收集后经布袋除尘器（TA001）处理后，通过1根15m高排气筒（DA001）排放。集气罩收集效率按照90%计，布袋除尘器处理效率按95%计，风机风量为15000m</w:t>
            </w:r>
            <w:r>
              <w:rPr>
                <w:sz w:val="24"/>
                <w:vertAlign w:val="superscript"/>
              </w:rPr>
              <w:t>3</w:t>
            </w:r>
            <w:r>
              <w:rPr>
                <w:sz w:val="24"/>
              </w:rPr>
              <w:t>/h</w:t>
            </w:r>
            <w:r>
              <w:rPr>
                <w:rFonts w:hint="eastAsia"/>
                <w:sz w:val="24"/>
              </w:rPr>
              <w:t>。本项目下料工序、焊接工序、抛光工序工作时间为2</w:t>
            </w:r>
            <w:r>
              <w:rPr>
                <w:sz w:val="24"/>
              </w:rPr>
              <w:t>100h/a，</w:t>
            </w:r>
            <w:r>
              <w:rPr>
                <w:rFonts w:hint="eastAsia"/>
                <w:sz w:val="24"/>
              </w:rPr>
              <w:t>因此项目完成后，切割工序、焊接工序、抛光工序有组织</w:t>
            </w:r>
            <w:r>
              <w:rPr>
                <w:sz w:val="24"/>
              </w:rPr>
              <w:t>产生量为9.92t/a，排气筒DA001有组织粉尘排放量为0.</w:t>
            </w:r>
            <w:r>
              <w:rPr>
                <w:rFonts w:hint="eastAsia"/>
                <w:sz w:val="24"/>
              </w:rPr>
              <w:t>49</w:t>
            </w:r>
            <w:r>
              <w:rPr>
                <w:sz w:val="24"/>
              </w:rPr>
              <w:t>6</w:t>
            </w:r>
            <w:r>
              <w:rPr>
                <w:rFonts w:hint="eastAsia"/>
                <w:sz w:val="24"/>
              </w:rPr>
              <w:t>t</w:t>
            </w:r>
            <w:r>
              <w:rPr>
                <w:sz w:val="24"/>
              </w:rPr>
              <w:t>/a，排放速率为</w:t>
            </w:r>
            <w:r>
              <w:rPr>
                <w:rFonts w:hint="eastAsia"/>
                <w:sz w:val="24"/>
              </w:rPr>
              <w:t>0.2</w:t>
            </w:r>
            <w:r>
              <w:rPr>
                <w:sz w:val="24"/>
              </w:rPr>
              <w:t>36kg/h，排放浓度为15.73mg/m</w:t>
            </w:r>
            <w:r>
              <w:rPr>
                <w:sz w:val="24"/>
                <w:vertAlign w:val="superscript"/>
              </w:rPr>
              <w:t>3</w:t>
            </w:r>
            <w:r>
              <w:rPr>
                <w:rFonts w:hint="eastAsia"/>
                <w:sz w:val="24"/>
              </w:rPr>
              <w:t>，</w:t>
            </w:r>
            <w:r>
              <w:rPr>
                <w:sz w:val="24"/>
              </w:rPr>
              <w:t>颗粒物有组织排放浓度满足《区域性大气污染物综合排放标准》（ DB 37/2376-2019）表 1“一般控制区”浓度限值（20mg/m</w:t>
            </w:r>
            <w:r>
              <w:rPr>
                <w:sz w:val="24"/>
                <w:vertAlign w:val="superscript"/>
              </w:rPr>
              <w:t>3</w:t>
            </w:r>
            <w:r>
              <w:rPr>
                <w:sz w:val="24"/>
              </w:rPr>
              <w:t>），排放速率满足《大气污染物综合排放标准》（GB16297-1996）表2二级标准限值（3.5kg/h）。</w:t>
            </w:r>
          </w:p>
          <w:p w14:paraId="632F3889">
            <w:pPr>
              <w:adjustRightInd w:val="0"/>
              <w:snapToGrid w:val="0"/>
              <w:spacing w:line="360" w:lineRule="auto"/>
              <w:ind w:firstLine="420"/>
              <w:rPr>
                <w:b/>
                <w:bCs/>
                <w:sz w:val="24"/>
              </w:rPr>
            </w:pPr>
            <w:r>
              <w:rPr>
                <w:b/>
                <w:bCs/>
                <w:sz w:val="24"/>
              </w:rPr>
              <w:t>切割、焊接、抛光废气风量核算：</w:t>
            </w:r>
          </w:p>
          <w:p w14:paraId="187B0855">
            <w:pPr>
              <w:adjustRightInd w:val="0"/>
              <w:snapToGrid w:val="0"/>
              <w:spacing w:line="360" w:lineRule="auto"/>
              <w:ind w:firstLine="420"/>
              <w:rPr>
                <w:bCs/>
                <w:sz w:val="24"/>
              </w:rPr>
            </w:pPr>
            <w:r>
              <w:rPr>
                <w:bCs/>
                <w:sz w:val="24"/>
              </w:rPr>
              <w:t>本项目在</w:t>
            </w:r>
            <w:r>
              <w:rPr>
                <w:rFonts w:hint="eastAsia"/>
                <w:bCs/>
                <w:sz w:val="24"/>
              </w:rPr>
              <w:t>切割机</w:t>
            </w:r>
            <w:r>
              <w:rPr>
                <w:bCs/>
                <w:sz w:val="24"/>
              </w:rPr>
              <w:t>上方</w:t>
            </w:r>
            <w:r>
              <w:rPr>
                <w:rFonts w:hint="eastAsia"/>
                <w:bCs/>
                <w:sz w:val="24"/>
              </w:rPr>
              <w:t>、焊接区域、全自动抛光设备上方均</w:t>
            </w:r>
            <w:r>
              <w:rPr>
                <w:bCs/>
                <w:sz w:val="24"/>
              </w:rPr>
              <w:t>设置集气罩收集废气</w:t>
            </w:r>
            <w:r>
              <w:rPr>
                <w:rFonts w:hint="eastAsia"/>
                <w:bCs/>
                <w:sz w:val="24"/>
              </w:rPr>
              <w:t>，</w:t>
            </w:r>
          </w:p>
          <w:p w14:paraId="22BA6CCF">
            <w:pPr>
              <w:adjustRightInd w:val="0"/>
              <w:snapToGrid w:val="0"/>
              <w:spacing w:line="360" w:lineRule="auto"/>
              <w:rPr>
                <w:bCs/>
                <w:sz w:val="24"/>
              </w:rPr>
            </w:pPr>
            <w:r>
              <w:rPr>
                <w:rFonts w:hint="eastAsia"/>
                <w:bCs/>
                <w:sz w:val="24"/>
              </w:rPr>
              <w:t>根据《环境工程设计技术手册》(2002 年版)，集气罩风量计算公式为：</w:t>
            </w:r>
          </w:p>
          <w:p w14:paraId="10916A55">
            <w:pPr>
              <w:adjustRightInd w:val="0"/>
              <w:snapToGrid w:val="0"/>
              <w:spacing w:line="360" w:lineRule="auto"/>
              <w:ind w:firstLine="420"/>
              <w:jc w:val="center"/>
              <w:rPr>
                <w:bCs/>
                <w:sz w:val="24"/>
              </w:rPr>
            </w:pPr>
            <w:r>
              <w:rPr>
                <w:rFonts w:hint="eastAsia"/>
                <w:bCs/>
                <w:sz w:val="24"/>
              </w:rPr>
              <w:t>L</w:t>
            </w:r>
            <w:r>
              <w:rPr>
                <w:bCs/>
                <w:sz w:val="24"/>
              </w:rPr>
              <w:t>=KPHV</w:t>
            </w:r>
            <w:r>
              <w:rPr>
                <w:rFonts w:hint="eastAsia"/>
                <w:bCs/>
                <w:sz w:val="24"/>
              </w:rPr>
              <w:t>r×</w:t>
            </w:r>
            <w:r>
              <w:rPr>
                <w:bCs/>
                <w:sz w:val="24"/>
              </w:rPr>
              <w:t>3600</w:t>
            </w:r>
          </w:p>
          <w:p w14:paraId="6C86E9CD">
            <w:pPr>
              <w:adjustRightInd w:val="0"/>
              <w:snapToGrid w:val="0"/>
              <w:spacing w:line="360" w:lineRule="auto"/>
              <w:ind w:firstLine="420"/>
              <w:rPr>
                <w:bCs/>
                <w:sz w:val="24"/>
              </w:rPr>
            </w:pPr>
            <w:r>
              <w:rPr>
                <w:rFonts w:hint="eastAsia"/>
                <w:bCs/>
                <w:sz w:val="24"/>
              </w:rPr>
              <w:t>其中：L</w:t>
            </w:r>
            <w:r>
              <w:rPr>
                <w:bCs/>
                <w:sz w:val="24"/>
              </w:rPr>
              <w:t>-</w:t>
            </w:r>
            <w:r>
              <w:rPr>
                <w:rFonts w:hint="eastAsia"/>
                <w:bCs/>
                <w:sz w:val="24"/>
              </w:rPr>
              <w:t>集气罩风量；</w:t>
            </w:r>
          </w:p>
          <w:p w14:paraId="33F45BB9">
            <w:pPr>
              <w:adjustRightInd w:val="0"/>
              <w:snapToGrid w:val="0"/>
              <w:spacing w:line="360" w:lineRule="auto"/>
              <w:ind w:firstLine="420"/>
              <w:rPr>
                <w:bCs/>
                <w:sz w:val="24"/>
              </w:rPr>
            </w:pPr>
            <w:r>
              <w:rPr>
                <w:rFonts w:hint="eastAsia"/>
                <w:bCs/>
                <w:sz w:val="24"/>
              </w:rPr>
              <w:t>P-集气罩敞开面周长，m；（项目在1台大型激光切割机、1台中型切割机、1台等离子切割机上方均设置集气罩，周长为</w:t>
            </w:r>
            <w:r>
              <w:rPr>
                <w:bCs/>
                <w:sz w:val="24"/>
              </w:rPr>
              <w:t>14</w:t>
            </w:r>
            <w:r>
              <w:rPr>
                <w:rFonts w:hint="eastAsia"/>
                <w:bCs/>
                <w:sz w:val="24"/>
              </w:rPr>
              <w:t>m；焊接区域上方设置集气罩，周长取值为</w:t>
            </w:r>
            <w:r>
              <w:rPr>
                <w:bCs/>
                <w:sz w:val="24"/>
              </w:rPr>
              <w:t>20</w:t>
            </w:r>
            <w:r>
              <w:rPr>
                <w:rFonts w:hint="eastAsia"/>
                <w:bCs/>
                <w:sz w:val="24"/>
              </w:rPr>
              <w:t>m；1台全自动抛光设备上方设置集气罩，周长为</w:t>
            </w:r>
            <w:r>
              <w:rPr>
                <w:bCs/>
                <w:sz w:val="24"/>
              </w:rPr>
              <w:t>4m</w:t>
            </w:r>
            <w:r>
              <w:rPr>
                <w:rFonts w:hint="eastAsia"/>
                <w:bCs/>
                <w:sz w:val="24"/>
              </w:rPr>
              <w:t>）</w:t>
            </w:r>
          </w:p>
          <w:p w14:paraId="65B8F46E">
            <w:pPr>
              <w:adjustRightInd w:val="0"/>
              <w:snapToGrid w:val="0"/>
              <w:spacing w:line="360" w:lineRule="auto"/>
              <w:ind w:firstLine="420"/>
              <w:rPr>
                <w:bCs/>
                <w:sz w:val="24"/>
              </w:rPr>
            </w:pPr>
            <w:r>
              <w:rPr>
                <w:rFonts w:hint="eastAsia"/>
                <w:bCs/>
                <w:sz w:val="24"/>
              </w:rPr>
              <w:t>H-集气罩至污染源距离，m；（本次取值</w:t>
            </w:r>
            <w:r>
              <w:rPr>
                <w:bCs/>
                <w:sz w:val="24"/>
              </w:rPr>
              <w:t>0.3</w:t>
            </w:r>
            <w:r>
              <w:rPr>
                <w:rFonts w:hint="eastAsia"/>
                <w:bCs/>
                <w:sz w:val="24"/>
              </w:rPr>
              <w:t>m）;</w:t>
            </w:r>
          </w:p>
          <w:p w14:paraId="666CF625">
            <w:pPr>
              <w:adjustRightInd w:val="0"/>
              <w:snapToGrid w:val="0"/>
              <w:spacing w:line="360" w:lineRule="auto"/>
              <w:ind w:firstLine="420"/>
              <w:rPr>
                <w:bCs/>
                <w:sz w:val="24"/>
              </w:rPr>
            </w:pPr>
            <w:r>
              <w:rPr>
                <w:rFonts w:hint="eastAsia"/>
                <w:bCs/>
                <w:sz w:val="24"/>
              </w:rPr>
              <w:t>Vr-集气罩置面风速，m/s；（本次取值0.</w:t>
            </w:r>
            <w:r>
              <w:rPr>
                <w:bCs/>
                <w:sz w:val="24"/>
              </w:rPr>
              <w:t>3</w:t>
            </w:r>
            <w:r>
              <w:rPr>
                <w:rFonts w:hint="eastAsia"/>
                <w:bCs/>
                <w:sz w:val="24"/>
              </w:rPr>
              <w:t>m</w:t>
            </w:r>
            <w:r>
              <w:rPr>
                <w:bCs/>
                <w:sz w:val="24"/>
              </w:rPr>
              <w:t>/</w:t>
            </w:r>
            <w:r>
              <w:rPr>
                <w:rFonts w:hint="eastAsia"/>
                <w:bCs/>
                <w:sz w:val="24"/>
              </w:rPr>
              <w:t>s）;</w:t>
            </w:r>
          </w:p>
          <w:p w14:paraId="6A0484A1">
            <w:pPr>
              <w:adjustRightInd w:val="0"/>
              <w:snapToGrid w:val="0"/>
              <w:spacing w:line="360" w:lineRule="auto"/>
              <w:ind w:firstLine="420"/>
              <w:rPr>
                <w:bCs/>
                <w:sz w:val="24"/>
              </w:rPr>
            </w:pPr>
            <w:r>
              <w:rPr>
                <w:rFonts w:hint="eastAsia"/>
                <w:bCs/>
                <w:sz w:val="24"/>
              </w:rPr>
              <w:t>k-安全系数；（本次取值1.2）。</w:t>
            </w:r>
          </w:p>
          <w:p w14:paraId="36333B2F">
            <w:pPr>
              <w:adjustRightInd w:val="0"/>
              <w:snapToGrid w:val="0"/>
              <w:spacing w:line="360" w:lineRule="auto"/>
              <w:ind w:firstLine="420"/>
              <w:rPr>
                <w:bCs/>
                <w:sz w:val="24"/>
              </w:rPr>
            </w:pPr>
            <w:r>
              <w:rPr>
                <w:rFonts w:hint="eastAsia"/>
                <w:bCs/>
                <w:sz w:val="24"/>
              </w:rPr>
              <w:t>经计算，本项目废气集气罩风量约为</w:t>
            </w:r>
            <w:r>
              <w:rPr>
                <w:bCs/>
                <w:sz w:val="24"/>
              </w:rPr>
              <w:t>14774.4</w:t>
            </w:r>
            <w:r>
              <w:rPr>
                <w:rFonts w:hint="eastAsia"/>
                <w:bCs/>
                <w:sz w:val="24"/>
              </w:rPr>
              <w:t>m</w:t>
            </w:r>
            <w:r>
              <w:rPr>
                <w:rFonts w:hint="eastAsia"/>
                <w:bCs/>
                <w:sz w:val="24"/>
                <w:vertAlign w:val="superscript"/>
              </w:rPr>
              <w:t>3</w:t>
            </w:r>
            <w:r>
              <w:rPr>
                <w:rFonts w:hint="eastAsia"/>
                <w:bCs/>
                <w:sz w:val="24"/>
              </w:rPr>
              <w:t>/h，根据建设单位提供的资料，固考虑损耗，本项目切割、焊接、抛光废气设计风机风量为</w:t>
            </w:r>
            <w:r>
              <w:rPr>
                <w:bCs/>
                <w:sz w:val="24"/>
              </w:rPr>
              <w:t>15000m³/h</w:t>
            </w:r>
            <w:r>
              <w:rPr>
                <w:rFonts w:hint="eastAsia"/>
                <w:bCs/>
                <w:sz w:val="24"/>
              </w:rPr>
              <w:t>，满足排气筒D</w:t>
            </w:r>
            <w:r>
              <w:rPr>
                <w:bCs/>
                <w:sz w:val="24"/>
              </w:rPr>
              <w:t>A001</w:t>
            </w:r>
            <w:r>
              <w:rPr>
                <w:rFonts w:hint="eastAsia"/>
                <w:bCs/>
                <w:sz w:val="24"/>
              </w:rPr>
              <w:t>废气有效收集的要求</w:t>
            </w:r>
            <w:r>
              <w:rPr>
                <w:bCs/>
                <w:sz w:val="24"/>
              </w:rPr>
              <w:t>。</w:t>
            </w:r>
          </w:p>
          <w:p w14:paraId="74628F0F">
            <w:pPr>
              <w:adjustRightInd w:val="0"/>
              <w:snapToGrid w:val="0"/>
              <w:spacing w:line="360" w:lineRule="auto"/>
              <w:ind w:firstLine="482" w:firstLineChars="200"/>
              <w:rPr>
                <w:b/>
                <w:bCs/>
                <w:sz w:val="24"/>
              </w:rPr>
            </w:pPr>
            <w:r>
              <w:rPr>
                <w:rFonts w:hint="eastAsia"/>
                <w:b/>
                <w:bCs/>
                <w:sz w:val="24"/>
              </w:rPr>
              <w:t>（</w:t>
            </w:r>
            <w:r>
              <w:rPr>
                <w:b/>
                <w:bCs/>
                <w:sz w:val="24"/>
              </w:rPr>
              <w:t>4</w:t>
            </w:r>
            <w:r>
              <w:rPr>
                <w:rFonts w:hint="eastAsia"/>
                <w:b/>
                <w:bCs/>
                <w:sz w:val="24"/>
              </w:rPr>
              <w:t>）喷塑粉尘</w:t>
            </w:r>
          </w:p>
          <w:p w14:paraId="6B7F08CD">
            <w:pPr>
              <w:adjustRightInd w:val="0"/>
              <w:snapToGrid w:val="0"/>
              <w:spacing w:line="360" w:lineRule="auto"/>
              <w:ind w:firstLine="480" w:firstLineChars="200"/>
              <w:rPr>
                <w:bCs/>
                <w:sz w:val="24"/>
                <w:szCs w:val="20"/>
              </w:rPr>
            </w:pPr>
            <w:r>
              <w:rPr>
                <w:rFonts w:hint="eastAsia"/>
                <w:bCs/>
                <w:sz w:val="24"/>
                <w:szCs w:val="20"/>
              </w:rPr>
              <w:t>本项目塑粉（热固性粉末涂料）用量为</w:t>
            </w:r>
            <w:r>
              <w:rPr>
                <w:bCs/>
                <w:sz w:val="24"/>
                <w:szCs w:val="20"/>
              </w:rPr>
              <w:t>48.5t</w:t>
            </w:r>
            <w:r>
              <w:rPr>
                <w:rFonts w:hint="eastAsia"/>
                <w:bCs/>
                <w:sz w:val="24"/>
                <w:szCs w:val="20"/>
              </w:rPr>
              <w:t>/a，参考</w:t>
            </w:r>
            <w:r>
              <w:rPr>
                <w:rFonts w:hint="eastAsia"/>
                <w:bCs/>
                <w:sz w:val="24"/>
              </w:rPr>
              <w:t>《排放源统计调查产排污核算方法和系数手册》“33-37，431-434机械行业系数手册”</w:t>
            </w:r>
            <w:r>
              <w:rPr>
                <w:rFonts w:hint="eastAsia"/>
                <w:bCs/>
                <w:sz w:val="24"/>
                <w:szCs w:val="20"/>
              </w:rPr>
              <w:t>，喷塑工序颗粒物产生系数按</w:t>
            </w:r>
            <w:r>
              <w:rPr>
                <w:bCs/>
                <w:sz w:val="24"/>
                <w:szCs w:val="20"/>
              </w:rPr>
              <w:t>300</w:t>
            </w:r>
            <w:r>
              <w:rPr>
                <w:rFonts w:hint="eastAsia"/>
                <w:bCs/>
                <w:sz w:val="24"/>
                <w:szCs w:val="20"/>
              </w:rPr>
              <w:t>kg/t-原料，本项目喷塑工序粉尘产生量为</w:t>
            </w:r>
            <w:r>
              <w:rPr>
                <w:bCs/>
                <w:sz w:val="24"/>
                <w:szCs w:val="20"/>
              </w:rPr>
              <w:t>14.55t/</w:t>
            </w:r>
            <w:r>
              <w:rPr>
                <w:rFonts w:hint="eastAsia"/>
                <w:bCs/>
                <w:sz w:val="24"/>
                <w:szCs w:val="20"/>
              </w:rPr>
              <w:t>a。</w:t>
            </w:r>
          </w:p>
          <w:p w14:paraId="1BB71590">
            <w:pPr>
              <w:adjustRightInd w:val="0"/>
              <w:snapToGrid w:val="0"/>
              <w:spacing w:line="360" w:lineRule="auto"/>
              <w:ind w:firstLine="480" w:firstLineChars="200"/>
              <w:rPr>
                <w:bCs/>
                <w:sz w:val="24"/>
                <w:szCs w:val="20"/>
              </w:rPr>
            </w:pPr>
            <w:r>
              <w:rPr>
                <w:bCs/>
                <w:sz w:val="24"/>
                <w:szCs w:val="20"/>
              </w:rPr>
              <w:t>喷塑工序在密闭喷塑</w:t>
            </w:r>
            <w:r>
              <w:rPr>
                <w:rFonts w:hint="eastAsia"/>
                <w:bCs/>
                <w:sz w:val="24"/>
                <w:szCs w:val="20"/>
              </w:rPr>
              <w:t>房</w:t>
            </w:r>
            <w:r>
              <w:rPr>
                <w:bCs/>
                <w:sz w:val="24"/>
                <w:szCs w:val="20"/>
              </w:rPr>
              <w:t>进行，经管道收集后</w:t>
            </w:r>
            <w:r>
              <w:rPr>
                <w:rFonts w:hint="eastAsia"/>
                <w:bCs/>
                <w:sz w:val="24"/>
                <w:szCs w:val="20"/>
              </w:rPr>
              <w:t>进入</w:t>
            </w:r>
            <w:r>
              <w:rPr>
                <w:bCs/>
                <w:sz w:val="24"/>
                <w:szCs w:val="20"/>
              </w:rPr>
              <w:t>布袋除尘器</w:t>
            </w:r>
            <w:r>
              <w:rPr>
                <w:rFonts w:hint="eastAsia"/>
                <w:bCs/>
                <w:sz w:val="24"/>
                <w:szCs w:val="20"/>
              </w:rPr>
              <w:t>（T</w:t>
            </w:r>
            <w:r>
              <w:rPr>
                <w:bCs/>
                <w:sz w:val="24"/>
                <w:szCs w:val="20"/>
              </w:rPr>
              <w:t>A002</w:t>
            </w:r>
            <w:r>
              <w:rPr>
                <w:rFonts w:hint="eastAsia"/>
                <w:bCs/>
                <w:sz w:val="24"/>
                <w:szCs w:val="20"/>
              </w:rPr>
              <w:t>）</w:t>
            </w:r>
            <w:r>
              <w:rPr>
                <w:bCs/>
                <w:sz w:val="24"/>
                <w:szCs w:val="20"/>
              </w:rPr>
              <w:t>处理</w:t>
            </w:r>
            <w:r>
              <w:rPr>
                <w:rFonts w:hint="eastAsia"/>
                <w:bCs/>
                <w:sz w:val="24"/>
                <w:szCs w:val="20"/>
              </w:rPr>
              <w:t>，收集效率为</w:t>
            </w:r>
            <w:r>
              <w:rPr>
                <w:bCs/>
                <w:sz w:val="24"/>
                <w:szCs w:val="20"/>
              </w:rPr>
              <w:t>95%</w:t>
            </w:r>
            <w:r>
              <w:rPr>
                <w:rFonts w:hint="eastAsia"/>
                <w:bCs/>
                <w:sz w:val="24"/>
                <w:szCs w:val="20"/>
              </w:rPr>
              <w:t>，</w:t>
            </w:r>
            <w:r>
              <w:rPr>
                <w:bCs/>
                <w:sz w:val="24"/>
                <w:szCs w:val="20"/>
              </w:rPr>
              <w:t>除尘效率为95%，</w:t>
            </w:r>
            <w:r>
              <w:rPr>
                <w:rFonts w:hint="eastAsia"/>
                <w:bCs/>
                <w:sz w:val="24"/>
                <w:szCs w:val="20"/>
              </w:rPr>
              <w:t>年工作时间为</w:t>
            </w:r>
            <w:r>
              <w:rPr>
                <w:bCs/>
                <w:sz w:val="24"/>
                <w:szCs w:val="20"/>
              </w:rPr>
              <w:t>18</w:t>
            </w:r>
            <w:r>
              <w:rPr>
                <w:rFonts w:hint="eastAsia"/>
                <w:bCs/>
                <w:sz w:val="24"/>
                <w:szCs w:val="20"/>
              </w:rPr>
              <w:t>00h，根据建设单位提供资料，</w:t>
            </w:r>
            <w:r>
              <w:rPr>
                <w:rFonts w:hint="eastAsia"/>
                <w:bCs/>
                <w:sz w:val="24"/>
                <w:szCs w:val="20"/>
                <w:lang w:val="en-GB"/>
              </w:rPr>
              <w:t>风机风量为</w:t>
            </w:r>
            <w:r>
              <w:rPr>
                <w:bCs/>
                <w:sz w:val="24"/>
                <w:szCs w:val="20"/>
              </w:rPr>
              <w:t>2</w:t>
            </w:r>
            <w:r>
              <w:rPr>
                <w:rFonts w:hint="eastAsia"/>
                <w:bCs/>
                <w:sz w:val="24"/>
                <w:szCs w:val="20"/>
              </w:rPr>
              <w:t>5000m</w:t>
            </w:r>
            <w:r>
              <w:rPr>
                <w:rFonts w:hint="eastAsia"/>
                <w:bCs/>
                <w:sz w:val="24"/>
                <w:szCs w:val="20"/>
                <w:vertAlign w:val="superscript"/>
              </w:rPr>
              <w:t>3</w:t>
            </w:r>
            <w:r>
              <w:rPr>
                <w:rFonts w:hint="eastAsia"/>
                <w:bCs/>
                <w:sz w:val="24"/>
                <w:szCs w:val="20"/>
              </w:rPr>
              <w:t>/h，经1根15m高排气筒排放（</w:t>
            </w:r>
            <w:r>
              <w:rPr>
                <w:bCs/>
                <w:sz w:val="24"/>
                <w:szCs w:val="20"/>
              </w:rPr>
              <w:t>DA002</w:t>
            </w:r>
            <w:r>
              <w:rPr>
                <w:rFonts w:hint="eastAsia"/>
                <w:bCs/>
                <w:sz w:val="24"/>
                <w:szCs w:val="20"/>
              </w:rPr>
              <w:t>）。经计算，本项目有组织喷塑粉尘排放量</w:t>
            </w:r>
            <w:r>
              <w:rPr>
                <w:bCs/>
                <w:sz w:val="24"/>
                <w:szCs w:val="20"/>
              </w:rPr>
              <w:t>0.69t/</w:t>
            </w:r>
            <w:r>
              <w:rPr>
                <w:rFonts w:hint="eastAsia"/>
                <w:bCs/>
                <w:sz w:val="24"/>
                <w:szCs w:val="20"/>
              </w:rPr>
              <w:t>a，排放速率为</w:t>
            </w:r>
            <w:r>
              <w:rPr>
                <w:bCs/>
                <w:sz w:val="24"/>
                <w:szCs w:val="20"/>
              </w:rPr>
              <w:t>0.38kg/</w:t>
            </w:r>
            <w:r>
              <w:rPr>
                <w:rFonts w:hint="eastAsia"/>
                <w:bCs/>
                <w:sz w:val="24"/>
                <w:szCs w:val="20"/>
              </w:rPr>
              <w:t>h</w:t>
            </w:r>
            <w:r>
              <w:rPr>
                <w:bCs/>
                <w:sz w:val="24"/>
                <w:szCs w:val="20"/>
              </w:rPr>
              <w:t>，</w:t>
            </w:r>
            <w:r>
              <w:rPr>
                <w:rFonts w:hint="eastAsia"/>
                <w:bCs/>
                <w:sz w:val="24"/>
                <w:szCs w:val="20"/>
              </w:rPr>
              <w:t>排放浓度为</w:t>
            </w:r>
            <w:r>
              <w:rPr>
                <w:bCs/>
                <w:sz w:val="24"/>
                <w:szCs w:val="20"/>
              </w:rPr>
              <w:t>15.2mg/m</w:t>
            </w:r>
            <w:r>
              <w:rPr>
                <w:bCs/>
                <w:sz w:val="24"/>
                <w:szCs w:val="20"/>
                <w:vertAlign w:val="superscript"/>
              </w:rPr>
              <w:t>3</w:t>
            </w:r>
            <w:r>
              <w:rPr>
                <w:bCs/>
                <w:sz w:val="24"/>
                <w:szCs w:val="20"/>
              </w:rPr>
              <w:t>。</w:t>
            </w:r>
          </w:p>
          <w:p w14:paraId="7E75663D">
            <w:pPr>
              <w:spacing w:line="360" w:lineRule="auto"/>
              <w:jc w:val="center"/>
              <w:rPr>
                <w:b/>
                <w:bCs/>
                <w:kern w:val="0"/>
                <w:sz w:val="24"/>
              </w:rPr>
            </w:pPr>
            <w:r>
              <w:rPr>
                <w:b/>
                <w:bCs/>
                <w:kern w:val="0"/>
                <w:sz w:val="24"/>
              </w:rPr>
              <w:t xml:space="preserve">表24 </w:t>
            </w:r>
            <w:r>
              <w:rPr>
                <w:rFonts w:hint="eastAsia"/>
                <w:b/>
                <w:bCs/>
                <w:kern w:val="0"/>
                <w:sz w:val="24"/>
              </w:rPr>
              <w:t>喷塑废气风量核算</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9"/>
              <w:gridCol w:w="3685"/>
              <w:gridCol w:w="1475"/>
              <w:gridCol w:w="2192"/>
            </w:tblGrid>
            <w:tr w14:paraId="78B3E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4" w:type="pct"/>
                  <w:vAlign w:val="center"/>
                </w:tcPr>
                <w:p w14:paraId="6AE4FDDF">
                  <w:pPr>
                    <w:jc w:val="center"/>
                    <w:rPr>
                      <w:bCs/>
                      <w:kern w:val="0"/>
                      <w:szCs w:val="21"/>
                    </w:rPr>
                  </w:pPr>
                  <w:r>
                    <w:rPr>
                      <w:rFonts w:hint="eastAsia"/>
                      <w:bCs/>
                      <w:kern w:val="0"/>
                      <w:szCs w:val="21"/>
                    </w:rPr>
                    <w:t>工序名称</w:t>
                  </w:r>
                </w:p>
              </w:tc>
              <w:tc>
                <w:tcPr>
                  <w:tcW w:w="2098" w:type="pct"/>
                  <w:vAlign w:val="center"/>
                </w:tcPr>
                <w:p w14:paraId="16424B8D">
                  <w:pPr>
                    <w:jc w:val="center"/>
                    <w:rPr>
                      <w:bCs/>
                      <w:kern w:val="0"/>
                      <w:szCs w:val="21"/>
                    </w:rPr>
                  </w:pPr>
                  <w:r>
                    <w:rPr>
                      <w:rFonts w:hint="eastAsia"/>
                      <w:bCs/>
                      <w:kern w:val="0"/>
                      <w:szCs w:val="21"/>
                    </w:rPr>
                    <w:t>参数</w:t>
                  </w:r>
                </w:p>
              </w:tc>
              <w:tc>
                <w:tcPr>
                  <w:tcW w:w="840" w:type="pct"/>
                  <w:vAlign w:val="center"/>
                </w:tcPr>
                <w:p w14:paraId="1B60714B">
                  <w:pPr>
                    <w:jc w:val="center"/>
                    <w:rPr>
                      <w:bCs/>
                      <w:kern w:val="0"/>
                      <w:szCs w:val="21"/>
                    </w:rPr>
                  </w:pPr>
                  <w:r>
                    <w:rPr>
                      <w:rFonts w:hint="eastAsia"/>
                      <w:bCs/>
                      <w:kern w:val="0"/>
                      <w:szCs w:val="21"/>
                    </w:rPr>
                    <w:t>核算风量</w:t>
                  </w:r>
                </w:p>
              </w:tc>
              <w:tc>
                <w:tcPr>
                  <w:tcW w:w="1249" w:type="pct"/>
                  <w:vAlign w:val="center"/>
                </w:tcPr>
                <w:p w14:paraId="6190CA1B">
                  <w:pPr>
                    <w:jc w:val="center"/>
                    <w:rPr>
                      <w:bCs/>
                      <w:kern w:val="0"/>
                      <w:szCs w:val="21"/>
                    </w:rPr>
                  </w:pPr>
                  <w:r>
                    <w:rPr>
                      <w:rFonts w:hint="eastAsia"/>
                      <w:bCs/>
                      <w:kern w:val="0"/>
                      <w:szCs w:val="21"/>
                    </w:rPr>
                    <w:t>设计风量</w:t>
                  </w:r>
                </w:p>
              </w:tc>
            </w:tr>
            <w:tr w14:paraId="20BAA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4" w:type="pct"/>
                  <w:vAlign w:val="center"/>
                </w:tcPr>
                <w:p w14:paraId="73D22017">
                  <w:pPr>
                    <w:jc w:val="center"/>
                    <w:rPr>
                      <w:bCs/>
                      <w:kern w:val="0"/>
                      <w:szCs w:val="21"/>
                    </w:rPr>
                  </w:pPr>
                  <w:r>
                    <w:rPr>
                      <w:rFonts w:hint="eastAsia"/>
                      <w:bCs/>
                      <w:kern w:val="0"/>
                      <w:szCs w:val="21"/>
                    </w:rPr>
                    <w:t>喷塑</w:t>
                  </w:r>
                </w:p>
              </w:tc>
              <w:tc>
                <w:tcPr>
                  <w:tcW w:w="2098" w:type="pct"/>
                  <w:vAlign w:val="center"/>
                </w:tcPr>
                <w:p w14:paraId="559F41D8">
                  <w:pPr>
                    <w:jc w:val="center"/>
                    <w:rPr>
                      <w:bCs/>
                      <w:kern w:val="0"/>
                      <w:szCs w:val="21"/>
                    </w:rPr>
                  </w:pPr>
                  <w:r>
                    <w:rPr>
                      <w:rFonts w:hint="eastAsia"/>
                      <w:bCs/>
                      <w:kern w:val="0"/>
                      <w:szCs w:val="21"/>
                    </w:rPr>
                    <w:t>喷塑室尺寸为10m×8m×8m，密闭，室内总换气次数约</w:t>
                  </w:r>
                  <w:r>
                    <w:rPr>
                      <w:bCs/>
                      <w:kern w:val="0"/>
                      <w:szCs w:val="21"/>
                    </w:rPr>
                    <w:t>35</w:t>
                  </w:r>
                  <w:r>
                    <w:rPr>
                      <w:rFonts w:hint="eastAsia"/>
                      <w:bCs/>
                      <w:kern w:val="0"/>
                      <w:szCs w:val="21"/>
                    </w:rPr>
                    <w:t>次/h，</w:t>
                  </w:r>
                </w:p>
              </w:tc>
              <w:tc>
                <w:tcPr>
                  <w:tcW w:w="840" w:type="pct"/>
                  <w:vAlign w:val="center"/>
                </w:tcPr>
                <w:p w14:paraId="7A133F9A">
                  <w:pPr>
                    <w:jc w:val="center"/>
                    <w:rPr>
                      <w:bCs/>
                      <w:kern w:val="0"/>
                      <w:szCs w:val="21"/>
                    </w:rPr>
                  </w:pPr>
                  <w:r>
                    <w:rPr>
                      <w:bCs/>
                      <w:kern w:val="0"/>
                      <w:szCs w:val="21"/>
                    </w:rPr>
                    <w:t>22400</w:t>
                  </w:r>
                  <w:r>
                    <w:rPr>
                      <w:rFonts w:hint="eastAsia"/>
                      <w:bCs/>
                      <w:kern w:val="0"/>
                      <w:szCs w:val="21"/>
                    </w:rPr>
                    <w:t>m</w:t>
                  </w:r>
                  <w:r>
                    <w:rPr>
                      <w:rFonts w:hint="eastAsia"/>
                      <w:bCs/>
                      <w:kern w:val="0"/>
                      <w:szCs w:val="21"/>
                      <w:vertAlign w:val="superscript"/>
                    </w:rPr>
                    <w:t>3</w:t>
                  </w:r>
                  <w:r>
                    <w:rPr>
                      <w:rFonts w:hint="eastAsia"/>
                      <w:bCs/>
                      <w:kern w:val="0"/>
                      <w:szCs w:val="21"/>
                    </w:rPr>
                    <w:t>/h</w:t>
                  </w:r>
                </w:p>
              </w:tc>
              <w:tc>
                <w:tcPr>
                  <w:tcW w:w="1249" w:type="pct"/>
                  <w:vAlign w:val="center"/>
                </w:tcPr>
                <w:p w14:paraId="5476D653">
                  <w:pPr>
                    <w:jc w:val="center"/>
                    <w:rPr>
                      <w:bCs/>
                      <w:kern w:val="0"/>
                      <w:szCs w:val="21"/>
                    </w:rPr>
                  </w:pPr>
                  <w:r>
                    <w:rPr>
                      <w:bCs/>
                      <w:kern w:val="0"/>
                      <w:szCs w:val="21"/>
                    </w:rPr>
                    <w:t>25000m</w:t>
                  </w:r>
                  <w:r>
                    <w:rPr>
                      <w:bCs/>
                      <w:kern w:val="0"/>
                      <w:szCs w:val="21"/>
                      <w:vertAlign w:val="superscript"/>
                    </w:rPr>
                    <w:t>3</w:t>
                  </w:r>
                  <w:r>
                    <w:rPr>
                      <w:bCs/>
                      <w:kern w:val="0"/>
                      <w:szCs w:val="21"/>
                    </w:rPr>
                    <w:t>/h</w:t>
                  </w:r>
                </w:p>
              </w:tc>
            </w:tr>
          </w:tbl>
          <w:p w14:paraId="096FCE21">
            <w:pPr>
              <w:adjustRightInd w:val="0"/>
              <w:snapToGrid w:val="0"/>
              <w:spacing w:line="360" w:lineRule="auto"/>
              <w:ind w:firstLine="480" w:firstLineChars="200"/>
              <w:rPr>
                <w:bCs/>
                <w:sz w:val="24"/>
                <w:szCs w:val="20"/>
              </w:rPr>
            </w:pPr>
            <w:r>
              <w:rPr>
                <w:rFonts w:hint="eastAsia"/>
                <w:bCs/>
                <w:sz w:val="24"/>
                <w:szCs w:val="20"/>
              </w:rPr>
              <w:t>综上，喷塑工序</w:t>
            </w:r>
            <w:r>
              <w:rPr>
                <w:bCs/>
                <w:sz w:val="24"/>
                <w:szCs w:val="20"/>
              </w:rPr>
              <w:t>颗粒物有组织排放满足《区域性大气污染物综合排放标准》（DB37/2376-2019）表1一般控制区</w:t>
            </w:r>
            <w:r>
              <w:rPr>
                <w:rFonts w:hint="eastAsia"/>
                <w:bCs/>
                <w:sz w:val="24"/>
                <w:szCs w:val="20"/>
              </w:rPr>
              <w:t>限值</w:t>
            </w:r>
            <w:r>
              <w:rPr>
                <w:bCs/>
                <w:sz w:val="24"/>
                <w:szCs w:val="20"/>
              </w:rPr>
              <w:t>（20mg/m</w:t>
            </w:r>
            <w:r>
              <w:rPr>
                <w:bCs/>
                <w:sz w:val="24"/>
                <w:szCs w:val="20"/>
                <w:vertAlign w:val="superscript"/>
              </w:rPr>
              <w:t>3</w:t>
            </w:r>
            <w:r>
              <w:rPr>
                <w:bCs/>
                <w:sz w:val="24"/>
                <w:szCs w:val="20"/>
              </w:rPr>
              <w:t>）</w:t>
            </w:r>
            <w:r>
              <w:rPr>
                <w:bCs/>
                <w:sz w:val="24"/>
              </w:rPr>
              <w:t>要求</w:t>
            </w:r>
            <w:r>
              <w:rPr>
                <w:bCs/>
                <w:sz w:val="24"/>
                <w:szCs w:val="20"/>
              </w:rPr>
              <w:t>，排放速率</w:t>
            </w:r>
            <w:r>
              <w:rPr>
                <w:rFonts w:hint="eastAsia"/>
                <w:bCs/>
                <w:sz w:val="24"/>
                <w:szCs w:val="20"/>
              </w:rPr>
              <w:t>满足</w:t>
            </w:r>
            <w:r>
              <w:rPr>
                <w:bCs/>
                <w:sz w:val="24"/>
                <w:szCs w:val="20"/>
              </w:rPr>
              <w:t>《大气污染物综合排放标准》（GB16297-1996）表2二级排放限值（3.5kg/h）</w:t>
            </w:r>
            <w:r>
              <w:rPr>
                <w:bCs/>
                <w:sz w:val="24"/>
              </w:rPr>
              <w:t>要求</w:t>
            </w:r>
            <w:r>
              <w:rPr>
                <w:rFonts w:hint="eastAsia"/>
                <w:bCs/>
                <w:sz w:val="24"/>
                <w:szCs w:val="20"/>
              </w:rPr>
              <w:t>。</w:t>
            </w:r>
          </w:p>
          <w:p w14:paraId="6D14664B">
            <w:pPr>
              <w:adjustRightInd w:val="0"/>
              <w:snapToGrid w:val="0"/>
              <w:spacing w:line="360" w:lineRule="auto"/>
              <w:ind w:firstLine="482" w:firstLineChars="200"/>
              <w:rPr>
                <w:b/>
                <w:bCs/>
                <w:sz w:val="24"/>
                <w:szCs w:val="20"/>
              </w:rPr>
            </w:pPr>
            <w:r>
              <w:rPr>
                <w:rFonts w:hint="eastAsia"/>
                <w:b/>
                <w:bCs/>
                <w:sz w:val="24"/>
                <w:szCs w:val="20"/>
              </w:rPr>
              <w:t>（</w:t>
            </w:r>
            <w:r>
              <w:rPr>
                <w:b/>
                <w:bCs/>
                <w:sz w:val="24"/>
                <w:szCs w:val="20"/>
              </w:rPr>
              <w:t>5</w:t>
            </w:r>
            <w:r>
              <w:rPr>
                <w:rFonts w:hint="eastAsia"/>
                <w:b/>
                <w:bCs/>
                <w:sz w:val="24"/>
                <w:szCs w:val="20"/>
              </w:rPr>
              <w:t>）固化废气（V</w:t>
            </w:r>
            <w:r>
              <w:rPr>
                <w:b/>
                <w:bCs/>
                <w:sz w:val="24"/>
                <w:szCs w:val="20"/>
              </w:rPr>
              <w:t>OCs</w:t>
            </w:r>
            <w:r>
              <w:rPr>
                <w:rFonts w:hint="eastAsia"/>
                <w:b/>
                <w:bCs/>
                <w:sz w:val="24"/>
                <w:szCs w:val="20"/>
              </w:rPr>
              <w:t>）</w:t>
            </w:r>
          </w:p>
          <w:p w14:paraId="156BD0FE">
            <w:pPr>
              <w:adjustRightInd w:val="0"/>
              <w:snapToGrid w:val="0"/>
              <w:spacing w:line="360" w:lineRule="auto"/>
              <w:ind w:firstLine="480" w:firstLineChars="200"/>
              <w:rPr>
                <w:sz w:val="24"/>
              </w:rPr>
            </w:pPr>
            <w:r>
              <w:rPr>
                <w:sz w:val="24"/>
              </w:rPr>
              <w:t>项目固化在固化</w:t>
            </w:r>
            <w:r>
              <w:rPr>
                <w:rFonts w:hint="eastAsia"/>
                <w:sz w:val="24"/>
              </w:rPr>
              <w:t>间</w:t>
            </w:r>
            <w:r>
              <w:rPr>
                <w:sz w:val="24"/>
              </w:rPr>
              <w:t>内进行，固化温度约为180~200℃左右，项目所用塑粉主要成分为聚酯粉末涂料，受热会挥发出少量有机废气，污染物为VOCs。</w:t>
            </w:r>
            <w:r>
              <w:rPr>
                <w:rFonts w:hint="eastAsia"/>
                <w:sz w:val="24"/>
              </w:rPr>
              <w:t>产污系数参照</w:t>
            </w:r>
            <w:r>
              <w:rPr>
                <w:rFonts w:hint="eastAsia"/>
                <w:bCs/>
                <w:sz w:val="24"/>
              </w:rPr>
              <w:t>《排放源统计调查产排污核算方法和系数手册》“33-37，431-434机械行业系数手册”</w:t>
            </w:r>
            <w:r>
              <w:rPr>
                <w:sz w:val="24"/>
              </w:rPr>
              <w:t>，固化过程有机废气产污系数为1.2kg/吨-原料，项目塑粉用量为48.5t/a，则</w:t>
            </w:r>
            <w:r>
              <w:rPr>
                <w:rFonts w:hint="eastAsia"/>
                <w:sz w:val="24"/>
              </w:rPr>
              <w:t>V</w:t>
            </w:r>
            <w:r>
              <w:rPr>
                <w:sz w:val="24"/>
              </w:rPr>
              <w:t>OC</w:t>
            </w:r>
            <w:r>
              <w:rPr>
                <w:rFonts w:hint="eastAsia"/>
                <w:sz w:val="24"/>
              </w:rPr>
              <w:t>s</w:t>
            </w:r>
            <w:r>
              <w:rPr>
                <w:sz w:val="24"/>
              </w:rPr>
              <w:t>产生量为0.058t/a。参考《</w:t>
            </w:r>
            <w:r>
              <w:rPr>
                <w:rFonts w:hint="eastAsia"/>
                <w:sz w:val="24"/>
              </w:rPr>
              <w:t>排污许可证申请与核发技术规范 汽车制造业</w:t>
            </w:r>
            <w:r>
              <w:rPr>
                <w:sz w:val="24"/>
              </w:rPr>
              <w:t>》（HJ 971-2018）</w:t>
            </w:r>
            <w:r>
              <w:rPr>
                <w:rFonts w:hint="eastAsia"/>
                <w:sz w:val="24"/>
              </w:rPr>
              <w:t>喷涂室应设有效的密闭排风系统，产生的挥发性有机物须经由密闭排气系统收集或集中处理后有组织排放；鼓励喷涂室采用循环风技术，配置密闭收集系统，有机废气收集率不低于90%，本项目</w:t>
            </w:r>
            <w:r>
              <w:rPr>
                <w:rFonts w:hint="eastAsia"/>
                <w:bCs/>
                <w:sz w:val="24"/>
              </w:rPr>
              <w:t>收集效率取</w:t>
            </w:r>
            <w:r>
              <w:rPr>
                <w:bCs/>
                <w:sz w:val="24"/>
              </w:rPr>
              <w:t>95%，收集后</w:t>
            </w:r>
            <w:r>
              <w:rPr>
                <w:rFonts w:hint="eastAsia"/>
                <w:bCs/>
                <w:sz w:val="24"/>
              </w:rPr>
              <w:t>进入二级活性炭吸附装置（TA00</w:t>
            </w:r>
            <w:r>
              <w:rPr>
                <w:bCs/>
                <w:sz w:val="24"/>
              </w:rPr>
              <w:t>3</w:t>
            </w:r>
            <w:r>
              <w:rPr>
                <w:rFonts w:hint="eastAsia"/>
                <w:bCs/>
                <w:sz w:val="24"/>
              </w:rPr>
              <w:t>）处理，VOCs的</w:t>
            </w:r>
            <w:r>
              <w:rPr>
                <w:bCs/>
                <w:sz w:val="24"/>
              </w:rPr>
              <w:t>处理效率按照80</w:t>
            </w:r>
            <w:r>
              <w:rPr>
                <w:rFonts w:hint="eastAsia"/>
                <w:bCs/>
                <w:sz w:val="24"/>
              </w:rPr>
              <w:t>%</w:t>
            </w:r>
            <w:r>
              <w:rPr>
                <w:bCs/>
                <w:sz w:val="24"/>
              </w:rPr>
              <w:t>计</w:t>
            </w:r>
            <w:r>
              <w:rPr>
                <w:rFonts w:hint="eastAsia"/>
                <w:bCs/>
                <w:sz w:val="24"/>
              </w:rPr>
              <w:t>，处理后的V</w:t>
            </w:r>
            <w:r>
              <w:rPr>
                <w:bCs/>
                <w:sz w:val="24"/>
              </w:rPr>
              <w:t>OCs</w:t>
            </w:r>
            <w:r>
              <w:rPr>
                <w:rFonts w:hint="eastAsia"/>
                <w:bCs/>
                <w:sz w:val="24"/>
              </w:rPr>
              <w:t>经1根</w:t>
            </w:r>
            <w:r>
              <w:rPr>
                <w:bCs/>
                <w:sz w:val="24"/>
              </w:rPr>
              <w:t>15</w:t>
            </w:r>
            <w:r>
              <w:rPr>
                <w:rFonts w:hint="eastAsia"/>
                <w:bCs/>
                <w:sz w:val="24"/>
              </w:rPr>
              <w:t>m高排气筒（DA00</w:t>
            </w:r>
            <w:r>
              <w:rPr>
                <w:bCs/>
                <w:sz w:val="24"/>
              </w:rPr>
              <w:t>3</w:t>
            </w:r>
            <w:r>
              <w:rPr>
                <w:rFonts w:hint="eastAsia"/>
                <w:bCs/>
                <w:sz w:val="24"/>
              </w:rPr>
              <w:t>）有组织排放。</w:t>
            </w:r>
            <w:r>
              <w:rPr>
                <w:bCs/>
                <w:sz w:val="24"/>
              </w:rPr>
              <w:t>根据</w:t>
            </w:r>
            <w:r>
              <w:rPr>
                <w:rFonts w:hint="eastAsia"/>
                <w:bCs/>
                <w:sz w:val="24"/>
              </w:rPr>
              <w:t>建设单位</w:t>
            </w:r>
            <w:r>
              <w:rPr>
                <w:bCs/>
                <w:sz w:val="24"/>
              </w:rPr>
              <w:t>提供资料</w:t>
            </w:r>
            <w:r>
              <w:rPr>
                <w:rFonts w:hint="eastAsia"/>
                <w:bCs/>
                <w:sz w:val="24"/>
              </w:rPr>
              <w:t>，年</w:t>
            </w:r>
            <w:r>
              <w:rPr>
                <w:bCs/>
                <w:sz w:val="24"/>
              </w:rPr>
              <w:t>固化时间为1800</w:t>
            </w:r>
            <w:r>
              <w:rPr>
                <w:rFonts w:hint="eastAsia"/>
                <w:bCs/>
                <w:sz w:val="24"/>
              </w:rPr>
              <w:t>h，风机风量为</w:t>
            </w:r>
            <w:r>
              <w:rPr>
                <w:bCs/>
                <w:sz w:val="24"/>
              </w:rPr>
              <w:t>5000m</w:t>
            </w:r>
            <w:r>
              <w:rPr>
                <w:bCs/>
                <w:sz w:val="24"/>
                <w:vertAlign w:val="superscript"/>
              </w:rPr>
              <w:t>3</w:t>
            </w:r>
            <w:r>
              <w:rPr>
                <w:bCs/>
                <w:sz w:val="24"/>
              </w:rPr>
              <w:t>/h</w:t>
            </w:r>
            <w:r>
              <w:rPr>
                <w:rFonts w:hint="eastAsia"/>
                <w:bCs/>
                <w:sz w:val="24"/>
              </w:rPr>
              <w:t>，则有组织VOCs排放量为</w:t>
            </w:r>
            <w:r>
              <w:rPr>
                <w:bCs/>
                <w:sz w:val="24"/>
              </w:rPr>
              <w:t>0.011t/a</w:t>
            </w:r>
            <w:r>
              <w:rPr>
                <w:rFonts w:hint="eastAsia"/>
                <w:bCs/>
                <w:sz w:val="24"/>
              </w:rPr>
              <w:t>，</w:t>
            </w:r>
            <w:r>
              <w:rPr>
                <w:bCs/>
                <w:sz w:val="24"/>
              </w:rPr>
              <w:t>排放速率为0.006kg/h，排放浓度为1.2mg/m</w:t>
            </w:r>
            <w:r>
              <w:rPr>
                <w:bCs/>
                <w:sz w:val="24"/>
                <w:vertAlign w:val="superscript"/>
              </w:rPr>
              <w:t>3</w:t>
            </w:r>
            <w:r>
              <w:rPr>
                <w:rFonts w:hint="eastAsia"/>
                <w:bCs/>
                <w:sz w:val="24"/>
              </w:rPr>
              <w:t>。</w:t>
            </w:r>
          </w:p>
          <w:p w14:paraId="6D353360">
            <w:pPr>
              <w:spacing w:line="360" w:lineRule="auto"/>
              <w:jc w:val="center"/>
              <w:rPr>
                <w:b/>
                <w:bCs/>
                <w:kern w:val="0"/>
                <w:sz w:val="24"/>
              </w:rPr>
            </w:pPr>
            <w:r>
              <w:rPr>
                <w:b/>
                <w:bCs/>
                <w:kern w:val="0"/>
                <w:sz w:val="24"/>
              </w:rPr>
              <w:t>表25固化</w:t>
            </w:r>
            <w:r>
              <w:rPr>
                <w:rFonts w:hint="eastAsia"/>
                <w:b/>
                <w:bCs/>
                <w:kern w:val="0"/>
                <w:sz w:val="24"/>
              </w:rPr>
              <w:t>废气风量核算</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9"/>
              <w:gridCol w:w="3685"/>
              <w:gridCol w:w="1475"/>
              <w:gridCol w:w="2192"/>
            </w:tblGrid>
            <w:tr w14:paraId="3CC87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4" w:type="pct"/>
                  <w:vAlign w:val="center"/>
                </w:tcPr>
                <w:p w14:paraId="14152726">
                  <w:pPr>
                    <w:jc w:val="center"/>
                    <w:rPr>
                      <w:bCs/>
                      <w:kern w:val="0"/>
                      <w:szCs w:val="21"/>
                    </w:rPr>
                  </w:pPr>
                  <w:r>
                    <w:rPr>
                      <w:rFonts w:hint="eastAsia"/>
                      <w:bCs/>
                      <w:kern w:val="0"/>
                      <w:szCs w:val="21"/>
                    </w:rPr>
                    <w:t>工序名称</w:t>
                  </w:r>
                </w:p>
              </w:tc>
              <w:tc>
                <w:tcPr>
                  <w:tcW w:w="2098" w:type="pct"/>
                  <w:vAlign w:val="center"/>
                </w:tcPr>
                <w:p w14:paraId="43497B59">
                  <w:pPr>
                    <w:jc w:val="center"/>
                    <w:rPr>
                      <w:bCs/>
                      <w:kern w:val="0"/>
                      <w:szCs w:val="21"/>
                    </w:rPr>
                  </w:pPr>
                  <w:r>
                    <w:rPr>
                      <w:rFonts w:hint="eastAsia"/>
                      <w:bCs/>
                      <w:kern w:val="0"/>
                      <w:szCs w:val="21"/>
                    </w:rPr>
                    <w:t>参数</w:t>
                  </w:r>
                </w:p>
              </w:tc>
              <w:tc>
                <w:tcPr>
                  <w:tcW w:w="840" w:type="pct"/>
                  <w:vAlign w:val="center"/>
                </w:tcPr>
                <w:p w14:paraId="4E54D7DE">
                  <w:pPr>
                    <w:jc w:val="center"/>
                    <w:rPr>
                      <w:bCs/>
                      <w:kern w:val="0"/>
                      <w:szCs w:val="21"/>
                    </w:rPr>
                  </w:pPr>
                  <w:r>
                    <w:rPr>
                      <w:rFonts w:hint="eastAsia"/>
                      <w:bCs/>
                      <w:kern w:val="0"/>
                      <w:szCs w:val="21"/>
                    </w:rPr>
                    <w:t>核算风量</w:t>
                  </w:r>
                </w:p>
              </w:tc>
              <w:tc>
                <w:tcPr>
                  <w:tcW w:w="1249" w:type="pct"/>
                  <w:vAlign w:val="center"/>
                </w:tcPr>
                <w:p w14:paraId="00738F17">
                  <w:pPr>
                    <w:jc w:val="center"/>
                    <w:rPr>
                      <w:bCs/>
                      <w:kern w:val="0"/>
                      <w:szCs w:val="21"/>
                    </w:rPr>
                  </w:pPr>
                  <w:r>
                    <w:rPr>
                      <w:rFonts w:hint="eastAsia"/>
                      <w:bCs/>
                      <w:kern w:val="0"/>
                      <w:szCs w:val="21"/>
                    </w:rPr>
                    <w:t>设计风量</w:t>
                  </w:r>
                </w:p>
              </w:tc>
            </w:tr>
            <w:tr w14:paraId="7ADCC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4" w:type="pct"/>
                  <w:vAlign w:val="center"/>
                </w:tcPr>
                <w:p w14:paraId="700BAEF9">
                  <w:pPr>
                    <w:jc w:val="center"/>
                    <w:rPr>
                      <w:bCs/>
                      <w:kern w:val="0"/>
                      <w:szCs w:val="21"/>
                    </w:rPr>
                  </w:pPr>
                  <w:r>
                    <w:rPr>
                      <w:rFonts w:hint="eastAsia"/>
                      <w:bCs/>
                      <w:kern w:val="0"/>
                      <w:szCs w:val="21"/>
                    </w:rPr>
                    <w:t>固化间</w:t>
                  </w:r>
                </w:p>
              </w:tc>
              <w:tc>
                <w:tcPr>
                  <w:tcW w:w="2098" w:type="pct"/>
                  <w:vAlign w:val="center"/>
                </w:tcPr>
                <w:p w14:paraId="7040969E">
                  <w:pPr>
                    <w:rPr>
                      <w:bCs/>
                      <w:kern w:val="0"/>
                      <w:szCs w:val="21"/>
                    </w:rPr>
                  </w:pPr>
                  <w:r>
                    <w:rPr>
                      <w:bCs/>
                      <w:kern w:val="0"/>
                      <w:szCs w:val="21"/>
                    </w:rPr>
                    <w:t>固化间</w:t>
                  </w:r>
                  <w:r>
                    <w:rPr>
                      <w:rFonts w:hint="eastAsia"/>
                      <w:bCs/>
                      <w:kern w:val="0"/>
                      <w:szCs w:val="21"/>
                    </w:rPr>
                    <w:t>尺寸为</w:t>
                  </w:r>
                  <w:r>
                    <w:rPr>
                      <w:bCs/>
                      <w:kern w:val="0"/>
                      <w:szCs w:val="21"/>
                    </w:rPr>
                    <w:t>10</w:t>
                  </w:r>
                  <w:r>
                    <w:rPr>
                      <w:rFonts w:hint="eastAsia"/>
                      <w:bCs/>
                      <w:kern w:val="0"/>
                      <w:szCs w:val="21"/>
                    </w:rPr>
                    <w:t>m×</w:t>
                  </w:r>
                  <w:r>
                    <w:rPr>
                      <w:bCs/>
                      <w:kern w:val="0"/>
                      <w:szCs w:val="21"/>
                    </w:rPr>
                    <w:t>5</w:t>
                  </w:r>
                  <w:r>
                    <w:rPr>
                      <w:rFonts w:hint="eastAsia"/>
                      <w:bCs/>
                      <w:kern w:val="0"/>
                      <w:szCs w:val="21"/>
                    </w:rPr>
                    <w:t>m×8m，密闭，室内总换气次数约</w:t>
                  </w:r>
                  <w:r>
                    <w:rPr>
                      <w:bCs/>
                      <w:kern w:val="0"/>
                      <w:szCs w:val="21"/>
                    </w:rPr>
                    <w:t>10</w:t>
                  </w:r>
                  <w:r>
                    <w:rPr>
                      <w:rFonts w:hint="eastAsia"/>
                      <w:bCs/>
                      <w:kern w:val="0"/>
                      <w:szCs w:val="21"/>
                    </w:rPr>
                    <w:t>次/h，</w:t>
                  </w:r>
                </w:p>
              </w:tc>
              <w:tc>
                <w:tcPr>
                  <w:tcW w:w="840" w:type="pct"/>
                  <w:vAlign w:val="center"/>
                </w:tcPr>
                <w:p w14:paraId="35D1F607">
                  <w:pPr>
                    <w:jc w:val="center"/>
                    <w:rPr>
                      <w:bCs/>
                      <w:kern w:val="0"/>
                      <w:szCs w:val="21"/>
                    </w:rPr>
                  </w:pPr>
                  <w:r>
                    <w:rPr>
                      <w:bCs/>
                      <w:kern w:val="0"/>
                      <w:szCs w:val="21"/>
                    </w:rPr>
                    <w:t>4000</w:t>
                  </w:r>
                  <w:r>
                    <w:rPr>
                      <w:rFonts w:hint="eastAsia"/>
                      <w:bCs/>
                      <w:kern w:val="0"/>
                      <w:szCs w:val="21"/>
                    </w:rPr>
                    <w:t>m</w:t>
                  </w:r>
                  <w:r>
                    <w:rPr>
                      <w:rFonts w:hint="eastAsia"/>
                      <w:bCs/>
                      <w:kern w:val="0"/>
                      <w:szCs w:val="21"/>
                      <w:vertAlign w:val="superscript"/>
                    </w:rPr>
                    <w:t>3</w:t>
                  </w:r>
                  <w:r>
                    <w:rPr>
                      <w:rFonts w:hint="eastAsia"/>
                      <w:bCs/>
                      <w:kern w:val="0"/>
                      <w:szCs w:val="21"/>
                    </w:rPr>
                    <w:t>/h</w:t>
                  </w:r>
                </w:p>
              </w:tc>
              <w:tc>
                <w:tcPr>
                  <w:tcW w:w="1249" w:type="pct"/>
                  <w:vAlign w:val="center"/>
                </w:tcPr>
                <w:p w14:paraId="5CA7D6EA">
                  <w:pPr>
                    <w:jc w:val="center"/>
                    <w:rPr>
                      <w:bCs/>
                      <w:kern w:val="0"/>
                      <w:szCs w:val="21"/>
                    </w:rPr>
                  </w:pPr>
                  <w:r>
                    <w:rPr>
                      <w:bCs/>
                      <w:kern w:val="0"/>
                      <w:szCs w:val="21"/>
                    </w:rPr>
                    <w:t>5000m</w:t>
                  </w:r>
                  <w:r>
                    <w:rPr>
                      <w:bCs/>
                      <w:kern w:val="0"/>
                      <w:szCs w:val="21"/>
                      <w:vertAlign w:val="superscript"/>
                    </w:rPr>
                    <w:t>3</w:t>
                  </w:r>
                  <w:r>
                    <w:rPr>
                      <w:bCs/>
                      <w:kern w:val="0"/>
                      <w:szCs w:val="21"/>
                    </w:rPr>
                    <w:t>/h</w:t>
                  </w:r>
                </w:p>
              </w:tc>
            </w:tr>
          </w:tbl>
          <w:p w14:paraId="484C67F5">
            <w:pPr>
              <w:adjustRightInd w:val="0"/>
              <w:snapToGrid w:val="0"/>
              <w:spacing w:line="360" w:lineRule="auto"/>
              <w:ind w:firstLine="480" w:firstLineChars="200"/>
              <w:rPr>
                <w:bCs/>
                <w:sz w:val="24"/>
              </w:rPr>
            </w:pPr>
            <w:r>
              <w:rPr>
                <w:sz w:val="24"/>
              </w:rPr>
              <w:t>本项目VOCs有组织排放满足《</w:t>
            </w:r>
            <w:bookmarkStart w:id="166" w:name="OLE_LINK204"/>
            <w:bookmarkStart w:id="167" w:name="OLE_LINK205"/>
            <w:r>
              <w:rPr>
                <w:sz w:val="24"/>
              </w:rPr>
              <w:t>挥发性有机物排放标准 第5部分：表面涂装行业</w:t>
            </w:r>
            <w:bookmarkEnd w:id="166"/>
            <w:bookmarkEnd w:id="167"/>
            <w:r>
              <w:rPr>
                <w:sz w:val="24"/>
              </w:rPr>
              <w:t>》(DB37/2801.5-2018)表2中</w:t>
            </w:r>
            <w:r>
              <w:rPr>
                <w:rFonts w:hint="eastAsia"/>
                <w:sz w:val="24"/>
              </w:rPr>
              <w:t>集装箱及金属包装容器制造(C333)</w:t>
            </w:r>
            <w:r>
              <w:rPr>
                <w:sz w:val="24"/>
              </w:rPr>
              <w:t>VOCs排放限值要求（VOCs：70mg/m³，2.4kg/h）。</w:t>
            </w:r>
          </w:p>
          <w:p w14:paraId="55EE916E">
            <w:pPr>
              <w:spacing w:line="360" w:lineRule="auto"/>
              <w:ind w:firstLine="480" w:firstLineChars="200"/>
              <w:rPr>
                <w:rFonts w:hAnsi="宋体"/>
                <w:bCs/>
                <w:sz w:val="24"/>
              </w:rPr>
            </w:pPr>
            <w:r>
              <w:rPr>
                <w:rFonts w:hint="eastAsia" w:hAnsi="宋体"/>
                <w:bCs/>
                <w:sz w:val="24"/>
              </w:rPr>
              <w:t>等效排气筒：</w:t>
            </w:r>
          </w:p>
          <w:p w14:paraId="2DFD4DB7">
            <w:pPr>
              <w:spacing w:line="360" w:lineRule="auto"/>
              <w:ind w:firstLine="480" w:firstLineChars="200"/>
              <w:rPr>
                <w:rFonts w:hAnsi="宋体"/>
                <w:bCs/>
                <w:sz w:val="24"/>
              </w:rPr>
            </w:pPr>
            <w:r>
              <w:rPr>
                <w:rFonts w:hint="eastAsia" w:hAnsi="宋体"/>
                <w:bCs/>
                <w:sz w:val="24"/>
              </w:rPr>
              <w:t>本项目在生产车间内新设置两根1</w:t>
            </w:r>
            <w:r>
              <w:rPr>
                <w:rFonts w:hAnsi="宋体"/>
                <w:bCs/>
                <w:sz w:val="24"/>
              </w:rPr>
              <w:t>5m</w:t>
            </w:r>
            <w:r>
              <w:rPr>
                <w:rFonts w:hint="eastAsia" w:hAnsi="宋体"/>
                <w:bCs/>
                <w:sz w:val="24"/>
              </w:rPr>
              <w:t>废气排气筒（</w:t>
            </w:r>
            <w:r>
              <w:rPr>
                <w:sz w:val="24"/>
              </w:rPr>
              <w:t>DA001、</w:t>
            </w:r>
            <w:r>
              <w:rPr>
                <w:rFonts w:hint="eastAsia"/>
                <w:sz w:val="24"/>
              </w:rPr>
              <w:t>D</w:t>
            </w:r>
            <w:r>
              <w:rPr>
                <w:sz w:val="24"/>
              </w:rPr>
              <w:t>A002</w:t>
            </w:r>
            <w:r>
              <w:rPr>
                <w:rFonts w:hint="eastAsia" w:hAnsi="宋体"/>
                <w:bCs/>
                <w:sz w:val="24"/>
              </w:rPr>
              <w:t>），两根排气筒相互距离小于排气筒高度之和（距离＜3</w:t>
            </w:r>
            <w:r>
              <w:rPr>
                <w:rFonts w:hAnsi="宋体"/>
                <w:bCs/>
                <w:sz w:val="24"/>
              </w:rPr>
              <w:t>0m</w:t>
            </w:r>
            <w:r>
              <w:rPr>
                <w:rFonts w:hint="eastAsia" w:hAnsi="宋体"/>
                <w:bCs/>
                <w:sz w:val="24"/>
              </w:rPr>
              <w:t>），因此2根排气筒等效为1根排气筒，排气筒</w:t>
            </w:r>
            <w:r>
              <w:rPr>
                <w:rFonts w:hint="eastAsia"/>
                <w:sz w:val="24"/>
              </w:rPr>
              <w:t>DA</w:t>
            </w:r>
            <w:r>
              <w:rPr>
                <w:sz w:val="24"/>
              </w:rPr>
              <w:t>001</w:t>
            </w:r>
            <w:r>
              <w:rPr>
                <w:rFonts w:hint="eastAsia" w:hAnsi="宋体"/>
                <w:bCs/>
                <w:sz w:val="24"/>
              </w:rPr>
              <w:t>颗粒物的排放速率为</w:t>
            </w:r>
            <w:r>
              <w:rPr>
                <w:rFonts w:hAnsi="宋体"/>
                <w:bCs/>
                <w:sz w:val="24"/>
              </w:rPr>
              <w:t>0.236kg/h，</w:t>
            </w:r>
            <w:r>
              <w:rPr>
                <w:rFonts w:hint="eastAsia" w:hAnsi="宋体"/>
                <w:bCs/>
                <w:sz w:val="24"/>
              </w:rPr>
              <w:t>排气筒</w:t>
            </w:r>
            <w:r>
              <w:rPr>
                <w:rFonts w:hint="eastAsia"/>
                <w:sz w:val="24"/>
              </w:rPr>
              <w:t>DA</w:t>
            </w:r>
            <w:r>
              <w:rPr>
                <w:sz w:val="24"/>
              </w:rPr>
              <w:t>002</w:t>
            </w:r>
            <w:r>
              <w:rPr>
                <w:rFonts w:hint="eastAsia" w:hAnsi="宋体"/>
                <w:bCs/>
                <w:sz w:val="24"/>
              </w:rPr>
              <w:t>颗粒物的排放速率为</w:t>
            </w:r>
            <w:r>
              <w:rPr>
                <w:rFonts w:hAnsi="宋体"/>
                <w:bCs/>
                <w:sz w:val="24"/>
              </w:rPr>
              <w:t>0.38kg/h</w:t>
            </w:r>
            <w:r>
              <w:rPr>
                <w:rFonts w:hint="eastAsia" w:hAnsi="宋体"/>
                <w:bCs/>
                <w:sz w:val="24"/>
              </w:rPr>
              <w:t>，则等效排气筒颗粒物排放速率为</w:t>
            </w:r>
            <w:r>
              <w:rPr>
                <w:rFonts w:hAnsi="宋体"/>
                <w:bCs/>
                <w:sz w:val="24"/>
              </w:rPr>
              <w:t>0.616kg/h</w:t>
            </w:r>
            <w:r>
              <w:rPr>
                <w:rFonts w:hint="eastAsia" w:hAnsi="宋体"/>
                <w:bCs/>
                <w:sz w:val="24"/>
              </w:rPr>
              <w:t>，颗粒物排放速率可满足</w:t>
            </w:r>
            <w:r>
              <w:rPr>
                <w:rFonts w:hint="eastAsia"/>
                <w:kern w:val="0"/>
                <w:sz w:val="24"/>
              </w:rPr>
              <w:t>《大气污染物综合排放标准》（GB16297-1996）表 2 中二级标准要求（颗粒物≤3.5kg/h）</w:t>
            </w:r>
            <w:r>
              <w:rPr>
                <w:rFonts w:hint="eastAsia" w:hAnsi="宋体"/>
                <w:bCs/>
                <w:sz w:val="24"/>
              </w:rPr>
              <w:t>。</w:t>
            </w:r>
          </w:p>
          <w:p w14:paraId="6203A3CB">
            <w:pPr>
              <w:spacing w:line="360" w:lineRule="auto"/>
              <w:jc w:val="right"/>
            </w:pPr>
            <w:r>
              <w:object>
                <v:shape id="_x0000_i1025" o:spt="75" type="#_x0000_t75" style="height:94.6pt;width:434.75pt;" o:ole="t" filled="f" o:preferrelative="t" stroked="f" coordsize="21600,21600">
                  <v:path/>
                  <v:fill on="f" focussize="0,0"/>
                  <v:stroke on="f" joinstyle="miter"/>
                  <v:imagedata r:id="rId26" o:title=""/>
                  <o:lock v:ext="edit" aspectratio="t"/>
                  <w10:wrap type="none"/>
                  <w10:anchorlock/>
                </v:shape>
                <o:OLEObject Type="Embed" ProgID="Visio.Drawing.11" ShapeID="_x0000_i1025" DrawAspect="Content" ObjectID="_1468075725" r:id="rId25">
                  <o:LockedField>false</o:LockedField>
                </o:OLEObject>
              </w:object>
            </w:r>
          </w:p>
          <w:p w14:paraId="7DDD40A0">
            <w:pPr>
              <w:spacing w:line="360" w:lineRule="auto"/>
              <w:jc w:val="center"/>
              <w:rPr>
                <w:b/>
                <w:sz w:val="24"/>
              </w:rPr>
            </w:pPr>
            <w:r>
              <w:rPr>
                <w:b/>
                <w:sz w:val="24"/>
              </w:rPr>
              <w:t>图4</w:t>
            </w:r>
            <w:r>
              <w:rPr>
                <w:rFonts w:hint="eastAsia"/>
                <w:b/>
                <w:sz w:val="24"/>
              </w:rPr>
              <w:t>废气收集处理走向示意图</w:t>
            </w:r>
          </w:p>
          <w:p w14:paraId="22CCDEEE">
            <w:pPr>
              <w:autoSpaceDE w:val="0"/>
              <w:autoSpaceDN w:val="0"/>
              <w:adjustRightInd w:val="0"/>
              <w:spacing w:line="360" w:lineRule="auto"/>
              <w:ind w:firstLine="482" w:firstLineChars="200"/>
              <w:jc w:val="left"/>
              <w:rPr>
                <w:b/>
                <w:kern w:val="0"/>
                <w:sz w:val="24"/>
              </w:rPr>
            </w:pPr>
            <w:r>
              <w:rPr>
                <w:b/>
                <w:kern w:val="0"/>
                <w:sz w:val="24"/>
              </w:rPr>
              <w:t>无组织废气：</w:t>
            </w:r>
          </w:p>
          <w:p w14:paraId="603BD8C7">
            <w:pPr>
              <w:adjustRightInd w:val="0"/>
              <w:snapToGrid w:val="0"/>
              <w:spacing w:line="360" w:lineRule="auto"/>
              <w:ind w:firstLine="480" w:firstLineChars="200"/>
              <w:rPr>
                <w:sz w:val="24"/>
              </w:rPr>
            </w:pPr>
            <w:r>
              <w:rPr>
                <w:sz w:val="24"/>
              </w:rPr>
              <w:t>项目无组织废气主要包括</w:t>
            </w:r>
            <w:r>
              <w:rPr>
                <w:rFonts w:hint="eastAsia"/>
                <w:sz w:val="24"/>
              </w:rPr>
              <w:t>未被收集的颗粒物、</w:t>
            </w:r>
            <w:r>
              <w:rPr>
                <w:sz w:val="24"/>
              </w:rPr>
              <w:t>VOCs</w:t>
            </w:r>
            <w:r>
              <w:rPr>
                <w:rFonts w:hint="eastAsia"/>
                <w:sz w:val="24"/>
              </w:rPr>
              <w:t>等。</w:t>
            </w:r>
          </w:p>
          <w:p w14:paraId="1FD74A8A">
            <w:pPr>
              <w:adjustRightInd w:val="0"/>
              <w:snapToGrid w:val="0"/>
              <w:spacing w:line="360" w:lineRule="auto"/>
              <w:ind w:firstLine="420"/>
              <w:rPr>
                <w:b/>
                <w:bCs/>
                <w:sz w:val="24"/>
              </w:rPr>
            </w:pPr>
            <w:bookmarkStart w:id="168" w:name="OLE_LINK134"/>
            <w:bookmarkStart w:id="169" w:name="OLE_LINK133"/>
            <w:r>
              <w:rPr>
                <w:rFonts w:hint="eastAsia"/>
                <w:b/>
                <w:bCs/>
                <w:sz w:val="24"/>
              </w:rPr>
              <w:t>（1）未被收集的颗粒物</w:t>
            </w:r>
          </w:p>
          <w:bookmarkEnd w:id="168"/>
          <w:bookmarkEnd w:id="169"/>
          <w:p w14:paraId="33A9B12B">
            <w:pPr>
              <w:adjustRightInd w:val="0"/>
              <w:snapToGrid w:val="0"/>
              <w:spacing w:line="360" w:lineRule="auto"/>
              <w:ind w:firstLine="480" w:firstLineChars="200"/>
              <w:rPr>
                <w:bCs/>
                <w:sz w:val="24"/>
                <w:szCs w:val="20"/>
              </w:rPr>
            </w:pPr>
            <w:r>
              <w:rPr>
                <w:sz w:val="24"/>
              </w:rPr>
              <w:t>经上述计算可知，切割</w:t>
            </w:r>
            <w:r>
              <w:rPr>
                <w:rFonts w:hint="eastAsia"/>
                <w:sz w:val="24"/>
              </w:rPr>
              <w:t>粉尘</w:t>
            </w:r>
            <w:r>
              <w:rPr>
                <w:sz w:val="24"/>
              </w:rPr>
              <w:t>、</w:t>
            </w:r>
            <w:r>
              <w:rPr>
                <w:rFonts w:hint="eastAsia"/>
                <w:sz w:val="24"/>
              </w:rPr>
              <w:t>焊接烟尘及抛光粉尘总</w:t>
            </w:r>
            <w:r>
              <w:rPr>
                <w:sz w:val="24"/>
              </w:rPr>
              <w:t>产生量</w:t>
            </w:r>
            <w:r>
              <w:rPr>
                <w:rFonts w:hint="eastAsia"/>
                <w:sz w:val="24"/>
              </w:rPr>
              <w:t>总</w:t>
            </w:r>
            <w:r>
              <w:rPr>
                <w:sz w:val="24"/>
              </w:rPr>
              <w:t>为11.02t/a，收集效率为90%，则无组织切割</w:t>
            </w:r>
            <w:r>
              <w:rPr>
                <w:rFonts w:hint="eastAsia"/>
                <w:sz w:val="24"/>
              </w:rPr>
              <w:t>粉尘</w:t>
            </w:r>
            <w:r>
              <w:rPr>
                <w:sz w:val="24"/>
              </w:rPr>
              <w:t>、</w:t>
            </w:r>
            <w:r>
              <w:rPr>
                <w:rFonts w:hint="eastAsia"/>
                <w:sz w:val="24"/>
              </w:rPr>
              <w:t>焊接烟尘及抛光粉尘</w:t>
            </w:r>
            <w:r>
              <w:rPr>
                <w:sz w:val="24"/>
              </w:rPr>
              <w:t>的排放量为1.102t/a，喷</w:t>
            </w:r>
            <w:r>
              <w:rPr>
                <w:rFonts w:hint="eastAsia"/>
                <w:bCs/>
                <w:sz w:val="24"/>
                <w:szCs w:val="20"/>
              </w:rPr>
              <w:t>塑工序粉尘产生量为</w:t>
            </w:r>
            <w:r>
              <w:rPr>
                <w:bCs/>
                <w:sz w:val="24"/>
                <w:szCs w:val="20"/>
              </w:rPr>
              <w:t>14.55t/</w:t>
            </w:r>
            <w:r>
              <w:rPr>
                <w:rFonts w:hint="eastAsia"/>
                <w:bCs/>
                <w:sz w:val="24"/>
                <w:szCs w:val="20"/>
              </w:rPr>
              <w:t>a，收集效率为9</w:t>
            </w:r>
            <w:r>
              <w:rPr>
                <w:bCs/>
                <w:sz w:val="24"/>
                <w:szCs w:val="20"/>
              </w:rPr>
              <w:t>5%，则无组织喷塑粉尘排放量为0.73t/a，则无组织颗粒物排放总量为1.832t/a，</w:t>
            </w:r>
            <w:r>
              <w:rPr>
                <w:sz w:val="24"/>
              </w:rPr>
              <w:t>排放速率约为0.76kg/h。</w:t>
            </w:r>
          </w:p>
          <w:p w14:paraId="61EF7CAC">
            <w:pPr>
              <w:adjustRightInd w:val="0"/>
              <w:snapToGrid w:val="0"/>
              <w:spacing w:line="360" w:lineRule="auto"/>
              <w:ind w:firstLine="420"/>
              <w:rPr>
                <w:b/>
                <w:bCs/>
                <w:sz w:val="24"/>
              </w:rPr>
            </w:pPr>
            <w:r>
              <w:rPr>
                <w:rFonts w:hint="eastAsia"/>
                <w:b/>
                <w:bCs/>
                <w:sz w:val="24"/>
              </w:rPr>
              <w:t>（</w:t>
            </w:r>
            <w:r>
              <w:rPr>
                <w:b/>
                <w:bCs/>
                <w:sz w:val="24"/>
              </w:rPr>
              <w:t>2</w:t>
            </w:r>
            <w:r>
              <w:rPr>
                <w:rFonts w:hint="eastAsia"/>
                <w:b/>
                <w:bCs/>
                <w:sz w:val="24"/>
              </w:rPr>
              <w:t>）未被收集的V</w:t>
            </w:r>
            <w:r>
              <w:rPr>
                <w:b/>
                <w:bCs/>
                <w:sz w:val="24"/>
              </w:rPr>
              <w:t>OCs</w:t>
            </w:r>
          </w:p>
          <w:p w14:paraId="3DF0182F">
            <w:pPr>
              <w:autoSpaceDE w:val="0"/>
              <w:autoSpaceDN w:val="0"/>
              <w:adjustRightInd w:val="0"/>
              <w:spacing w:line="360" w:lineRule="auto"/>
              <w:ind w:firstLine="480"/>
              <w:jc w:val="left"/>
              <w:rPr>
                <w:bCs/>
                <w:kern w:val="0"/>
                <w:sz w:val="24"/>
              </w:rPr>
            </w:pPr>
            <w:r>
              <w:rPr>
                <w:rFonts w:hint="eastAsia"/>
                <w:bCs/>
                <w:kern w:val="0"/>
                <w:sz w:val="24"/>
              </w:rPr>
              <w:t>项目未收集的固化废气无组织</w:t>
            </w:r>
            <w:r>
              <w:rPr>
                <w:bCs/>
                <w:kern w:val="0"/>
                <w:sz w:val="24"/>
              </w:rPr>
              <w:t>VOCs</w:t>
            </w:r>
            <w:r>
              <w:rPr>
                <w:rFonts w:hint="eastAsia"/>
                <w:bCs/>
                <w:kern w:val="0"/>
                <w:sz w:val="24"/>
              </w:rPr>
              <w:t>排放量为</w:t>
            </w:r>
            <w:r>
              <w:rPr>
                <w:kern w:val="0"/>
                <w:sz w:val="24"/>
              </w:rPr>
              <w:t>0.003</w:t>
            </w:r>
            <w:r>
              <w:rPr>
                <w:bCs/>
                <w:kern w:val="0"/>
                <w:sz w:val="24"/>
              </w:rPr>
              <w:t>t/a</w:t>
            </w:r>
            <w:r>
              <w:rPr>
                <w:rFonts w:hint="eastAsia"/>
                <w:bCs/>
                <w:kern w:val="0"/>
                <w:sz w:val="24"/>
              </w:rPr>
              <w:t>，无组织排放速率为</w:t>
            </w:r>
            <w:r>
              <w:rPr>
                <w:kern w:val="0"/>
                <w:sz w:val="24"/>
              </w:rPr>
              <w:t>0.002</w:t>
            </w:r>
            <w:r>
              <w:rPr>
                <w:bCs/>
                <w:kern w:val="0"/>
                <w:sz w:val="24"/>
              </w:rPr>
              <w:t>kg/h</w:t>
            </w:r>
            <w:r>
              <w:rPr>
                <w:rFonts w:hint="eastAsia"/>
                <w:bCs/>
                <w:kern w:val="0"/>
                <w:sz w:val="24"/>
              </w:rPr>
              <w:t>。</w:t>
            </w:r>
          </w:p>
          <w:p w14:paraId="25311F88">
            <w:pPr>
              <w:autoSpaceDE w:val="0"/>
              <w:autoSpaceDN w:val="0"/>
              <w:adjustRightInd w:val="0"/>
              <w:spacing w:line="360" w:lineRule="auto"/>
              <w:ind w:firstLine="480"/>
              <w:jc w:val="left"/>
              <w:rPr>
                <w:b/>
                <w:bCs/>
                <w:kern w:val="0"/>
                <w:sz w:val="24"/>
              </w:rPr>
            </w:pPr>
            <w:r>
              <w:rPr>
                <w:rFonts w:hint="eastAsia"/>
                <w:kern w:val="0"/>
                <w:sz w:val="24"/>
              </w:rPr>
              <w:t>综上，项目厂界</w:t>
            </w:r>
            <w:r>
              <w:rPr>
                <w:kern w:val="0"/>
                <w:sz w:val="24"/>
              </w:rPr>
              <w:t>无组织</w:t>
            </w:r>
            <w:r>
              <w:rPr>
                <w:rFonts w:hint="eastAsia"/>
                <w:kern w:val="0"/>
                <w:sz w:val="24"/>
              </w:rPr>
              <w:t>颗粒物排放浓度执行</w:t>
            </w:r>
            <w:r>
              <w:rPr>
                <w:kern w:val="0"/>
                <w:sz w:val="24"/>
              </w:rPr>
              <w:t>《大气污染物综合排放标准》（GB16297-1996）表2无组织排放监控浓度限值要求</w:t>
            </w:r>
            <w:r>
              <w:rPr>
                <w:rFonts w:hint="eastAsia"/>
                <w:kern w:val="0"/>
                <w:sz w:val="24"/>
              </w:rPr>
              <w:t>（颗粒物1</w:t>
            </w:r>
            <w:r>
              <w:rPr>
                <w:kern w:val="0"/>
                <w:sz w:val="24"/>
              </w:rPr>
              <w:t>.0</w:t>
            </w:r>
            <w:r>
              <w:rPr>
                <w:szCs w:val="21"/>
                <w:lang w:bidi="ar"/>
              </w:rPr>
              <w:t xml:space="preserve"> </w:t>
            </w:r>
            <w:r>
              <w:rPr>
                <w:kern w:val="0"/>
                <w:sz w:val="24"/>
              </w:rPr>
              <w:t>mg/m</w:t>
            </w:r>
            <w:r>
              <w:rPr>
                <w:rFonts w:hint="eastAsia"/>
                <w:kern w:val="0"/>
                <w:sz w:val="24"/>
                <w:vertAlign w:val="superscript"/>
              </w:rPr>
              <w:t>3</w:t>
            </w:r>
            <w:r>
              <w:rPr>
                <w:rFonts w:hint="eastAsia"/>
                <w:kern w:val="0"/>
                <w:sz w:val="24"/>
              </w:rPr>
              <w:t>）</w:t>
            </w:r>
            <w:r>
              <w:rPr>
                <w:bCs/>
                <w:kern w:val="0"/>
                <w:sz w:val="24"/>
              </w:rPr>
              <w:t>，无组织</w:t>
            </w:r>
            <w:r>
              <w:rPr>
                <w:kern w:val="0"/>
                <w:sz w:val="24"/>
              </w:rPr>
              <w:t>VOCs厂界浓度满足</w:t>
            </w:r>
            <w:r>
              <w:rPr>
                <w:sz w:val="24"/>
              </w:rPr>
              <w:t>《挥发性有机物排放标准 第5部分：表面涂装行业》（DB37/2801.5-2018）表3中浓度限值要求</w:t>
            </w:r>
            <w:r>
              <w:rPr>
                <w:bCs/>
                <w:sz w:val="24"/>
              </w:rPr>
              <w:t>（VOCs≤2.0mg/m</w:t>
            </w:r>
            <w:r>
              <w:rPr>
                <w:bCs/>
                <w:sz w:val="24"/>
                <w:vertAlign w:val="superscript"/>
              </w:rPr>
              <w:t>3</w:t>
            </w:r>
            <w:r>
              <w:rPr>
                <w:bCs/>
                <w:sz w:val="24"/>
              </w:rPr>
              <w:t>）</w:t>
            </w:r>
            <w:r>
              <w:rPr>
                <w:kern w:val="0"/>
                <w:sz w:val="24"/>
              </w:rPr>
              <w:t>；</w:t>
            </w:r>
            <w:r>
              <w:rPr>
                <w:bCs/>
                <w:sz w:val="24"/>
              </w:rPr>
              <w:t>厂区内VOCs无组织排放满足《挥发性有机物无组织排放控制标准》（GB37822-2019）附录A中表A.1的要求（1h平均浓度值：6mg/m</w:t>
            </w:r>
            <w:r>
              <w:rPr>
                <w:bCs/>
                <w:sz w:val="24"/>
                <w:vertAlign w:val="superscript"/>
              </w:rPr>
              <w:t>3</w:t>
            </w:r>
            <w:r>
              <w:rPr>
                <w:bCs/>
                <w:sz w:val="24"/>
              </w:rPr>
              <w:t>、任意一次浓度值：20mg/m</w:t>
            </w:r>
            <w:r>
              <w:rPr>
                <w:bCs/>
                <w:sz w:val="24"/>
                <w:vertAlign w:val="superscript"/>
              </w:rPr>
              <w:t>3</w:t>
            </w:r>
            <w:r>
              <w:rPr>
                <w:bCs/>
                <w:sz w:val="24"/>
              </w:rPr>
              <w:t>）。</w:t>
            </w:r>
          </w:p>
          <w:p w14:paraId="29EC0752">
            <w:pPr>
              <w:adjustRightInd w:val="0"/>
              <w:spacing w:line="360" w:lineRule="auto"/>
              <w:ind w:firstLine="480" w:firstLineChars="200"/>
              <w:jc w:val="left"/>
              <w:textAlignment w:val="baseline"/>
              <w:rPr>
                <w:sz w:val="24"/>
              </w:rPr>
            </w:pPr>
            <w:r>
              <w:rPr>
                <w:sz w:val="24"/>
              </w:rPr>
              <w:t>本项目废气产排污基本情况见</w:t>
            </w:r>
            <w:r>
              <w:rPr>
                <w:sz w:val="24"/>
              </w:rPr>
              <w:fldChar w:fldCharType="begin"/>
            </w:r>
            <w:r>
              <w:rPr>
                <w:sz w:val="24"/>
              </w:rPr>
              <w:instrText xml:space="preserve"> REF _Ref107929860 \h  \* MERGEFORMAT </w:instrText>
            </w:r>
            <w:r>
              <w:rPr>
                <w:sz w:val="24"/>
              </w:rPr>
              <w:fldChar w:fldCharType="separate"/>
            </w:r>
            <w:r>
              <w:rPr>
                <w:sz w:val="24"/>
              </w:rPr>
              <w:t>表</w:t>
            </w:r>
            <w:r>
              <w:rPr>
                <w:sz w:val="24"/>
              </w:rPr>
              <w:fldChar w:fldCharType="end"/>
            </w:r>
            <w:r>
              <w:rPr>
                <w:sz w:val="24"/>
              </w:rPr>
              <w:t>26，废气排放口基本情况见表27。</w:t>
            </w:r>
          </w:p>
        </w:tc>
      </w:tr>
    </w:tbl>
    <w:p w14:paraId="65D38BB9">
      <w:pPr>
        <w:pStyle w:val="21"/>
        <w:tabs>
          <w:tab w:val="left" w:pos="519"/>
        </w:tabs>
        <w:jc w:val="both"/>
        <w:outlineLvl w:val="0"/>
        <w:rPr>
          <w:rFonts w:ascii="Times New Roman" w:hAnsi="Times New Roman"/>
        </w:rPr>
        <w:sectPr>
          <w:footerReference r:id="rId5" w:type="first"/>
          <w:footerReference r:id="rId4" w:type="default"/>
          <w:pgSz w:w="11907" w:h="16840"/>
          <w:pgMar w:top="1701" w:right="1304" w:bottom="1644" w:left="1361" w:header="851" w:footer="851" w:gutter="0"/>
          <w:pgNumType w:start="1"/>
          <w:cols w:space="720" w:num="1"/>
          <w:docGrid w:linePitch="312" w:charSpace="0"/>
        </w:sectPr>
      </w:pPr>
    </w:p>
    <w:p w14:paraId="16FFC105">
      <w:pPr>
        <w:spacing w:line="360" w:lineRule="auto"/>
        <w:jc w:val="center"/>
        <w:rPr>
          <w:b/>
          <w:bCs/>
          <w:kern w:val="0"/>
          <w:sz w:val="24"/>
        </w:rPr>
      </w:pPr>
      <w:bookmarkStart w:id="170" w:name="_Ref107929860"/>
      <w:bookmarkStart w:id="171" w:name="_Ref107929853"/>
      <w:bookmarkStart w:id="172" w:name="OLE_LINK131"/>
      <w:bookmarkStart w:id="173" w:name="OLE_LINK132"/>
      <w:r>
        <w:rPr>
          <w:b/>
          <w:bCs/>
          <w:kern w:val="0"/>
          <w:sz w:val="24"/>
        </w:rPr>
        <w:t>表</w:t>
      </w:r>
      <w:bookmarkEnd w:id="170"/>
      <w:r>
        <w:rPr>
          <w:b/>
          <w:bCs/>
          <w:kern w:val="0"/>
          <w:sz w:val="24"/>
        </w:rPr>
        <w:t xml:space="preserve">26 </w:t>
      </w:r>
      <w:r>
        <w:rPr>
          <w:rFonts w:hint="eastAsia"/>
          <w:b/>
          <w:bCs/>
          <w:kern w:val="0"/>
          <w:sz w:val="24"/>
        </w:rPr>
        <w:t>本</w:t>
      </w:r>
      <w:r>
        <w:rPr>
          <w:b/>
          <w:bCs/>
          <w:kern w:val="0"/>
          <w:sz w:val="24"/>
        </w:rPr>
        <w:t>项目废气产排污基本情况表</w:t>
      </w:r>
      <w:bookmarkEnd w:id="171"/>
    </w:p>
    <w:bookmarkEnd w:id="172"/>
    <w:bookmarkEnd w:id="173"/>
    <w:tbl>
      <w:tblPr>
        <w:tblStyle w:val="25"/>
        <w:tblW w:w="5185"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753"/>
        <w:gridCol w:w="1208"/>
        <w:gridCol w:w="1027"/>
        <w:gridCol w:w="899"/>
        <w:gridCol w:w="612"/>
        <w:gridCol w:w="432"/>
        <w:gridCol w:w="646"/>
        <w:gridCol w:w="612"/>
        <w:gridCol w:w="1050"/>
        <w:gridCol w:w="754"/>
        <w:gridCol w:w="1209"/>
        <w:gridCol w:w="1027"/>
        <w:gridCol w:w="904"/>
        <w:gridCol w:w="1027"/>
        <w:gridCol w:w="1209"/>
      </w:tblGrid>
      <w:tr w14:paraId="4BC91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99" w:type="pct"/>
            <w:vMerge w:val="restart"/>
            <w:vAlign w:val="center"/>
          </w:tcPr>
          <w:p w14:paraId="5497AA89">
            <w:pPr>
              <w:autoSpaceDE w:val="0"/>
              <w:autoSpaceDN w:val="0"/>
              <w:spacing w:line="360" w:lineRule="exact"/>
              <w:jc w:val="center"/>
              <w:rPr>
                <w:snapToGrid w:val="0"/>
                <w:szCs w:val="21"/>
              </w:rPr>
            </w:pPr>
            <w:r>
              <w:rPr>
                <w:snapToGrid w:val="0"/>
                <w:szCs w:val="21"/>
              </w:rPr>
              <w:t>产排污环节</w:t>
            </w:r>
          </w:p>
        </w:tc>
        <w:tc>
          <w:tcPr>
            <w:tcW w:w="265" w:type="pct"/>
            <w:vMerge w:val="restart"/>
            <w:vAlign w:val="center"/>
          </w:tcPr>
          <w:p w14:paraId="7001761E">
            <w:pPr>
              <w:autoSpaceDE w:val="0"/>
              <w:autoSpaceDN w:val="0"/>
              <w:spacing w:line="360" w:lineRule="exact"/>
              <w:jc w:val="center"/>
              <w:rPr>
                <w:snapToGrid w:val="0"/>
                <w:szCs w:val="21"/>
              </w:rPr>
            </w:pPr>
            <w:r>
              <w:rPr>
                <w:snapToGrid w:val="0"/>
                <w:szCs w:val="21"/>
              </w:rPr>
              <w:t>污染物种类</w:t>
            </w:r>
          </w:p>
        </w:tc>
        <w:tc>
          <w:tcPr>
            <w:tcW w:w="1102" w:type="pct"/>
            <w:gridSpan w:val="3"/>
            <w:vAlign w:val="center"/>
          </w:tcPr>
          <w:p w14:paraId="485D62FB">
            <w:pPr>
              <w:autoSpaceDE w:val="0"/>
              <w:autoSpaceDN w:val="0"/>
              <w:spacing w:line="360" w:lineRule="exact"/>
              <w:jc w:val="center"/>
              <w:rPr>
                <w:snapToGrid w:val="0"/>
                <w:szCs w:val="21"/>
              </w:rPr>
            </w:pPr>
            <w:r>
              <w:rPr>
                <w:snapToGrid w:val="0"/>
                <w:szCs w:val="21"/>
              </w:rPr>
              <w:t>污染物产生情况</w:t>
            </w:r>
          </w:p>
        </w:tc>
        <w:tc>
          <w:tcPr>
            <w:tcW w:w="215" w:type="pct"/>
            <w:vMerge w:val="restart"/>
            <w:vAlign w:val="center"/>
          </w:tcPr>
          <w:p w14:paraId="6CE20377">
            <w:pPr>
              <w:autoSpaceDE w:val="0"/>
              <w:autoSpaceDN w:val="0"/>
              <w:spacing w:line="360" w:lineRule="exact"/>
              <w:jc w:val="center"/>
              <w:rPr>
                <w:snapToGrid w:val="0"/>
                <w:szCs w:val="21"/>
              </w:rPr>
            </w:pPr>
            <w:r>
              <w:rPr>
                <w:snapToGrid w:val="0"/>
                <w:szCs w:val="21"/>
              </w:rPr>
              <w:t>收集效率</w:t>
            </w:r>
          </w:p>
        </w:tc>
        <w:tc>
          <w:tcPr>
            <w:tcW w:w="152" w:type="pct"/>
            <w:vMerge w:val="restart"/>
            <w:vAlign w:val="center"/>
          </w:tcPr>
          <w:p w14:paraId="5038A6C8">
            <w:pPr>
              <w:autoSpaceDE w:val="0"/>
              <w:autoSpaceDN w:val="0"/>
              <w:spacing w:line="360" w:lineRule="exact"/>
              <w:jc w:val="center"/>
              <w:rPr>
                <w:snapToGrid w:val="0"/>
                <w:szCs w:val="21"/>
              </w:rPr>
            </w:pPr>
            <w:r>
              <w:rPr>
                <w:snapToGrid w:val="0"/>
                <w:szCs w:val="21"/>
              </w:rPr>
              <w:t>排放形式</w:t>
            </w:r>
          </w:p>
        </w:tc>
        <w:tc>
          <w:tcPr>
            <w:tcW w:w="227" w:type="pct"/>
            <w:vMerge w:val="restart"/>
            <w:vAlign w:val="center"/>
          </w:tcPr>
          <w:p w14:paraId="039C5E82">
            <w:pPr>
              <w:autoSpaceDE w:val="0"/>
              <w:autoSpaceDN w:val="0"/>
              <w:spacing w:line="360" w:lineRule="exact"/>
              <w:jc w:val="center"/>
              <w:rPr>
                <w:snapToGrid w:val="0"/>
                <w:szCs w:val="21"/>
              </w:rPr>
            </w:pPr>
            <w:r>
              <w:rPr>
                <w:snapToGrid w:val="0"/>
                <w:szCs w:val="21"/>
              </w:rPr>
              <w:t>治理设施</w:t>
            </w:r>
            <w:r>
              <w:rPr>
                <w:rFonts w:hint="eastAsia"/>
                <w:snapToGrid w:val="0"/>
                <w:szCs w:val="21"/>
              </w:rPr>
              <w:t>（措施）</w:t>
            </w:r>
          </w:p>
        </w:tc>
        <w:tc>
          <w:tcPr>
            <w:tcW w:w="215" w:type="pct"/>
            <w:vMerge w:val="restart"/>
            <w:vAlign w:val="center"/>
          </w:tcPr>
          <w:p w14:paraId="44D6B2F5">
            <w:pPr>
              <w:autoSpaceDE w:val="0"/>
              <w:autoSpaceDN w:val="0"/>
              <w:spacing w:line="360" w:lineRule="exact"/>
              <w:jc w:val="center"/>
              <w:rPr>
                <w:snapToGrid w:val="0"/>
                <w:szCs w:val="21"/>
              </w:rPr>
            </w:pPr>
            <w:r>
              <w:rPr>
                <w:snapToGrid w:val="0"/>
                <w:szCs w:val="21"/>
              </w:rPr>
              <w:t>治理效率</w:t>
            </w:r>
          </w:p>
        </w:tc>
        <w:tc>
          <w:tcPr>
            <w:tcW w:w="1738" w:type="pct"/>
            <w:gridSpan w:val="5"/>
            <w:vAlign w:val="center"/>
          </w:tcPr>
          <w:p w14:paraId="55F33EBD">
            <w:pPr>
              <w:autoSpaceDE w:val="0"/>
              <w:autoSpaceDN w:val="0"/>
              <w:spacing w:line="360" w:lineRule="exact"/>
              <w:jc w:val="center"/>
              <w:rPr>
                <w:snapToGrid w:val="0"/>
                <w:szCs w:val="21"/>
              </w:rPr>
            </w:pPr>
            <w:r>
              <w:rPr>
                <w:snapToGrid w:val="0"/>
                <w:szCs w:val="21"/>
              </w:rPr>
              <w:t>污染物排放情况</w:t>
            </w:r>
          </w:p>
        </w:tc>
        <w:tc>
          <w:tcPr>
            <w:tcW w:w="786" w:type="pct"/>
            <w:gridSpan w:val="2"/>
            <w:vAlign w:val="center"/>
          </w:tcPr>
          <w:p w14:paraId="2F0B816B">
            <w:pPr>
              <w:autoSpaceDE w:val="0"/>
              <w:autoSpaceDN w:val="0"/>
              <w:spacing w:line="360" w:lineRule="exact"/>
              <w:jc w:val="center"/>
              <w:rPr>
                <w:snapToGrid w:val="0"/>
                <w:szCs w:val="21"/>
              </w:rPr>
            </w:pPr>
            <w:r>
              <w:rPr>
                <w:snapToGrid w:val="0"/>
                <w:szCs w:val="21"/>
              </w:rPr>
              <w:t>排放标准限值</w:t>
            </w:r>
          </w:p>
        </w:tc>
      </w:tr>
      <w:tr w14:paraId="10822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99" w:type="pct"/>
            <w:vMerge w:val="continue"/>
            <w:vAlign w:val="center"/>
          </w:tcPr>
          <w:p w14:paraId="369661EE">
            <w:pPr>
              <w:autoSpaceDE w:val="0"/>
              <w:autoSpaceDN w:val="0"/>
              <w:spacing w:line="360" w:lineRule="exact"/>
              <w:jc w:val="center"/>
              <w:rPr>
                <w:snapToGrid w:val="0"/>
                <w:szCs w:val="21"/>
              </w:rPr>
            </w:pPr>
          </w:p>
        </w:tc>
        <w:tc>
          <w:tcPr>
            <w:tcW w:w="265" w:type="pct"/>
            <w:vMerge w:val="continue"/>
            <w:vAlign w:val="center"/>
          </w:tcPr>
          <w:p w14:paraId="3B2D565F">
            <w:pPr>
              <w:autoSpaceDE w:val="0"/>
              <w:autoSpaceDN w:val="0"/>
              <w:spacing w:line="360" w:lineRule="exact"/>
              <w:jc w:val="center"/>
              <w:rPr>
                <w:snapToGrid w:val="0"/>
                <w:szCs w:val="21"/>
              </w:rPr>
            </w:pPr>
          </w:p>
        </w:tc>
        <w:tc>
          <w:tcPr>
            <w:tcW w:w="425" w:type="pct"/>
            <w:vAlign w:val="center"/>
          </w:tcPr>
          <w:p w14:paraId="549B597D">
            <w:pPr>
              <w:autoSpaceDE w:val="0"/>
              <w:autoSpaceDN w:val="0"/>
              <w:jc w:val="center"/>
              <w:rPr>
                <w:snapToGrid w:val="0"/>
                <w:szCs w:val="21"/>
              </w:rPr>
            </w:pPr>
            <w:r>
              <w:rPr>
                <w:snapToGrid w:val="0"/>
                <w:szCs w:val="21"/>
              </w:rPr>
              <w:t>产生浓度（mg</w:t>
            </w:r>
            <w:r>
              <w:rPr>
                <w:szCs w:val="21"/>
              </w:rPr>
              <w:t>/m³</w:t>
            </w:r>
            <w:r>
              <w:rPr>
                <w:snapToGrid w:val="0"/>
                <w:szCs w:val="21"/>
              </w:rPr>
              <w:t>）</w:t>
            </w:r>
          </w:p>
        </w:tc>
        <w:tc>
          <w:tcPr>
            <w:tcW w:w="361" w:type="pct"/>
            <w:vAlign w:val="center"/>
          </w:tcPr>
          <w:p w14:paraId="362015AC">
            <w:pPr>
              <w:autoSpaceDE w:val="0"/>
              <w:autoSpaceDN w:val="0"/>
              <w:jc w:val="center"/>
              <w:rPr>
                <w:snapToGrid w:val="0"/>
                <w:szCs w:val="21"/>
              </w:rPr>
            </w:pPr>
            <w:r>
              <w:rPr>
                <w:snapToGrid w:val="0"/>
                <w:szCs w:val="21"/>
              </w:rPr>
              <w:t>产生速率（</w:t>
            </w:r>
            <w:r>
              <w:rPr>
                <w:szCs w:val="21"/>
              </w:rPr>
              <w:t>kg/h</w:t>
            </w:r>
            <w:r>
              <w:rPr>
                <w:snapToGrid w:val="0"/>
                <w:szCs w:val="21"/>
              </w:rPr>
              <w:t>）</w:t>
            </w:r>
          </w:p>
        </w:tc>
        <w:tc>
          <w:tcPr>
            <w:tcW w:w="316" w:type="pct"/>
            <w:vAlign w:val="center"/>
          </w:tcPr>
          <w:p w14:paraId="6B6A3CE8">
            <w:pPr>
              <w:autoSpaceDE w:val="0"/>
              <w:autoSpaceDN w:val="0"/>
              <w:jc w:val="center"/>
              <w:rPr>
                <w:snapToGrid w:val="0"/>
                <w:szCs w:val="21"/>
              </w:rPr>
            </w:pPr>
            <w:r>
              <w:rPr>
                <w:snapToGrid w:val="0"/>
                <w:szCs w:val="21"/>
              </w:rPr>
              <w:t>产生量（t/a）</w:t>
            </w:r>
          </w:p>
        </w:tc>
        <w:tc>
          <w:tcPr>
            <w:tcW w:w="215" w:type="pct"/>
            <w:vMerge w:val="continue"/>
            <w:vAlign w:val="center"/>
          </w:tcPr>
          <w:p w14:paraId="7DB9F12D">
            <w:pPr>
              <w:autoSpaceDE w:val="0"/>
              <w:autoSpaceDN w:val="0"/>
              <w:jc w:val="center"/>
              <w:rPr>
                <w:snapToGrid w:val="0"/>
                <w:szCs w:val="21"/>
              </w:rPr>
            </w:pPr>
          </w:p>
        </w:tc>
        <w:tc>
          <w:tcPr>
            <w:tcW w:w="152" w:type="pct"/>
            <w:vMerge w:val="continue"/>
            <w:vAlign w:val="center"/>
          </w:tcPr>
          <w:p w14:paraId="408F3825">
            <w:pPr>
              <w:autoSpaceDE w:val="0"/>
              <w:autoSpaceDN w:val="0"/>
              <w:jc w:val="center"/>
              <w:rPr>
                <w:snapToGrid w:val="0"/>
                <w:szCs w:val="21"/>
              </w:rPr>
            </w:pPr>
          </w:p>
        </w:tc>
        <w:tc>
          <w:tcPr>
            <w:tcW w:w="227" w:type="pct"/>
            <w:vMerge w:val="continue"/>
            <w:vAlign w:val="center"/>
          </w:tcPr>
          <w:p w14:paraId="1746BCE0">
            <w:pPr>
              <w:autoSpaceDE w:val="0"/>
              <w:autoSpaceDN w:val="0"/>
              <w:jc w:val="center"/>
              <w:rPr>
                <w:snapToGrid w:val="0"/>
                <w:szCs w:val="21"/>
              </w:rPr>
            </w:pPr>
          </w:p>
        </w:tc>
        <w:tc>
          <w:tcPr>
            <w:tcW w:w="215" w:type="pct"/>
            <w:vMerge w:val="continue"/>
            <w:vAlign w:val="center"/>
          </w:tcPr>
          <w:p w14:paraId="516E63AC">
            <w:pPr>
              <w:autoSpaceDE w:val="0"/>
              <w:autoSpaceDN w:val="0"/>
              <w:jc w:val="center"/>
              <w:rPr>
                <w:snapToGrid w:val="0"/>
                <w:szCs w:val="21"/>
              </w:rPr>
            </w:pPr>
          </w:p>
        </w:tc>
        <w:tc>
          <w:tcPr>
            <w:tcW w:w="369" w:type="pct"/>
            <w:vAlign w:val="center"/>
          </w:tcPr>
          <w:p w14:paraId="41E013CF">
            <w:pPr>
              <w:autoSpaceDE w:val="0"/>
              <w:autoSpaceDN w:val="0"/>
              <w:jc w:val="center"/>
              <w:rPr>
                <w:snapToGrid w:val="0"/>
                <w:szCs w:val="21"/>
              </w:rPr>
            </w:pPr>
            <w:r>
              <w:rPr>
                <w:rFonts w:hint="eastAsia"/>
                <w:snapToGrid w:val="0"/>
                <w:szCs w:val="21"/>
              </w:rPr>
              <w:t>风量（</w:t>
            </w:r>
            <w:r>
              <w:rPr>
                <w:bCs/>
                <w:snapToGrid w:val="0"/>
                <w:szCs w:val="21"/>
              </w:rPr>
              <w:t>m</w:t>
            </w:r>
            <w:r>
              <w:rPr>
                <w:bCs/>
                <w:snapToGrid w:val="0"/>
                <w:szCs w:val="21"/>
                <w:vertAlign w:val="superscript"/>
              </w:rPr>
              <w:t>3</w:t>
            </w:r>
            <w:r>
              <w:rPr>
                <w:bCs/>
                <w:snapToGrid w:val="0"/>
                <w:szCs w:val="21"/>
              </w:rPr>
              <w:t>/h</w:t>
            </w:r>
            <w:r>
              <w:rPr>
                <w:rFonts w:hint="eastAsia"/>
                <w:snapToGrid w:val="0"/>
                <w:szCs w:val="21"/>
              </w:rPr>
              <w:t>）</w:t>
            </w:r>
          </w:p>
        </w:tc>
        <w:tc>
          <w:tcPr>
            <w:tcW w:w="265" w:type="pct"/>
            <w:vAlign w:val="center"/>
          </w:tcPr>
          <w:p w14:paraId="1177E4EE">
            <w:pPr>
              <w:autoSpaceDE w:val="0"/>
              <w:autoSpaceDN w:val="0"/>
              <w:jc w:val="center"/>
              <w:rPr>
                <w:snapToGrid w:val="0"/>
                <w:szCs w:val="21"/>
              </w:rPr>
            </w:pPr>
            <w:r>
              <w:rPr>
                <w:rFonts w:hint="eastAsia"/>
                <w:snapToGrid w:val="0"/>
                <w:szCs w:val="21"/>
              </w:rPr>
              <w:t>时间</w:t>
            </w:r>
          </w:p>
        </w:tc>
        <w:tc>
          <w:tcPr>
            <w:tcW w:w="425" w:type="pct"/>
            <w:vAlign w:val="center"/>
          </w:tcPr>
          <w:p w14:paraId="59E48BDA">
            <w:pPr>
              <w:autoSpaceDE w:val="0"/>
              <w:autoSpaceDN w:val="0"/>
              <w:jc w:val="center"/>
              <w:rPr>
                <w:snapToGrid w:val="0"/>
                <w:szCs w:val="21"/>
              </w:rPr>
            </w:pPr>
            <w:r>
              <w:rPr>
                <w:snapToGrid w:val="0"/>
                <w:szCs w:val="21"/>
              </w:rPr>
              <w:t>排放浓度（mg</w:t>
            </w:r>
            <w:r>
              <w:rPr>
                <w:szCs w:val="21"/>
              </w:rPr>
              <w:t>/m³</w:t>
            </w:r>
            <w:r>
              <w:rPr>
                <w:snapToGrid w:val="0"/>
                <w:szCs w:val="21"/>
              </w:rPr>
              <w:t>）</w:t>
            </w:r>
          </w:p>
        </w:tc>
        <w:tc>
          <w:tcPr>
            <w:tcW w:w="361" w:type="pct"/>
            <w:vAlign w:val="center"/>
          </w:tcPr>
          <w:p w14:paraId="0657DDD4">
            <w:pPr>
              <w:autoSpaceDE w:val="0"/>
              <w:autoSpaceDN w:val="0"/>
              <w:jc w:val="center"/>
              <w:rPr>
                <w:snapToGrid w:val="0"/>
                <w:szCs w:val="21"/>
              </w:rPr>
            </w:pPr>
            <w:r>
              <w:rPr>
                <w:snapToGrid w:val="0"/>
                <w:szCs w:val="21"/>
              </w:rPr>
              <w:t>排放速率（</w:t>
            </w:r>
            <w:r>
              <w:rPr>
                <w:szCs w:val="21"/>
              </w:rPr>
              <w:t>kg/h</w:t>
            </w:r>
            <w:r>
              <w:rPr>
                <w:snapToGrid w:val="0"/>
                <w:szCs w:val="21"/>
              </w:rPr>
              <w:t>）</w:t>
            </w:r>
          </w:p>
        </w:tc>
        <w:tc>
          <w:tcPr>
            <w:tcW w:w="318" w:type="pct"/>
            <w:vAlign w:val="center"/>
          </w:tcPr>
          <w:p w14:paraId="4E3F4017">
            <w:pPr>
              <w:autoSpaceDE w:val="0"/>
              <w:autoSpaceDN w:val="0"/>
              <w:jc w:val="center"/>
              <w:rPr>
                <w:snapToGrid w:val="0"/>
                <w:szCs w:val="21"/>
              </w:rPr>
            </w:pPr>
            <w:r>
              <w:rPr>
                <w:snapToGrid w:val="0"/>
                <w:szCs w:val="21"/>
              </w:rPr>
              <w:t>排放量（t/a）</w:t>
            </w:r>
          </w:p>
        </w:tc>
        <w:tc>
          <w:tcPr>
            <w:tcW w:w="361" w:type="pct"/>
            <w:vAlign w:val="center"/>
          </w:tcPr>
          <w:p w14:paraId="1444A338">
            <w:pPr>
              <w:autoSpaceDE w:val="0"/>
              <w:autoSpaceDN w:val="0"/>
              <w:jc w:val="center"/>
              <w:rPr>
                <w:snapToGrid w:val="0"/>
                <w:szCs w:val="21"/>
              </w:rPr>
            </w:pPr>
            <w:r>
              <w:rPr>
                <w:snapToGrid w:val="0"/>
                <w:szCs w:val="21"/>
              </w:rPr>
              <w:t>速率限值（</w:t>
            </w:r>
            <w:r>
              <w:rPr>
                <w:szCs w:val="21"/>
              </w:rPr>
              <w:t>kg/h</w:t>
            </w:r>
            <w:r>
              <w:rPr>
                <w:snapToGrid w:val="0"/>
                <w:szCs w:val="21"/>
              </w:rPr>
              <w:t>）</w:t>
            </w:r>
          </w:p>
        </w:tc>
        <w:tc>
          <w:tcPr>
            <w:tcW w:w="425" w:type="pct"/>
            <w:vAlign w:val="center"/>
          </w:tcPr>
          <w:p w14:paraId="16304AD8">
            <w:pPr>
              <w:autoSpaceDE w:val="0"/>
              <w:autoSpaceDN w:val="0"/>
              <w:jc w:val="center"/>
              <w:rPr>
                <w:snapToGrid w:val="0"/>
                <w:szCs w:val="21"/>
              </w:rPr>
            </w:pPr>
            <w:r>
              <w:rPr>
                <w:snapToGrid w:val="0"/>
                <w:szCs w:val="21"/>
              </w:rPr>
              <w:t>浓度限值（mg</w:t>
            </w:r>
            <w:r>
              <w:rPr>
                <w:szCs w:val="21"/>
              </w:rPr>
              <w:t>/m³</w:t>
            </w:r>
            <w:r>
              <w:rPr>
                <w:snapToGrid w:val="0"/>
                <w:szCs w:val="21"/>
              </w:rPr>
              <w:t>）</w:t>
            </w:r>
          </w:p>
        </w:tc>
      </w:tr>
      <w:tr w14:paraId="3D092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99" w:type="pct"/>
            <w:vAlign w:val="center"/>
          </w:tcPr>
          <w:p w14:paraId="394B6F41">
            <w:pPr>
              <w:autoSpaceDE w:val="0"/>
              <w:autoSpaceDN w:val="0"/>
              <w:spacing w:line="360" w:lineRule="exact"/>
              <w:jc w:val="center"/>
              <w:rPr>
                <w:snapToGrid w:val="0"/>
                <w:szCs w:val="21"/>
              </w:rPr>
            </w:pPr>
            <w:bookmarkStart w:id="174" w:name="OLE_LINK202"/>
            <w:bookmarkStart w:id="175" w:name="OLE_LINK203"/>
            <w:r>
              <w:rPr>
                <w:rFonts w:hint="eastAsia"/>
                <w:snapToGrid w:val="0"/>
                <w:szCs w:val="21"/>
              </w:rPr>
              <w:t>切割粉尘、焊接烟尘、抛光粉尘</w:t>
            </w:r>
            <w:bookmarkEnd w:id="174"/>
            <w:bookmarkEnd w:id="175"/>
            <w:r>
              <w:rPr>
                <w:rFonts w:hint="eastAsia"/>
                <w:snapToGrid w:val="0"/>
                <w:szCs w:val="21"/>
              </w:rPr>
              <w:t>D</w:t>
            </w:r>
            <w:r>
              <w:rPr>
                <w:snapToGrid w:val="0"/>
                <w:szCs w:val="21"/>
              </w:rPr>
              <w:t>A001</w:t>
            </w:r>
          </w:p>
        </w:tc>
        <w:tc>
          <w:tcPr>
            <w:tcW w:w="265" w:type="pct"/>
            <w:vAlign w:val="center"/>
          </w:tcPr>
          <w:p w14:paraId="147C784C">
            <w:pPr>
              <w:autoSpaceDE w:val="0"/>
              <w:autoSpaceDN w:val="0"/>
              <w:spacing w:line="360" w:lineRule="exact"/>
              <w:jc w:val="center"/>
              <w:rPr>
                <w:snapToGrid w:val="0"/>
                <w:szCs w:val="21"/>
              </w:rPr>
            </w:pPr>
            <w:r>
              <w:rPr>
                <w:rFonts w:hint="eastAsia"/>
                <w:snapToGrid w:val="0"/>
                <w:szCs w:val="21"/>
              </w:rPr>
              <w:t>颗粒物</w:t>
            </w:r>
          </w:p>
        </w:tc>
        <w:tc>
          <w:tcPr>
            <w:tcW w:w="425" w:type="pct"/>
            <w:vAlign w:val="center"/>
          </w:tcPr>
          <w:p w14:paraId="76CE0E80">
            <w:pPr>
              <w:autoSpaceDE w:val="0"/>
              <w:autoSpaceDN w:val="0"/>
              <w:spacing w:line="360" w:lineRule="exact"/>
              <w:jc w:val="center"/>
              <w:rPr>
                <w:snapToGrid w:val="0"/>
                <w:szCs w:val="21"/>
              </w:rPr>
            </w:pPr>
            <w:r>
              <w:rPr>
                <w:rFonts w:hint="eastAsia"/>
                <w:snapToGrid w:val="0"/>
                <w:szCs w:val="21"/>
              </w:rPr>
              <w:t>3</w:t>
            </w:r>
            <w:r>
              <w:rPr>
                <w:snapToGrid w:val="0"/>
                <w:szCs w:val="21"/>
              </w:rPr>
              <w:t>14.7</w:t>
            </w:r>
          </w:p>
        </w:tc>
        <w:tc>
          <w:tcPr>
            <w:tcW w:w="361" w:type="pct"/>
            <w:vAlign w:val="center"/>
          </w:tcPr>
          <w:p w14:paraId="2C70D7BB">
            <w:pPr>
              <w:autoSpaceDE w:val="0"/>
              <w:autoSpaceDN w:val="0"/>
              <w:spacing w:line="360" w:lineRule="exact"/>
              <w:jc w:val="center"/>
              <w:rPr>
                <w:snapToGrid w:val="0"/>
                <w:szCs w:val="21"/>
              </w:rPr>
            </w:pPr>
            <w:r>
              <w:rPr>
                <w:rFonts w:hint="eastAsia"/>
                <w:snapToGrid w:val="0"/>
                <w:szCs w:val="21"/>
              </w:rPr>
              <w:t>4</w:t>
            </w:r>
            <w:r>
              <w:rPr>
                <w:snapToGrid w:val="0"/>
                <w:szCs w:val="21"/>
              </w:rPr>
              <w:t>.72</w:t>
            </w:r>
          </w:p>
        </w:tc>
        <w:tc>
          <w:tcPr>
            <w:tcW w:w="316" w:type="pct"/>
            <w:vAlign w:val="center"/>
          </w:tcPr>
          <w:p w14:paraId="6766D637">
            <w:pPr>
              <w:autoSpaceDE w:val="0"/>
              <w:autoSpaceDN w:val="0"/>
              <w:spacing w:line="360" w:lineRule="exact"/>
              <w:jc w:val="center"/>
              <w:rPr>
                <w:snapToGrid w:val="0"/>
                <w:szCs w:val="21"/>
              </w:rPr>
            </w:pPr>
            <w:r>
              <w:rPr>
                <w:rFonts w:hint="eastAsia"/>
                <w:snapToGrid w:val="0"/>
                <w:szCs w:val="21"/>
              </w:rPr>
              <w:t>9</w:t>
            </w:r>
            <w:r>
              <w:rPr>
                <w:snapToGrid w:val="0"/>
                <w:szCs w:val="21"/>
              </w:rPr>
              <w:t>.92</w:t>
            </w:r>
          </w:p>
        </w:tc>
        <w:tc>
          <w:tcPr>
            <w:tcW w:w="215" w:type="pct"/>
            <w:vAlign w:val="center"/>
          </w:tcPr>
          <w:p w14:paraId="6EFF8970">
            <w:pPr>
              <w:autoSpaceDE w:val="0"/>
              <w:autoSpaceDN w:val="0"/>
              <w:spacing w:line="360" w:lineRule="exact"/>
              <w:jc w:val="center"/>
              <w:rPr>
                <w:snapToGrid w:val="0"/>
                <w:szCs w:val="21"/>
              </w:rPr>
            </w:pPr>
            <w:r>
              <w:rPr>
                <w:snapToGrid w:val="0"/>
                <w:szCs w:val="21"/>
              </w:rPr>
              <w:t>90%</w:t>
            </w:r>
          </w:p>
        </w:tc>
        <w:tc>
          <w:tcPr>
            <w:tcW w:w="152" w:type="pct"/>
            <w:vMerge w:val="restart"/>
            <w:vAlign w:val="center"/>
          </w:tcPr>
          <w:p w14:paraId="7E7CE824">
            <w:pPr>
              <w:autoSpaceDE w:val="0"/>
              <w:autoSpaceDN w:val="0"/>
              <w:spacing w:line="360" w:lineRule="exact"/>
              <w:jc w:val="center"/>
              <w:rPr>
                <w:snapToGrid w:val="0"/>
                <w:szCs w:val="21"/>
              </w:rPr>
            </w:pPr>
            <w:r>
              <w:rPr>
                <w:szCs w:val="21"/>
              </w:rPr>
              <w:t>有组织</w:t>
            </w:r>
          </w:p>
        </w:tc>
        <w:tc>
          <w:tcPr>
            <w:tcW w:w="227" w:type="pct"/>
            <w:vAlign w:val="center"/>
          </w:tcPr>
          <w:p w14:paraId="795AE643">
            <w:pPr>
              <w:autoSpaceDE w:val="0"/>
              <w:autoSpaceDN w:val="0"/>
              <w:spacing w:line="360" w:lineRule="exact"/>
              <w:jc w:val="center"/>
              <w:rPr>
                <w:snapToGrid w:val="0"/>
                <w:szCs w:val="21"/>
              </w:rPr>
            </w:pPr>
            <w:r>
              <w:rPr>
                <w:rFonts w:hint="eastAsia"/>
                <w:snapToGrid w:val="0"/>
                <w:szCs w:val="21"/>
              </w:rPr>
              <w:t>布袋除尘器</w:t>
            </w:r>
          </w:p>
        </w:tc>
        <w:tc>
          <w:tcPr>
            <w:tcW w:w="215" w:type="pct"/>
            <w:vAlign w:val="center"/>
          </w:tcPr>
          <w:p w14:paraId="75A4B74F">
            <w:pPr>
              <w:autoSpaceDE w:val="0"/>
              <w:autoSpaceDN w:val="0"/>
              <w:spacing w:line="360" w:lineRule="exact"/>
              <w:jc w:val="center"/>
              <w:rPr>
                <w:snapToGrid w:val="0"/>
                <w:szCs w:val="21"/>
              </w:rPr>
            </w:pPr>
            <w:r>
              <w:rPr>
                <w:rFonts w:hint="eastAsia"/>
                <w:snapToGrid w:val="0"/>
                <w:szCs w:val="21"/>
              </w:rPr>
              <w:t>9</w:t>
            </w:r>
            <w:r>
              <w:rPr>
                <w:snapToGrid w:val="0"/>
                <w:szCs w:val="21"/>
              </w:rPr>
              <w:t>5%</w:t>
            </w:r>
          </w:p>
        </w:tc>
        <w:tc>
          <w:tcPr>
            <w:tcW w:w="369" w:type="pct"/>
            <w:vAlign w:val="center"/>
          </w:tcPr>
          <w:p w14:paraId="7856C998">
            <w:pPr>
              <w:autoSpaceDE w:val="0"/>
              <w:autoSpaceDN w:val="0"/>
              <w:spacing w:line="360" w:lineRule="exact"/>
              <w:jc w:val="center"/>
              <w:rPr>
                <w:snapToGrid w:val="0"/>
                <w:szCs w:val="21"/>
              </w:rPr>
            </w:pPr>
            <w:r>
              <w:rPr>
                <w:snapToGrid w:val="0"/>
                <w:szCs w:val="21"/>
              </w:rPr>
              <w:t>15000</w:t>
            </w:r>
          </w:p>
        </w:tc>
        <w:tc>
          <w:tcPr>
            <w:tcW w:w="265" w:type="pct"/>
            <w:vAlign w:val="center"/>
          </w:tcPr>
          <w:p w14:paraId="7499ADB5">
            <w:pPr>
              <w:autoSpaceDE w:val="0"/>
              <w:autoSpaceDN w:val="0"/>
              <w:spacing w:line="360" w:lineRule="exact"/>
              <w:jc w:val="center"/>
              <w:rPr>
                <w:snapToGrid w:val="0"/>
                <w:szCs w:val="21"/>
              </w:rPr>
            </w:pPr>
            <w:r>
              <w:rPr>
                <w:snapToGrid w:val="0"/>
                <w:szCs w:val="21"/>
              </w:rPr>
              <w:t>2100</w:t>
            </w:r>
            <w:r>
              <w:rPr>
                <w:rFonts w:hint="eastAsia"/>
                <w:snapToGrid w:val="0"/>
                <w:szCs w:val="21"/>
              </w:rPr>
              <w:t>h</w:t>
            </w:r>
          </w:p>
        </w:tc>
        <w:tc>
          <w:tcPr>
            <w:tcW w:w="425" w:type="pct"/>
            <w:vAlign w:val="center"/>
          </w:tcPr>
          <w:p w14:paraId="245DF7FD">
            <w:pPr>
              <w:autoSpaceDE w:val="0"/>
              <w:autoSpaceDN w:val="0"/>
              <w:spacing w:line="360" w:lineRule="exact"/>
              <w:jc w:val="center"/>
              <w:rPr>
                <w:snapToGrid w:val="0"/>
                <w:szCs w:val="21"/>
              </w:rPr>
            </w:pPr>
            <w:r>
              <w:rPr>
                <w:snapToGrid w:val="0"/>
                <w:szCs w:val="21"/>
              </w:rPr>
              <w:t>15.73</w:t>
            </w:r>
          </w:p>
        </w:tc>
        <w:tc>
          <w:tcPr>
            <w:tcW w:w="361" w:type="pct"/>
            <w:vAlign w:val="center"/>
          </w:tcPr>
          <w:p w14:paraId="55172C27">
            <w:pPr>
              <w:autoSpaceDE w:val="0"/>
              <w:autoSpaceDN w:val="0"/>
              <w:spacing w:line="360" w:lineRule="exact"/>
              <w:jc w:val="center"/>
              <w:rPr>
                <w:snapToGrid w:val="0"/>
                <w:szCs w:val="21"/>
              </w:rPr>
            </w:pPr>
            <w:r>
              <w:rPr>
                <w:snapToGrid w:val="0"/>
                <w:szCs w:val="21"/>
              </w:rPr>
              <w:t>0.236</w:t>
            </w:r>
          </w:p>
        </w:tc>
        <w:tc>
          <w:tcPr>
            <w:tcW w:w="318" w:type="pct"/>
            <w:vAlign w:val="center"/>
          </w:tcPr>
          <w:p w14:paraId="4E010581">
            <w:pPr>
              <w:autoSpaceDE w:val="0"/>
              <w:autoSpaceDN w:val="0"/>
              <w:spacing w:line="360" w:lineRule="exact"/>
              <w:jc w:val="center"/>
              <w:rPr>
                <w:snapToGrid w:val="0"/>
                <w:szCs w:val="21"/>
              </w:rPr>
            </w:pPr>
            <w:r>
              <w:rPr>
                <w:snapToGrid w:val="0"/>
                <w:szCs w:val="21"/>
              </w:rPr>
              <w:t>0.496</w:t>
            </w:r>
          </w:p>
        </w:tc>
        <w:tc>
          <w:tcPr>
            <w:tcW w:w="361" w:type="pct"/>
            <w:vAlign w:val="center"/>
          </w:tcPr>
          <w:p w14:paraId="213E4ACC">
            <w:pPr>
              <w:autoSpaceDE w:val="0"/>
              <w:autoSpaceDN w:val="0"/>
              <w:spacing w:line="360" w:lineRule="exact"/>
              <w:jc w:val="center"/>
              <w:rPr>
                <w:snapToGrid w:val="0"/>
                <w:szCs w:val="21"/>
              </w:rPr>
            </w:pPr>
            <w:r>
              <w:rPr>
                <w:snapToGrid w:val="0"/>
                <w:szCs w:val="21"/>
              </w:rPr>
              <w:t>3.5</w:t>
            </w:r>
          </w:p>
        </w:tc>
        <w:tc>
          <w:tcPr>
            <w:tcW w:w="425" w:type="pct"/>
            <w:vAlign w:val="center"/>
          </w:tcPr>
          <w:p w14:paraId="3E0C7727">
            <w:pPr>
              <w:autoSpaceDE w:val="0"/>
              <w:autoSpaceDN w:val="0"/>
              <w:spacing w:line="360" w:lineRule="exact"/>
              <w:jc w:val="center"/>
              <w:rPr>
                <w:snapToGrid w:val="0"/>
                <w:szCs w:val="21"/>
              </w:rPr>
            </w:pPr>
            <w:r>
              <w:rPr>
                <w:rFonts w:hint="eastAsia"/>
                <w:snapToGrid w:val="0"/>
                <w:szCs w:val="21"/>
              </w:rPr>
              <w:t>2</w:t>
            </w:r>
            <w:r>
              <w:rPr>
                <w:snapToGrid w:val="0"/>
                <w:szCs w:val="21"/>
              </w:rPr>
              <w:t>0</w:t>
            </w:r>
          </w:p>
        </w:tc>
      </w:tr>
      <w:tr w14:paraId="469D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99" w:type="pct"/>
            <w:vAlign w:val="center"/>
          </w:tcPr>
          <w:p w14:paraId="297C6D7B">
            <w:pPr>
              <w:autoSpaceDE w:val="0"/>
              <w:autoSpaceDN w:val="0"/>
              <w:spacing w:line="360" w:lineRule="exact"/>
              <w:jc w:val="center"/>
              <w:rPr>
                <w:snapToGrid w:val="0"/>
                <w:szCs w:val="21"/>
              </w:rPr>
            </w:pPr>
            <w:r>
              <w:rPr>
                <w:rFonts w:hint="eastAsia"/>
                <w:snapToGrid w:val="0"/>
                <w:szCs w:val="21"/>
              </w:rPr>
              <w:t>喷塑粉尘DA</w:t>
            </w:r>
            <w:r>
              <w:rPr>
                <w:snapToGrid w:val="0"/>
                <w:szCs w:val="21"/>
              </w:rPr>
              <w:t>002</w:t>
            </w:r>
          </w:p>
        </w:tc>
        <w:tc>
          <w:tcPr>
            <w:tcW w:w="265" w:type="pct"/>
            <w:vAlign w:val="center"/>
          </w:tcPr>
          <w:p w14:paraId="0741745A">
            <w:pPr>
              <w:autoSpaceDE w:val="0"/>
              <w:autoSpaceDN w:val="0"/>
              <w:spacing w:line="360" w:lineRule="exact"/>
              <w:jc w:val="center"/>
              <w:rPr>
                <w:snapToGrid w:val="0"/>
                <w:szCs w:val="21"/>
              </w:rPr>
            </w:pPr>
            <w:r>
              <w:rPr>
                <w:rFonts w:hint="eastAsia"/>
                <w:snapToGrid w:val="0"/>
                <w:szCs w:val="21"/>
              </w:rPr>
              <w:t>颗粒物</w:t>
            </w:r>
          </w:p>
        </w:tc>
        <w:tc>
          <w:tcPr>
            <w:tcW w:w="425" w:type="pct"/>
            <w:vAlign w:val="center"/>
          </w:tcPr>
          <w:p w14:paraId="523FBFC9">
            <w:pPr>
              <w:autoSpaceDE w:val="0"/>
              <w:autoSpaceDN w:val="0"/>
              <w:spacing w:line="360" w:lineRule="exact"/>
              <w:jc w:val="center"/>
              <w:rPr>
                <w:snapToGrid w:val="0"/>
                <w:szCs w:val="21"/>
              </w:rPr>
            </w:pPr>
            <w:r>
              <w:rPr>
                <w:snapToGrid w:val="0"/>
                <w:szCs w:val="21"/>
              </w:rPr>
              <w:t>307.2</w:t>
            </w:r>
          </w:p>
        </w:tc>
        <w:tc>
          <w:tcPr>
            <w:tcW w:w="361" w:type="pct"/>
            <w:vAlign w:val="center"/>
          </w:tcPr>
          <w:p w14:paraId="675F571E">
            <w:pPr>
              <w:autoSpaceDE w:val="0"/>
              <w:autoSpaceDN w:val="0"/>
              <w:spacing w:line="360" w:lineRule="exact"/>
              <w:jc w:val="center"/>
              <w:rPr>
                <w:snapToGrid w:val="0"/>
                <w:szCs w:val="21"/>
              </w:rPr>
            </w:pPr>
            <w:r>
              <w:rPr>
                <w:snapToGrid w:val="0"/>
                <w:szCs w:val="21"/>
              </w:rPr>
              <w:t>7.68</w:t>
            </w:r>
          </w:p>
        </w:tc>
        <w:tc>
          <w:tcPr>
            <w:tcW w:w="316" w:type="pct"/>
            <w:vAlign w:val="center"/>
          </w:tcPr>
          <w:p w14:paraId="2B38B897">
            <w:pPr>
              <w:autoSpaceDE w:val="0"/>
              <w:autoSpaceDN w:val="0"/>
              <w:spacing w:line="360" w:lineRule="exact"/>
              <w:jc w:val="center"/>
              <w:rPr>
                <w:snapToGrid w:val="0"/>
                <w:szCs w:val="21"/>
              </w:rPr>
            </w:pPr>
            <w:r>
              <w:rPr>
                <w:snapToGrid w:val="0"/>
                <w:szCs w:val="21"/>
              </w:rPr>
              <w:t>13.82</w:t>
            </w:r>
          </w:p>
        </w:tc>
        <w:tc>
          <w:tcPr>
            <w:tcW w:w="215" w:type="pct"/>
            <w:vAlign w:val="center"/>
          </w:tcPr>
          <w:p w14:paraId="0A582E20">
            <w:pPr>
              <w:autoSpaceDE w:val="0"/>
              <w:autoSpaceDN w:val="0"/>
              <w:spacing w:line="360" w:lineRule="exact"/>
              <w:jc w:val="center"/>
              <w:rPr>
                <w:snapToGrid w:val="0"/>
                <w:szCs w:val="21"/>
              </w:rPr>
            </w:pPr>
            <w:r>
              <w:rPr>
                <w:rFonts w:hint="eastAsia"/>
                <w:snapToGrid w:val="0"/>
                <w:szCs w:val="21"/>
              </w:rPr>
              <w:t>9</w:t>
            </w:r>
            <w:r>
              <w:rPr>
                <w:snapToGrid w:val="0"/>
                <w:szCs w:val="21"/>
              </w:rPr>
              <w:t>5%</w:t>
            </w:r>
          </w:p>
        </w:tc>
        <w:tc>
          <w:tcPr>
            <w:tcW w:w="152" w:type="pct"/>
            <w:vMerge w:val="continue"/>
            <w:vAlign w:val="center"/>
          </w:tcPr>
          <w:p w14:paraId="0EBF79D8">
            <w:pPr>
              <w:autoSpaceDE w:val="0"/>
              <w:autoSpaceDN w:val="0"/>
              <w:spacing w:line="360" w:lineRule="exact"/>
              <w:jc w:val="center"/>
              <w:rPr>
                <w:szCs w:val="21"/>
              </w:rPr>
            </w:pPr>
          </w:p>
        </w:tc>
        <w:tc>
          <w:tcPr>
            <w:tcW w:w="227" w:type="pct"/>
            <w:vAlign w:val="center"/>
          </w:tcPr>
          <w:p w14:paraId="4D0287E5">
            <w:pPr>
              <w:autoSpaceDE w:val="0"/>
              <w:autoSpaceDN w:val="0"/>
              <w:spacing w:line="360" w:lineRule="exact"/>
              <w:jc w:val="center"/>
              <w:rPr>
                <w:snapToGrid w:val="0"/>
                <w:szCs w:val="21"/>
              </w:rPr>
            </w:pPr>
            <w:r>
              <w:rPr>
                <w:rFonts w:hint="eastAsia"/>
                <w:snapToGrid w:val="0"/>
                <w:szCs w:val="21"/>
              </w:rPr>
              <w:t>布袋除尘器</w:t>
            </w:r>
          </w:p>
        </w:tc>
        <w:tc>
          <w:tcPr>
            <w:tcW w:w="215" w:type="pct"/>
            <w:vAlign w:val="center"/>
          </w:tcPr>
          <w:p w14:paraId="130A82E5">
            <w:pPr>
              <w:autoSpaceDE w:val="0"/>
              <w:autoSpaceDN w:val="0"/>
              <w:spacing w:line="360" w:lineRule="exact"/>
              <w:jc w:val="center"/>
              <w:rPr>
                <w:snapToGrid w:val="0"/>
                <w:szCs w:val="21"/>
              </w:rPr>
            </w:pPr>
            <w:r>
              <w:rPr>
                <w:rFonts w:hint="eastAsia"/>
                <w:snapToGrid w:val="0"/>
                <w:szCs w:val="21"/>
              </w:rPr>
              <w:t>9</w:t>
            </w:r>
            <w:r>
              <w:rPr>
                <w:snapToGrid w:val="0"/>
                <w:szCs w:val="21"/>
              </w:rPr>
              <w:t>5%</w:t>
            </w:r>
          </w:p>
        </w:tc>
        <w:tc>
          <w:tcPr>
            <w:tcW w:w="369" w:type="pct"/>
            <w:vAlign w:val="center"/>
          </w:tcPr>
          <w:p w14:paraId="7BA3538A">
            <w:pPr>
              <w:autoSpaceDE w:val="0"/>
              <w:autoSpaceDN w:val="0"/>
              <w:spacing w:line="360" w:lineRule="exact"/>
              <w:jc w:val="center"/>
              <w:rPr>
                <w:snapToGrid w:val="0"/>
                <w:szCs w:val="21"/>
              </w:rPr>
            </w:pPr>
            <w:r>
              <w:rPr>
                <w:snapToGrid w:val="0"/>
                <w:szCs w:val="21"/>
              </w:rPr>
              <w:t>25000</w:t>
            </w:r>
          </w:p>
        </w:tc>
        <w:tc>
          <w:tcPr>
            <w:tcW w:w="265" w:type="pct"/>
            <w:vAlign w:val="center"/>
          </w:tcPr>
          <w:p w14:paraId="212307F4">
            <w:pPr>
              <w:autoSpaceDE w:val="0"/>
              <w:autoSpaceDN w:val="0"/>
              <w:spacing w:line="360" w:lineRule="exact"/>
              <w:jc w:val="center"/>
              <w:rPr>
                <w:snapToGrid w:val="0"/>
                <w:szCs w:val="21"/>
              </w:rPr>
            </w:pPr>
            <w:bookmarkStart w:id="176" w:name="OLE_LINK138"/>
            <w:bookmarkStart w:id="177" w:name="OLE_LINK137"/>
            <w:r>
              <w:rPr>
                <w:snapToGrid w:val="0"/>
                <w:szCs w:val="21"/>
              </w:rPr>
              <w:t>1800h</w:t>
            </w:r>
            <w:bookmarkEnd w:id="176"/>
            <w:bookmarkEnd w:id="177"/>
          </w:p>
        </w:tc>
        <w:tc>
          <w:tcPr>
            <w:tcW w:w="425" w:type="pct"/>
            <w:vAlign w:val="center"/>
          </w:tcPr>
          <w:p w14:paraId="5F201685">
            <w:pPr>
              <w:autoSpaceDE w:val="0"/>
              <w:autoSpaceDN w:val="0"/>
              <w:spacing w:line="360" w:lineRule="exact"/>
              <w:jc w:val="center"/>
              <w:rPr>
                <w:snapToGrid w:val="0"/>
                <w:szCs w:val="21"/>
              </w:rPr>
            </w:pPr>
            <w:r>
              <w:rPr>
                <w:rFonts w:hint="eastAsia"/>
                <w:snapToGrid w:val="0"/>
                <w:szCs w:val="21"/>
              </w:rPr>
              <w:t>1</w:t>
            </w:r>
            <w:r>
              <w:rPr>
                <w:snapToGrid w:val="0"/>
                <w:szCs w:val="21"/>
              </w:rPr>
              <w:t>5.2</w:t>
            </w:r>
          </w:p>
        </w:tc>
        <w:tc>
          <w:tcPr>
            <w:tcW w:w="361" w:type="pct"/>
            <w:vAlign w:val="center"/>
          </w:tcPr>
          <w:p w14:paraId="141D217D">
            <w:pPr>
              <w:autoSpaceDE w:val="0"/>
              <w:autoSpaceDN w:val="0"/>
              <w:spacing w:line="360" w:lineRule="exact"/>
              <w:jc w:val="center"/>
              <w:rPr>
                <w:snapToGrid w:val="0"/>
                <w:szCs w:val="21"/>
              </w:rPr>
            </w:pPr>
            <w:r>
              <w:rPr>
                <w:rFonts w:hint="eastAsia"/>
                <w:snapToGrid w:val="0"/>
                <w:szCs w:val="21"/>
              </w:rPr>
              <w:t>0</w:t>
            </w:r>
            <w:r>
              <w:rPr>
                <w:snapToGrid w:val="0"/>
                <w:szCs w:val="21"/>
              </w:rPr>
              <w:t>.38</w:t>
            </w:r>
          </w:p>
        </w:tc>
        <w:tc>
          <w:tcPr>
            <w:tcW w:w="318" w:type="pct"/>
            <w:vAlign w:val="center"/>
          </w:tcPr>
          <w:p w14:paraId="236ECCBD">
            <w:pPr>
              <w:autoSpaceDE w:val="0"/>
              <w:autoSpaceDN w:val="0"/>
              <w:spacing w:line="360" w:lineRule="exact"/>
              <w:jc w:val="center"/>
              <w:rPr>
                <w:snapToGrid w:val="0"/>
                <w:szCs w:val="21"/>
              </w:rPr>
            </w:pPr>
            <w:r>
              <w:rPr>
                <w:rFonts w:hint="eastAsia"/>
                <w:snapToGrid w:val="0"/>
                <w:szCs w:val="21"/>
              </w:rPr>
              <w:t>0</w:t>
            </w:r>
            <w:r>
              <w:rPr>
                <w:snapToGrid w:val="0"/>
                <w:szCs w:val="21"/>
              </w:rPr>
              <w:t>.69</w:t>
            </w:r>
          </w:p>
        </w:tc>
        <w:tc>
          <w:tcPr>
            <w:tcW w:w="361" w:type="pct"/>
            <w:vAlign w:val="center"/>
          </w:tcPr>
          <w:p w14:paraId="0FD000E1">
            <w:pPr>
              <w:autoSpaceDE w:val="0"/>
              <w:autoSpaceDN w:val="0"/>
              <w:spacing w:line="360" w:lineRule="exact"/>
              <w:jc w:val="center"/>
              <w:rPr>
                <w:snapToGrid w:val="0"/>
                <w:szCs w:val="21"/>
              </w:rPr>
            </w:pPr>
            <w:r>
              <w:rPr>
                <w:snapToGrid w:val="0"/>
                <w:szCs w:val="21"/>
              </w:rPr>
              <w:t>3.5</w:t>
            </w:r>
          </w:p>
        </w:tc>
        <w:tc>
          <w:tcPr>
            <w:tcW w:w="425" w:type="pct"/>
            <w:vAlign w:val="center"/>
          </w:tcPr>
          <w:p w14:paraId="594D718A">
            <w:pPr>
              <w:autoSpaceDE w:val="0"/>
              <w:autoSpaceDN w:val="0"/>
              <w:spacing w:line="360" w:lineRule="exact"/>
              <w:jc w:val="center"/>
              <w:rPr>
                <w:snapToGrid w:val="0"/>
                <w:szCs w:val="21"/>
              </w:rPr>
            </w:pPr>
            <w:r>
              <w:rPr>
                <w:rFonts w:hint="eastAsia"/>
                <w:snapToGrid w:val="0"/>
                <w:szCs w:val="21"/>
              </w:rPr>
              <w:t>2</w:t>
            </w:r>
            <w:r>
              <w:rPr>
                <w:snapToGrid w:val="0"/>
                <w:szCs w:val="21"/>
              </w:rPr>
              <w:t>0</w:t>
            </w:r>
          </w:p>
        </w:tc>
      </w:tr>
      <w:tr w14:paraId="58AC5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99" w:type="pct"/>
            <w:vAlign w:val="center"/>
          </w:tcPr>
          <w:p w14:paraId="30881391">
            <w:pPr>
              <w:autoSpaceDE w:val="0"/>
              <w:autoSpaceDN w:val="0"/>
              <w:spacing w:line="360" w:lineRule="exact"/>
              <w:jc w:val="center"/>
              <w:rPr>
                <w:snapToGrid w:val="0"/>
                <w:szCs w:val="21"/>
              </w:rPr>
            </w:pPr>
            <w:bookmarkStart w:id="178" w:name="_Hlk193464719"/>
            <w:r>
              <w:rPr>
                <w:rFonts w:hint="eastAsia"/>
                <w:snapToGrid w:val="0"/>
                <w:szCs w:val="21"/>
              </w:rPr>
              <w:t>固化废气DA</w:t>
            </w:r>
            <w:r>
              <w:rPr>
                <w:snapToGrid w:val="0"/>
                <w:szCs w:val="21"/>
              </w:rPr>
              <w:t>003</w:t>
            </w:r>
          </w:p>
        </w:tc>
        <w:tc>
          <w:tcPr>
            <w:tcW w:w="265" w:type="pct"/>
            <w:vAlign w:val="center"/>
          </w:tcPr>
          <w:p w14:paraId="2F7EF511">
            <w:pPr>
              <w:autoSpaceDE w:val="0"/>
              <w:autoSpaceDN w:val="0"/>
              <w:spacing w:line="360" w:lineRule="exact"/>
              <w:jc w:val="center"/>
              <w:rPr>
                <w:snapToGrid w:val="0"/>
                <w:szCs w:val="21"/>
              </w:rPr>
            </w:pPr>
            <w:r>
              <w:rPr>
                <w:snapToGrid w:val="0"/>
                <w:szCs w:val="21"/>
              </w:rPr>
              <w:t>VOCs</w:t>
            </w:r>
          </w:p>
        </w:tc>
        <w:tc>
          <w:tcPr>
            <w:tcW w:w="425" w:type="pct"/>
            <w:vAlign w:val="center"/>
          </w:tcPr>
          <w:p w14:paraId="365D0004">
            <w:pPr>
              <w:autoSpaceDE w:val="0"/>
              <w:autoSpaceDN w:val="0"/>
              <w:spacing w:line="360" w:lineRule="exact"/>
              <w:jc w:val="center"/>
              <w:rPr>
                <w:snapToGrid w:val="0"/>
                <w:szCs w:val="21"/>
              </w:rPr>
            </w:pPr>
            <w:r>
              <w:rPr>
                <w:snapToGrid w:val="0"/>
                <w:szCs w:val="21"/>
              </w:rPr>
              <w:t>6</w:t>
            </w:r>
          </w:p>
        </w:tc>
        <w:tc>
          <w:tcPr>
            <w:tcW w:w="361" w:type="pct"/>
            <w:vAlign w:val="center"/>
          </w:tcPr>
          <w:p w14:paraId="19DFE6B1">
            <w:pPr>
              <w:autoSpaceDE w:val="0"/>
              <w:autoSpaceDN w:val="0"/>
              <w:spacing w:line="360" w:lineRule="exact"/>
              <w:jc w:val="center"/>
              <w:rPr>
                <w:snapToGrid w:val="0"/>
                <w:szCs w:val="21"/>
              </w:rPr>
            </w:pPr>
            <w:r>
              <w:rPr>
                <w:snapToGrid w:val="0"/>
                <w:szCs w:val="21"/>
              </w:rPr>
              <w:t>0.03</w:t>
            </w:r>
          </w:p>
        </w:tc>
        <w:tc>
          <w:tcPr>
            <w:tcW w:w="316" w:type="pct"/>
            <w:vAlign w:val="center"/>
          </w:tcPr>
          <w:p w14:paraId="1312B9EF">
            <w:pPr>
              <w:autoSpaceDE w:val="0"/>
              <w:autoSpaceDN w:val="0"/>
              <w:spacing w:line="360" w:lineRule="exact"/>
              <w:jc w:val="center"/>
              <w:rPr>
                <w:snapToGrid w:val="0"/>
                <w:szCs w:val="21"/>
              </w:rPr>
            </w:pPr>
            <w:r>
              <w:rPr>
                <w:snapToGrid w:val="0"/>
                <w:szCs w:val="21"/>
              </w:rPr>
              <w:t>0.055</w:t>
            </w:r>
          </w:p>
        </w:tc>
        <w:tc>
          <w:tcPr>
            <w:tcW w:w="215" w:type="pct"/>
            <w:vAlign w:val="center"/>
          </w:tcPr>
          <w:p w14:paraId="385B8B69">
            <w:pPr>
              <w:autoSpaceDE w:val="0"/>
              <w:autoSpaceDN w:val="0"/>
              <w:spacing w:line="360" w:lineRule="exact"/>
              <w:jc w:val="center"/>
              <w:rPr>
                <w:snapToGrid w:val="0"/>
                <w:szCs w:val="21"/>
              </w:rPr>
            </w:pPr>
            <w:r>
              <w:rPr>
                <w:snapToGrid w:val="0"/>
                <w:szCs w:val="21"/>
              </w:rPr>
              <w:t>95%</w:t>
            </w:r>
          </w:p>
        </w:tc>
        <w:tc>
          <w:tcPr>
            <w:tcW w:w="152" w:type="pct"/>
            <w:vMerge w:val="continue"/>
            <w:vAlign w:val="center"/>
          </w:tcPr>
          <w:p w14:paraId="0C413C69">
            <w:pPr>
              <w:autoSpaceDE w:val="0"/>
              <w:autoSpaceDN w:val="0"/>
              <w:spacing w:line="360" w:lineRule="exact"/>
              <w:jc w:val="center"/>
              <w:rPr>
                <w:szCs w:val="21"/>
              </w:rPr>
            </w:pPr>
          </w:p>
        </w:tc>
        <w:tc>
          <w:tcPr>
            <w:tcW w:w="227" w:type="pct"/>
            <w:vAlign w:val="center"/>
          </w:tcPr>
          <w:p w14:paraId="5D1F78EF">
            <w:pPr>
              <w:autoSpaceDE w:val="0"/>
              <w:autoSpaceDN w:val="0"/>
              <w:spacing w:line="360" w:lineRule="exact"/>
              <w:jc w:val="center"/>
              <w:rPr>
                <w:snapToGrid w:val="0"/>
                <w:szCs w:val="21"/>
              </w:rPr>
            </w:pPr>
            <w:r>
              <w:rPr>
                <w:rFonts w:hint="eastAsia"/>
                <w:snapToGrid w:val="0"/>
                <w:szCs w:val="21"/>
              </w:rPr>
              <w:t>二级活性炭</w:t>
            </w:r>
          </w:p>
        </w:tc>
        <w:tc>
          <w:tcPr>
            <w:tcW w:w="215" w:type="pct"/>
            <w:vAlign w:val="center"/>
          </w:tcPr>
          <w:p w14:paraId="73E77246">
            <w:pPr>
              <w:autoSpaceDE w:val="0"/>
              <w:autoSpaceDN w:val="0"/>
              <w:spacing w:line="360" w:lineRule="exact"/>
              <w:jc w:val="center"/>
              <w:rPr>
                <w:snapToGrid w:val="0"/>
                <w:szCs w:val="21"/>
              </w:rPr>
            </w:pPr>
            <w:r>
              <w:rPr>
                <w:rFonts w:hint="eastAsia"/>
                <w:snapToGrid w:val="0"/>
                <w:szCs w:val="21"/>
              </w:rPr>
              <w:t>80%</w:t>
            </w:r>
          </w:p>
        </w:tc>
        <w:tc>
          <w:tcPr>
            <w:tcW w:w="369" w:type="pct"/>
            <w:vAlign w:val="center"/>
          </w:tcPr>
          <w:p w14:paraId="6834EDDB">
            <w:pPr>
              <w:autoSpaceDE w:val="0"/>
              <w:autoSpaceDN w:val="0"/>
              <w:spacing w:line="360" w:lineRule="exact"/>
              <w:jc w:val="center"/>
              <w:rPr>
                <w:snapToGrid w:val="0"/>
                <w:szCs w:val="21"/>
              </w:rPr>
            </w:pPr>
            <w:r>
              <w:rPr>
                <w:snapToGrid w:val="0"/>
                <w:szCs w:val="21"/>
              </w:rPr>
              <w:t>5000</w:t>
            </w:r>
          </w:p>
        </w:tc>
        <w:tc>
          <w:tcPr>
            <w:tcW w:w="265" w:type="pct"/>
            <w:vAlign w:val="center"/>
          </w:tcPr>
          <w:p w14:paraId="38533A9F">
            <w:pPr>
              <w:autoSpaceDE w:val="0"/>
              <w:autoSpaceDN w:val="0"/>
              <w:spacing w:line="360" w:lineRule="exact"/>
              <w:jc w:val="center"/>
              <w:rPr>
                <w:snapToGrid w:val="0"/>
                <w:szCs w:val="21"/>
              </w:rPr>
            </w:pPr>
            <w:r>
              <w:rPr>
                <w:rFonts w:hint="eastAsia"/>
                <w:snapToGrid w:val="0"/>
                <w:szCs w:val="21"/>
              </w:rPr>
              <w:t>1</w:t>
            </w:r>
            <w:r>
              <w:rPr>
                <w:snapToGrid w:val="0"/>
                <w:szCs w:val="21"/>
              </w:rPr>
              <w:t>8</w:t>
            </w:r>
            <w:r>
              <w:rPr>
                <w:rFonts w:hint="eastAsia"/>
                <w:snapToGrid w:val="0"/>
                <w:szCs w:val="21"/>
              </w:rPr>
              <w:t>00</w:t>
            </w:r>
            <w:r>
              <w:rPr>
                <w:snapToGrid w:val="0"/>
                <w:szCs w:val="21"/>
              </w:rPr>
              <w:t>h</w:t>
            </w:r>
          </w:p>
        </w:tc>
        <w:tc>
          <w:tcPr>
            <w:tcW w:w="425" w:type="pct"/>
            <w:vAlign w:val="center"/>
          </w:tcPr>
          <w:p w14:paraId="675B10E2">
            <w:pPr>
              <w:autoSpaceDE w:val="0"/>
              <w:autoSpaceDN w:val="0"/>
              <w:spacing w:line="360" w:lineRule="exact"/>
              <w:jc w:val="center"/>
              <w:rPr>
                <w:snapToGrid w:val="0"/>
                <w:szCs w:val="21"/>
              </w:rPr>
            </w:pPr>
            <w:r>
              <w:rPr>
                <w:snapToGrid w:val="0"/>
                <w:szCs w:val="21"/>
              </w:rPr>
              <w:t>1.2</w:t>
            </w:r>
          </w:p>
        </w:tc>
        <w:tc>
          <w:tcPr>
            <w:tcW w:w="361" w:type="pct"/>
            <w:vAlign w:val="center"/>
          </w:tcPr>
          <w:p w14:paraId="608F782B">
            <w:pPr>
              <w:autoSpaceDE w:val="0"/>
              <w:autoSpaceDN w:val="0"/>
              <w:spacing w:line="360" w:lineRule="exact"/>
              <w:jc w:val="center"/>
              <w:rPr>
                <w:snapToGrid w:val="0"/>
                <w:szCs w:val="21"/>
              </w:rPr>
            </w:pPr>
            <w:r>
              <w:rPr>
                <w:snapToGrid w:val="0"/>
                <w:szCs w:val="21"/>
              </w:rPr>
              <w:t>0.006</w:t>
            </w:r>
          </w:p>
        </w:tc>
        <w:tc>
          <w:tcPr>
            <w:tcW w:w="318" w:type="pct"/>
            <w:vAlign w:val="center"/>
          </w:tcPr>
          <w:p w14:paraId="687F0099">
            <w:pPr>
              <w:autoSpaceDE w:val="0"/>
              <w:autoSpaceDN w:val="0"/>
              <w:spacing w:line="360" w:lineRule="exact"/>
              <w:jc w:val="center"/>
              <w:rPr>
                <w:snapToGrid w:val="0"/>
                <w:szCs w:val="21"/>
              </w:rPr>
            </w:pPr>
            <w:r>
              <w:rPr>
                <w:snapToGrid w:val="0"/>
                <w:szCs w:val="21"/>
              </w:rPr>
              <w:t>0.011</w:t>
            </w:r>
          </w:p>
        </w:tc>
        <w:tc>
          <w:tcPr>
            <w:tcW w:w="361" w:type="pct"/>
            <w:vAlign w:val="center"/>
          </w:tcPr>
          <w:p w14:paraId="5823A90B">
            <w:pPr>
              <w:autoSpaceDE w:val="0"/>
              <w:autoSpaceDN w:val="0"/>
              <w:spacing w:line="360" w:lineRule="exact"/>
              <w:jc w:val="center"/>
              <w:rPr>
                <w:snapToGrid w:val="0"/>
                <w:szCs w:val="21"/>
              </w:rPr>
            </w:pPr>
            <w:r>
              <w:rPr>
                <w:snapToGrid w:val="0"/>
                <w:szCs w:val="21"/>
              </w:rPr>
              <w:t>2.4</w:t>
            </w:r>
          </w:p>
        </w:tc>
        <w:tc>
          <w:tcPr>
            <w:tcW w:w="425" w:type="pct"/>
            <w:vAlign w:val="center"/>
          </w:tcPr>
          <w:p w14:paraId="2ECBE035">
            <w:pPr>
              <w:autoSpaceDE w:val="0"/>
              <w:autoSpaceDN w:val="0"/>
              <w:spacing w:line="360" w:lineRule="exact"/>
              <w:jc w:val="center"/>
              <w:rPr>
                <w:snapToGrid w:val="0"/>
                <w:szCs w:val="21"/>
              </w:rPr>
            </w:pPr>
            <w:r>
              <w:rPr>
                <w:snapToGrid w:val="0"/>
                <w:szCs w:val="21"/>
              </w:rPr>
              <w:t>70</w:t>
            </w:r>
          </w:p>
        </w:tc>
      </w:tr>
      <w:bookmarkEnd w:id="178"/>
      <w:tr w14:paraId="10E59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Merge w:val="restart"/>
            <w:vAlign w:val="center"/>
          </w:tcPr>
          <w:p w14:paraId="44C588EB">
            <w:pPr>
              <w:autoSpaceDE w:val="0"/>
              <w:autoSpaceDN w:val="0"/>
              <w:spacing w:line="360" w:lineRule="exact"/>
              <w:jc w:val="center"/>
              <w:rPr>
                <w:snapToGrid w:val="0"/>
                <w:szCs w:val="21"/>
              </w:rPr>
            </w:pPr>
            <w:bookmarkStart w:id="179" w:name="_Hlk191114151"/>
            <w:r>
              <w:rPr>
                <w:snapToGrid w:val="0"/>
                <w:szCs w:val="21"/>
              </w:rPr>
              <w:t>生产车间</w:t>
            </w:r>
          </w:p>
        </w:tc>
        <w:tc>
          <w:tcPr>
            <w:tcW w:w="265" w:type="pct"/>
            <w:vAlign w:val="center"/>
          </w:tcPr>
          <w:p w14:paraId="554F9993">
            <w:pPr>
              <w:autoSpaceDE w:val="0"/>
              <w:autoSpaceDN w:val="0"/>
              <w:spacing w:line="360" w:lineRule="exact"/>
              <w:jc w:val="center"/>
              <w:rPr>
                <w:szCs w:val="21"/>
              </w:rPr>
            </w:pPr>
            <w:r>
              <w:rPr>
                <w:rFonts w:hint="eastAsia"/>
                <w:szCs w:val="21"/>
              </w:rPr>
              <w:t>颗粒物</w:t>
            </w:r>
          </w:p>
        </w:tc>
        <w:tc>
          <w:tcPr>
            <w:tcW w:w="425" w:type="pct"/>
            <w:vAlign w:val="center"/>
          </w:tcPr>
          <w:p w14:paraId="50312BB9">
            <w:pPr>
              <w:autoSpaceDE w:val="0"/>
              <w:autoSpaceDN w:val="0"/>
              <w:spacing w:line="360" w:lineRule="exact"/>
              <w:jc w:val="center"/>
              <w:rPr>
                <w:snapToGrid w:val="0"/>
                <w:kern w:val="0"/>
                <w:szCs w:val="21"/>
              </w:rPr>
            </w:pPr>
            <w:r>
              <w:rPr>
                <w:snapToGrid w:val="0"/>
                <w:kern w:val="0"/>
                <w:szCs w:val="21"/>
              </w:rPr>
              <w:t>/</w:t>
            </w:r>
          </w:p>
        </w:tc>
        <w:tc>
          <w:tcPr>
            <w:tcW w:w="361" w:type="pct"/>
            <w:vAlign w:val="center"/>
          </w:tcPr>
          <w:p w14:paraId="0FD92EE2">
            <w:pPr>
              <w:autoSpaceDE w:val="0"/>
              <w:autoSpaceDN w:val="0"/>
              <w:spacing w:line="360" w:lineRule="exact"/>
              <w:jc w:val="center"/>
              <w:rPr>
                <w:snapToGrid w:val="0"/>
                <w:kern w:val="0"/>
                <w:szCs w:val="21"/>
              </w:rPr>
            </w:pPr>
            <w:r>
              <w:rPr>
                <w:rFonts w:hint="eastAsia"/>
                <w:snapToGrid w:val="0"/>
                <w:kern w:val="0"/>
                <w:szCs w:val="21"/>
              </w:rPr>
              <w:t>0</w:t>
            </w:r>
            <w:r>
              <w:rPr>
                <w:snapToGrid w:val="0"/>
                <w:kern w:val="0"/>
                <w:szCs w:val="21"/>
              </w:rPr>
              <w:t>.76</w:t>
            </w:r>
          </w:p>
        </w:tc>
        <w:tc>
          <w:tcPr>
            <w:tcW w:w="316" w:type="pct"/>
            <w:vAlign w:val="center"/>
          </w:tcPr>
          <w:p w14:paraId="38940736">
            <w:pPr>
              <w:autoSpaceDE w:val="0"/>
              <w:autoSpaceDN w:val="0"/>
              <w:spacing w:line="360" w:lineRule="exact"/>
              <w:jc w:val="center"/>
              <w:rPr>
                <w:snapToGrid w:val="0"/>
                <w:kern w:val="0"/>
                <w:szCs w:val="21"/>
              </w:rPr>
            </w:pPr>
            <w:r>
              <w:rPr>
                <w:rFonts w:hint="eastAsia"/>
                <w:snapToGrid w:val="0"/>
                <w:kern w:val="0"/>
                <w:szCs w:val="21"/>
              </w:rPr>
              <w:t>1.</w:t>
            </w:r>
            <w:r>
              <w:rPr>
                <w:snapToGrid w:val="0"/>
                <w:kern w:val="0"/>
                <w:szCs w:val="21"/>
              </w:rPr>
              <w:t>832</w:t>
            </w:r>
          </w:p>
        </w:tc>
        <w:tc>
          <w:tcPr>
            <w:tcW w:w="215" w:type="pct"/>
            <w:vAlign w:val="center"/>
          </w:tcPr>
          <w:p w14:paraId="6BA1F530">
            <w:pPr>
              <w:autoSpaceDE w:val="0"/>
              <w:autoSpaceDN w:val="0"/>
              <w:spacing w:line="360" w:lineRule="exact"/>
              <w:jc w:val="center"/>
              <w:rPr>
                <w:snapToGrid w:val="0"/>
                <w:kern w:val="0"/>
                <w:szCs w:val="21"/>
              </w:rPr>
            </w:pPr>
            <w:r>
              <w:rPr>
                <w:snapToGrid w:val="0"/>
                <w:kern w:val="0"/>
                <w:szCs w:val="21"/>
              </w:rPr>
              <w:t>/</w:t>
            </w:r>
          </w:p>
        </w:tc>
        <w:tc>
          <w:tcPr>
            <w:tcW w:w="152" w:type="pct"/>
            <w:vMerge w:val="restart"/>
            <w:vAlign w:val="center"/>
          </w:tcPr>
          <w:p w14:paraId="3B29EA28">
            <w:pPr>
              <w:autoSpaceDE w:val="0"/>
              <w:autoSpaceDN w:val="0"/>
              <w:spacing w:line="360" w:lineRule="exact"/>
              <w:jc w:val="center"/>
              <w:rPr>
                <w:snapToGrid w:val="0"/>
                <w:kern w:val="0"/>
                <w:szCs w:val="21"/>
              </w:rPr>
            </w:pPr>
            <w:r>
              <w:rPr>
                <w:snapToGrid w:val="0"/>
                <w:kern w:val="0"/>
                <w:szCs w:val="21"/>
              </w:rPr>
              <w:t>无组</w:t>
            </w:r>
          </w:p>
          <w:p w14:paraId="5A9F90C8">
            <w:pPr>
              <w:autoSpaceDE w:val="0"/>
              <w:autoSpaceDN w:val="0"/>
              <w:spacing w:line="360" w:lineRule="exact"/>
              <w:jc w:val="center"/>
              <w:rPr>
                <w:snapToGrid w:val="0"/>
                <w:kern w:val="0"/>
                <w:szCs w:val="21"/>
              </w:rPr>
            </w:pPr>
            <w:r>
              <w:rPr>
                <w:snapToGrid w:val="0"/>
                <w:kern w:val="0"/>
                <w:szCs w:val="21"/>
              </w:rPr>
              <w:t>织</w:t>
            </w:r>
          </w:p>
        </w:tc>
        <w:tc>
          <w:tcPr>
            <w:tcW w:w="227" w:type="pct"/>
            <w:vAlign w:val="center"/>
          </w:tcPr>
          <w:p w14:paraId="13706306">
            <w:pPr>
              <w:autoSpaceDE w:val="0"/>
              <w:autoSpaceDN w:val="0"/>
              <w:spacing w:line="360" w:lineRule="exact"/>
              <w:jc w:val="center"/>
              <w:rPr>
                <w:snapToGrid w:val="0"/>
                <w:kern w:val="0"/>
                <w:szCs w:val="21"/>
              </w:rPr>
            </w:pPr>
            <w:r>
              <w:rPr>
                <w:snapToGrid w:val="0"/>
                <w:kern w:val="0"/>
                <w:szCs w:val="21"/>
              </w:rPr>
              <w:t>/</w:t>
            </w:r>
          </w:p>
        </w:tc>
        <w:tc>
          <w:tcPr>
            <w:tcW w:w="215" w:type="pct"/>
            <w:vAlign w:val="center"/>
          </w:tcPr>
          <w:p w14:paraId="47B24770">
            <w:pPr>
              <w:autoSpaceDE w:val="0"/>
              <w:autoSpaceDN w:val="0"/>
              <w:spacing w:line="360" w:lineRule="exact"/>
              <w:jc w:val="center"/>
              <w:rPr>
                <w:snapToGrid w:val="0"/>
                <w:kern w:val="0"/>
                <w:szCs w:val="21"/>
              </w:rPr>
            </w:pPr>
            <w:r>
              <w:rPr>
                <w:snapToGrid w:val="0"/>
                <w:kern w:val="0"/>
                <w:szCs w:val="21"/>
              </w:rPr>
              <w:t>/</w:t>
            </w:r>
          </w:p>
        </w:tc>
        <w:tc>
          <w:tcPr>
            <w:tcW w:w="369" w:type="pct"/>
            <w:vAlign w:val="center"/>
          </w:tcPr>
          <w:p w14:paraId="322FE9EE">
            <w:pPr>
              <w:autoSpaceDE w:val="0"/>
              <w:autoSpaceDN w:val="0"/>
              <w:spacing w:line="360" w:lineRule="exact"/>
              <w:jc w:val="center"/>
              <w:rPr>
                <w:snapToGrid w:val="0"/>
                <w:kern w:val="0"/>
                <w:szCs w:val="21"/>
              </w:rPr>
            </w:pPr>
            <w:r>
              <w:rPr>
                <w:snapToGrid w:val="0"/>
                <w:kern w:val="0"/>
                <w:szCs w:val="21"/>
              </w:rPr>
              <w:t>/</w:t>
            </w:r>
          </w:p>
        </w:tc>
        <w:tc>
          <w:tcPr>
            <w:tcW w:w="265" w:type="pct"/>
            <w:vAlign w:val="center"/>
          </w:tcPr>
          <w:p w14:paraId="4C844DBF">
            <w:pPr>
              <w:autoSpaceDE w:val="0"/>
              <w:autoSpaceDN w:val="0"/>
              <w:spacing w:line="360" w:lineRule="exact"/>
              <w:jc w:val="center"/>
              <w:rPr>
                <w:snapToGrid w:val="0"/>
                <w:szCs w:val="21"/>
              </w:rPr>
            </w:pPr>
            <w:r>
              <w:rPr>
                <w:snapToGrid w:val="0"/>
                <w:szCs w:val="21"/>
              </w:rPr>
              <w:t>2400</w:t>
            </w:r>
            <w:r>
              <w:rPr>
                <w:rFonts w:hint="eastAsia"/>
                <w:snapToGrid w:val="0"/>
                <w:szCs w:val="21"/>
              </w:rPr>
              <w:t>h</w:t>
            </w:r>
          </w:p>
        </w:tc>
        <w:tc>
          <w:tcPr>
            <w:tcW w:w="425" w:type="pct"/>
            <w:vAlign w:val="center"/>
          </w:tcPr>
          <w:p w14:paraId="180BADD2">
            <w:pPr>
              <w:autoSpaceDE w:val="0"/>
              <w:autoSpaceDN w:val="0"/>
              <w:spacing w:line="360" w:lineRule="exact"/>
              <w:jc w:val="center"/>
              <w:rPr>
                <w:snapToGrid w:val="0"/>
                <w:kern w:val="0"/>
                <w:szCs w:val="21"/>
              </w:rPr>
            </w:pPr>
            <w:r>
              <w:rPr>
                <w:snapToGrid w:val="0"/>
                <w:kern w:val="0"/>
                <w:szCs w:val="21"/>
              </w:rPr>
              <w:t>/</w:t>
            </w:r>
          </w:p>
        </w:tc>
        <w:tc>
          <w:tcPr>
            <w:tcW w:w="361" w:type="pct"/>
            <w:vAlign w:val="center"/>
          </w:tcPr>
          <w:p w14:paraId="13432BE3">
            <w:pPr>
              <w:autoSpaceDE w:val="0"/>
              <w:autoSpaceDN w:val="0"/>
              <w:spacing w:line="360" w:lineRule="exact"/>
              <w:jc w:val="center"/>
              <w:rPr>
                <w:snapToGrid w:val="0"/>
                <w:kern w:val="0"/>
                <w:szCs w:val="21"/>
              </w:rPr>
            </w:pPr>
            <w:r>
              <w:rPr>
                <w:rFonts w:hint="eastAsia"/>
                <w:snapToGrid w:val="0"/>
                <w:kern w:val="0"/>
                <w:szCs w:val="21"/>
              </w:rPr>
              <w:t>0</w:t>
            </w:r>
            <w:r>
              <w:rPr>
                <w:snapToGrid w:val="0"/>
                <w:kern w:val="0"/>
                <w:szCs w:val="21"/>
              </w:rPr>
              <w:t>.76</w:t>
            </w:r>
          </w:p>
        </w:tc>
        <w:tc>
          <w:tcPr>
            <w:tcW w:w="318" w:type="pct"/>
            <w:vAlign w:val="center"/>
          </w:tcPr>
          <w:p w14:paraId="6599C674">
            <w:pPr>
              <w:autoSpaceDE w:val="0"/>
              <w:autoSpaceDN w:val="0"/>
              <w:spacing w:line="360" w:lineRule="exact"/>
              <w:jc w:val="center"/>
              <w:rPr>
                <w:snapToGrid w:val="0"/>
                <w:kern w:val="0"/>
                <w:szCs w:val="21"/>
              </w:rPr>
            </w:pPr>
            <w:r>
              <w:rPr>
                <w:rFonts w:hint="eastAsia"/>
                <w:snapToGrid w:val="0"/>
                <w:kern w:val="0"/>
                <w:szCs w:val="21"/>
              </w:rPr>
              <w:t>1.</w:t>
            </w:r>
            <w:r>
              <w:rPr>
                <w:snapToGrid w:val="0"/>
                <w:kern w:val="0"/>
                <w:szCs w:val="21"/>
              </w:rPr>
              <w:t>832</w:t>
            </w:r>
          </w:p>
        </w:tc>
        <w:tc>
          <w:tcPr>
            <w:tcW w:w="361" w:type="pct"/>
            <w:vAlign w:val="center"/>
          </w:tcPr>
          <w:p w14:paraId="13BBF1A3">
            <w:pPr>
              <w:autoSpaceDE w:val="0"/>
              <w:autoSpaceDN w:val="0"/>
              <w:spacing w:line="360" w:lineRule="exact"/>
              <w:jc w:val="center"/>
              <w:rPr>
                <w:snapToGrid w:val="0"/>
                <w:szCs w:val="21"/>
              </w:rPr>
            </w:pPr>
            <w:r>
              <w:rPr>
                <w:snapToGrid w:val="0"/>
                <w:szCs w:val="21"/>
              </w:rPr>
              <w:t>/</w:t>
            </w:r>
          </w:p>
        </w:tc>
        <w:tc>
          <w:tcPr>
            <w:tcW w:w="425" w:type="pct"/>
            <w:vAlign w:val="center"/>
          </w:tcPr>
          <w:p w14:paraId="1B89787C">
            <w:pPr>
              <w:autoSpaceDE w:val="0"/>
              <w:autoSpaceDN w:val="0"/>
              <w:spacing w:line="360" w:lineRule="exact"/>
              <w:jc w:val="center"/>
              <w:rPr>
                <w:snapToGrid w:val="0"/>
                <w:szCs w:val="21"/>
              </w:rPr>
            </w:pPr>
            <w:r>
              <w:rPr>
                <w:szCs w:val="21"/>
              </w:rPr>
              <w:t>1.0</w:t>
            </w:r>
          </w:p>
        </w:tc>
      </w:tr>
      <w:bookmarkEnd w:id="179"/>
      <w:tr w14:paraId="41B8A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 w:type="pct"/>
            <w:vMerge w:val="continue"/>
            <w:vAlign w:val="center"/>
          </w:tcPr>
          <w:p w14:paraId="3A426DA7">
            <w:pPr>
              <w:autoSpaceDE w:val="0"/>
              <w:autoSpaceDN w:val="0"/>
              <w:spacing w:line="360" w:lineRule="exact"/>
              <w:jc w:val="center"/>
              <w:rPr>
                <w:snapToGrid w:val="0"/>
                <w:szCs w:val="21"/>
              </w:rPr>
            </w:pPr>
          </w:p>
        </w:tc>
        <w:tc>
          <w:tcPr>
            <w:tcW w:w="265" w:type="pct"/>
            <w:vAlign w:val="center"/>
          </w:tcPr>
          <w:p w14:paraId="62ED0DCE">
            <w:pPr>
              <w:autoSpaceDE w:val="0"/>
              <w:autoSpaceDN w:val="0"/>
              <w:spacing w:line="360" w:lineRule="exact"/>
              <w:jc w:val="center"/>
              <w:rPr>
                <w:szCs w:val="21"/>
              </w:rPr>
            </w:pPr>
            <w:r>
              <w:rPr>
                <w:snapToGrid w:val="0"/>
                <w:szCs w:val="21"/>
              </w:rPr>
              <w:t>VOCs</w:t>
            </w:r>
          </w:p>
        </w:tc>
        <w:tc>
          <w:tcPr>
            <w:tcW w:w="425" w:type="pct"/>
            <w:vAlign w:val="center"/>
          </w:tcPr>
          <w:p w14:paraId="289337F1">
            <w:pPr>
              <w:autoSpaceDE w:val="0"/>
              <w:autoSpaceDN w:val="0"/>
              <w:spacing w:line="360" w:lineRule="exact"/>
              <w:jc w:val="center"/>
              <w:rPr>
                <w:snapToGrid w:val="0"/>
                <w:kern w:val="0"/>
                <w:szCs w:val="21"/>
              </w:rPr>
            </w:pPr>
            <w:r>
              <w:rPr>
                <w:rFonts w:hint="eastAsia"/>
                <w:snapToGrid w:val="0"/>
                <w:kern w:val="0"/>
                <w:szCs w:val="21"/>
              </w:rPr>
              <w:t>/</w:t>
            </w:r>
          </w:p>
        </w:tc>
        <w:tc>
          <w:tcPr>
            <w:tcW w:w="361" w:type="pct"/>
            <w:vAlign w:val="center"/>
          </w:tcPr>
          <w:p w14:paraId="34C6E1B5">
            <w:pPr>
              <w:autoSpaceDE w:val="0"/>
              <w:autoSpaceDN w:val="0"/>
              <w:spacing w:line="360" w:lineRule="exact"/>
              <w:jc w:val="center"/>
              <w:rPr>
                <w:snapToGrid w:val="0"/>
                <w:kern w:val="0"/>
                <w:szCs w:val="21"/>
              </w:rPr>
            </w:pPr>
            <w:r>
              <w:rPr>
                <w:rFonts w:hint="eastAsia"/>
                <w:snapToGrid w:val="0"/>
                <w:kern w:val="0"/>
                <w:szCs w:val="21"/>
              </w:rPr>
              <w:t>0</w:t>
            </w:r>
            <w:r>
              <w:rPr>
                <w:snapToGrid w:val="0"/>
                <w:kern w:val="0"/>
                <w:szCs w:val="21"/>
              </w:rPr>
              <w:t>.002</w:t>
            </w:r>
          </w:p>
        </w:tc>
        <w:tc>
          <w:tcPr>
            <w:tcW w:w="316" w:type="pct"/>
            <w:vAlign w:val="center"/>
          </w:tcPr>
          <w:p w14:paraId="0432A94D">
            <w:pPr>
              <w:autoSpaceDE w:val="0"/>
              <w:autoSpaceDN w:val="0"/>
              <w:spacing w:line="360" w:lineRule="exact"/>
              <w:jc w:val="center"/>
              <w:rPr>
                <w:snapToGrid w:val="0"/>
                <w:kern w:val="0"/>
                <w:szCs w:val="21"/>
              </w:rPr>
            </w:pPr>
            <w:r>
              <w:rPr>
                <w:rFonts w:hint="eastAsia"/>
                <w:snapToGrid w:val="0"/>
                <w:kern w:val="0"/>
                <w:szCs w:val="21"/>
              </w:rPr>
              <w:t>0</w:t>
            </w:r>
            <w:r>
              <w:rPr>
                <w:snapToGrid w:val="0"/>
                <w:kern w:val="0"/>
                <w:szCs w:val="21"/>
              </w:rPr>
              <w:t>.003</w:t>
            </w:r>
          </w:p>
        </w:tc>
        <w:tc>
          <w:tcPr>
            <w:tcW w:w="215" w:type="pct"/>
            <w:vAlign w:val="center"/>
          </w:tcPr>
          <w:p w14:paraId="28B78A4F">
            <w:pPr>
              <w:autoSpaceDE w:val="0"/>
              <w:autoSpaceDN w:val="0"/>
              <w:spacing w:line="360" w:lineRule="exact"/>
              <w:jc w:val="center"/>
              <w:rPr>
                <w:snapToGrid w:val="0"/>
                <w:kern w:val="0"/>
                <w:szCs w:val="21"/>
              </w:rPr>
            </w:pPr>
            <w:r>
              <w:rPr>
                <w:rFonts w:hint="eastAsia"/>
                <w:snapToGrid w:val="0"/>
                <w:kern w:val="0"/>
                <w:szCs w:val="21"/>
              </w:rPr>
              <w:t>/</w:t>
            </w:r>
          </w:p>
        </w:tc>
        <w:tc>
          <w:tcPr>
            <w:tcW w:w="152" w:type="pct"/>
            <w:vMerge w:val="continue"/>
            <w:vAlign w:val="center"/>
          </w:tcPr>
          <w:p w14:paraId="7BFFB4FB">
            <w:pPr>
              <w:autoSpaceDE w:val="0"/>
              <w:autoSpaceDN w:val="0"/>
              <w:spacing w:line="360" w:lineRule="exact"/>
              <w:jc w:val="center"/>
              <w:rPr>
                <w:snapToGrid w:val="0"/>
                <w:kern w:val="0"/>
                <w:szCs w:val="21"/>
              </w:rPr>
            </w:pPr>
          </w:p>
        </w:tc>
        <w:tc>
          <w:tcPr>
            <w:tcW w:w="227" w:type="pct"/>
            <w:vAlign w:val="center"/>
          </w:tcPr>
          <w:p w14:paraId="1015C3A1">
            <w:pPr>
              <w:autoSpaceDE w:val="0"/>
              <w:autoSpaceDN w:val="0"/>
              <w:spacing w:line="360" w:lineRule="exact"/>
              <w:jc w:val="center"/>
              <w:rPr>
                <w:snapToGrid w:val="0"/>
                <w:kern w:val="0"/>
                <w:szCs w:val="21"/>
              </w:rPr>
            </w:pPr>
            <w:r>
              <w:rPr>
                <w:snapToGrid w:val="0"/>
                <w:kern w:val="0"/>
                <w:szCs w:val="21"/>
              </w:rPr>
              <w:t>/</w:t>
            </w:r>
          </w:p>
        </w:tc>
        <w:tc>
          <w:tcPr>
            <w:tcW w:w="215" w:type="pct"/>
            <w:vAlign w:val="center"/>
          </w:tcPr>
          <w:p w14:paraId="62DC4668">
            <w:pPr>
              <w:autoSpaceDE w:val="0"/>
              <w:autoSpaceDN w:val="0"/>
              <w:spacing w:line="360" w:lineRule="exact"/>
              <w:jc w:val="center"/>
              <w:rPr>
                <w:snapToGrid w:val="0"/>
                <w:kern w:val="0"/>
                <w:szCs w:val="21"/>
              </w:rPr>
            </w:pPr>
            <w:r>
              <w:rPr>
                <w:snapToGrid w:val="0"/>
                <w:kern w:val="0"/>
                <w:szCs w:val="21"/>
              </w:rPr>
              <w:t>/</w:t>
            </w:r>
          </w:p>
        </w:tc>
        <w:tc>
          <w:tcPr>
            <w:tcW w:w="369" w:type="pct"/>
            <w:vAlign w:val="center"/>
          </w:tcPr>
          <w:p w14:paraId="45D14CDB">
            <w:pPr>
              <w:autoSpaceDE w:val="0"/>
              <w:autoSpaceDN w:val="0"/>
              <w:spacing w:line="360" w:lineRule="exact"/>
              <w:jc w:val="center"/>
              <w:rPr>
                <w:snapToGrid w:val="0"/>
                <w:kern w:val="0"/>
                <w:szCs w:val="21"/>
              </w:rPr>
            </w:pPr>
            <w:r>
              <w:rPr>
                <w:snapToGrid w:val="0"/>
                <w:kern w:val="0"/>
                <w:szCs w:val="21"/>
              </w:rPr>
              <w:t>/</w:t>
            </w:r>
          </w:p>
        </w:tc>
        <w:tc>
          <w:tcPr>
            <w:tcW w:w="265" w:type="pct"/>
            <w:vAlign w:val="center"/>
          </w:tcPr>
          <w:p w14:paraId="2D5AD8CE">
            <w:pPr>
              <w:autoSpaceDE w:val="0"/>
              <w:autoSpaceDN w:val="0"/>
              <w:spacing w:line="360" w:lineRule="exact"/>
              <w:jc w:val="center"/>
              <w:rPr>
                <w:snapToGrid w:val="0"/>
                <w:szCs w:val="21"/>
              </w:rPr>
            </w:pPr>
            <w:r>
              <w:rPr>
                <w:snapToGrid w:val="0"/>
                <w:szCs w:val="21"/>
              </w:rPr>
              <w:t>18</w:t>
            </w:r>
            <w:r>
              <w:rPr>
                <w:rFonts w:hint="eastAsia"/>
                <w:snapToGrid w:val="0"/>
                <w:szCs w:val="21"/>
              </w:rPr>
              <w:t>00</w:t>
            </w:r>
            <w:r>
              <w:rPr>
                <w:snapToGrid w:val="0"/>
                <w:szCs w:val="21"/>
              </w:rPr>
              <w:t>h</w:t>
            </w:r>
          </w:p>
        </w:tc>
        <w:tc>
          <w:tcPr>
            <w:tcW w:w="425" w:type="pct"/>
            <w:vAlign w:val="center"/>
          </w:tcPr>
          <w:p w14:paraId="502E651B">
            <w:pPr>
              <w:autoSpaceDE w:val="0"/>
              <w:autoSpaceDN w:val="0"/>
              <w:spacing w:line="360" w:lineRule="exact"/>
              <w:jc w:val="center"/>
              <w:rPr>
                <w:snapToGrid w:val="0"/>
                <w:kern w:val="0"/>
                <w:szCs w:val="21"/>
              </w:rPr>
            </w:pPr>
            <w:r>
              <w:rPr>
                <w:rFonts w:hint="eastAsia"/>
                <w:snapToGrid w:val="0"/>
                <w:kern w:val="0"/>
                <w:szCs w:val="21"/>
              </w:rPr>
              <w:t>/</w:t>
            </w:r>
          </w:p>
        </w:tc>
        <w:tc>
          <w:tcPr>
            <w:tcW w:w="361" w:type="pct"/>
            <w:vAlign w:val="center"/>
          </w:tcPr>
          <w:p w14:paraId="6DD831A9">
            <w:pPr>
              <w:autoSpaceDE w:val="0"/>
              <w:autoSpaceDN w:val="0"/>
              <w:spacing w:line="360" w:lineRule="exact"/>
              <w:jc w:val="center"/>
              <w:rPr>
                <w:snapToGrid w:val="0"/>
                <w:kern w:val="0"/>
                <w:szCs w:val="21"/>
              </w:rPr>
            </w:pPr>
            <w:r>
              <w:rPr>
                <w:rFonts w:hint="eastAsia"/>
                <w:snapToGrid w:val="0"/>
                <w:kern w:val="0"/>
                <w:szCs w:val="21"/>
              </w:rPr>
              <w:t>0</w:t>
            </w:r>
            <w:r>
              <w:rPr>
                <w:snapToGrid w:val="0"/>
                <w:kern w:val="0"/>
                <w:szCs w:val="21"/>
              </w:rPr>
              <w:t>.002</w:t>
            </w:r>
          </w:p>
        </w:tc>
        <w:tc>
          <w:tcPr>
            <w:tcW w:w="318" w:type="pct"/>
            <w:vAlign w:val="center"/>
          </w:tcPr>
          <w:p w14:paraId="7F28DC9F">
            <w:pPr>
              <w:autoSpaceDE w:val="0"/>
              <w:autoSpaceDN w:val="0"/>
              <w:spacing w:line="360" w:lineRule="exact"/>
              <w:jc w:val="center"/>
              <w:rPr>
                <w:snapToGrid w:val="0"/>
                <w:kern w:val="0"/>
                <w:szCs w:val="21"/>
              </w:rPr>
            </w:pPr>
            <w:r>
              <w:rPr>
                <w:rFonts w:hint="eastAsia"/>
                <w:snapToGrid w:val="0"/>
                <w:kern w:val="0"/>
                <w:szCs w:val="21"/>
              </w:rPr>
              <w:t>0</w:t>
            </w:r>
            <w:r>
              <w:rPr>
                <w:snapToGrid w:val="0"/>
                <w:kern w:val="0"/>
                <w:szCs w:val="21"/>
              </w:rPr>
              <w:t>.003</w:t>
            </w:r>
          </w:p>
        </w:tc>
        <w:tc>
          <w:tcPr>
            <w:tcW w:w="361" w:type="pct"/>
            <w:vAlign w:val="center"/>
          </w:tcPr>
          <w:p w14:paraId="211E2113">
            <w:pPr>
              <w:autoSpaceDE w:val="0"/>
              <w:autoSpaceDN w:val="0"/>
              <w:spacing w:line="360" w:lineRule="exact"/>
              <w:jc w:val="center"/>
              <w:rPr>
                <w:snapToGrid w:val="0"/>
                <w:szCs w:val="21"/>
              </w:rPr>
            </w:pPr>
            <w:r>
              <w:rPr>
                <w:rFonts w:hint="eastAsia"/>
                <w:snapToGrid w:val="0"/>
                <w:szCs w:val="21"/>
              </w:rPr>
              <w:t>/</w:t>
            </w:r>
          </w:p>
        </w:tc>
        <w:tc>
          <w:tcPr>
            <w:tcW w:w="425" w:type="pct"/>
            <w:vAlign w:val="center"/>
          </w:tcPr>
          <w:p w14:paraId="389B0F7C">
            <w:pPr>
              <w:autoSpaceDE w:val="0"/>
              <w:autoSpaceDN w:val="0"/>
              <w:spacing w:line="360" w:lineRule="exact"/>
              <w:jc w:val="center"/>
              <w:rPr>
                <w:szCs w:val="21"/>
              </w:rPr>
            </w:pPr>
            <w:r>
              <w:rPr>
                <w:rFonts w:hint="eastAsia"/>
                <w:szCs w:val="21"/>
              </w:rPr>
              <w:t>2</w:t>
            </w:r>
            <w:r>
              <w:rPr>
                <w:szCs w:val="21"/>
              </w:rPr>
              <w:t>.0</w:t>
            </w:r>
          </w:p>
        </w:tc>
      </w:tr>
    </w:tbl>
    <w:p w14:paraId="7214E4B2">
      <w:pPr>
        <w:spacing w:before="120" w:beforeLines="50" w:after="120" w:afterLines="50"/>
        <w:jc w:val="center"/>
        <w:rPr>
          <w:b/>
          <w:bCs/>
          <w:kern w:val="0"/>
          <w:sz w:val="24"/>
        </w:rPr>
      </w:pPr>
      <w:bookmarkStart w:id="180" w:name="_Ref107929864"/>
    </w:p>
    <w:p w14:paraId="6CEBCA1E">
      <w:pPr>
        <w:spacing w:before="120" w:beforeLines="50" w:after="120" w:afterLines="50"/>
        <w:jc w:val="center"/>
        <w:rPr>
          <w:b/>
          <w:bCs/>
          <w:kern w:val="0"/>
          <w:sz w:val="24"/>
        </w:rPr>
      </w:pPr>
    </w:p>
    <w:p w14:paraId="7A182240">
      <w:pPr>
        <w:spacing w:before="120" w:beforeLines="50" w:after="120" w:afterLines="50"/>
        <w:jc w:val="center"/>
        <w:rPr>
          <w:b/>
          <w:bCs/>
          <w:kern w:val="0"/>
          <w:sz w:val="24"/>
        </w:rPr>
      </w:pPr>
    </w:p>
    <w:p w14:paraId="2DE40638">
      <w:pPr>
        <w:spacing w:before="120" w:beforeLines="50" w:after="120" w:afterLines="50"/>
        <w:jc w:val="center"/>
        <w:rPr>
          <w:b/>
          <w:bCs/>
          <w:kern w:val="0"/>
          <w:sz w:val="24"/>
        </w:rPr>
      </w:pPr>
      <w:r>
        <w:rPr>
          <w:b/>
          <w:bCs/>
          <w:kern w:val="0"/>
          <w:sz w:val="24"/>
        </w:rPr>
        <w:t>表</w:t>
      </w:r>
      <w:bookmarkEnd w:id="180"/>
      <w:r>
        <w:rPr>
          <w:b/>
          <w:bCs/>
          <w:kern w:val="0"/>
          <w:sz w:val="24"/>
        </w:rPr>
        <w:t>27本项目废气排放口基本情况表</w:t>
      </w:r>
    </w:p>
    <w:tbl>
      <w:tblPr>
        <w:tblStyle w:val="25"/>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1357"/>
        <w:gridCol w:w="1727"/>
        <w:gridCol w:w="1018"/>
        <w:gridCol w:w="1448"/>
        <w:gridCol w:w="1302"/>
        <w:gridCol w:w="1590"/>
        <w:gridCol w:w="1593"/>
        <w:gridCol w:w="1553"/>
        <w:gridCol w:w="1018"/>
      </w:tblGrid>
      <w:tr w14:paraId="2A83E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3" w:type="pct"/>
            <w:vMerge w:val="restart"/>
            <w:vAlign w:val="center"/>
          </w:tcPr>
          <w:p w14:paraId="18D1CB69">
            <w:pPr>
              <w:autoSpaceDE w:val="0"/>
              <w:autoSpaceDN w:val="0"/>
              <w:spacing w:line="360" w:lineRule="exact"/>
              <w:jc w:val="center"/>
              <w:rPr>
                <w:snapToGrid w:val="0"/>
                <w:kern w:val="0"/>
                <w:szCs w:val="21"/>
              </w:rPr>
            </w:pPr>
            <w:r>
              <w:rPr>
                <w:snapToGrid w:val="0"/>
                <w:kern w:val="0"/>
                <w:szCs w:val="21"/>
              </w:rPr>
              <w:t>排放口</w:t>
            </w:r>
          </w:p>
          <w:p w14:paraId="57575F3D">
            <w:pPr>
              <w:autoSpaceDE w:val="0"/>
              <w:autoSpaceDN w:val="0"/>
              <w:spacing w:line="360" w:lineRule="exact"/>
              <w:jc w:val="center"/>
              <w:rPr>
                <w:snapToGrid w:val="0"/>
                <w:kern w:val="0"/>
                <w:szCs w:val="21"/>
              </w:rPr>
            </w:pPr>
            <w:r>
              <w:rPr>
                <w:snapToGrid w:val="0"/>
                <w:kern w:val="0"/>
                <w:szCs w:val="21"/>
              </w:rPr>
              <w:t>编号</w:t>
            </w:r>
          </w:p>
        </w:tc>
        <w:tc>
          <w:tcPr>
            <w:tcW w:w="495" w:type="pct"/>
            <w:vMerge w:val="restart"/>
            <w:vAlign w:val="center"/>
          </w:tcPr>
          <w:p w14:paraId="361779E2">
            <w:pPr>
              <w:autoSpaceDE w:val="0"/>
              <w:autoSpaceDN w:val="0"/>
              <w:spacing w:line="360" w:lineRule="exact"/>
              <w:jc w:val="center"/>
              <w:rPr>
                <w:snapToGrid w:val="0"/>
                <w:kern w:val="0"/>
                <w:szCs w:val="21"/>
              </w:rPr>
            </w:pPr>
            <w:r>
              <w:rPr>
                <w:snapToGrid w:val="0"/>
                <w:kern w:val="0"/>
                <w:szCs w:val="21"/>
              </w:rPr>
              <w:t>排放口类型</w:t>
            </w:r>
          </w:p>
        </w:tc>
        <w:tc>
          <w:tcPr>
            <w:tcW w:w="630" w:type="pct"/>
            <w:vMerge w:val="restart"/>
            <w:vAlign w:val="center"/>
          </w:tcPr>
          <w:p w14:paraId="14C4B89A">
            <w:pPr>
              <w:autoSpaceDE w:val="0"/>
              <w:autoSpaceDN w:val="0"/>
              <w:spacing w:line="360" w:lineRule="exact"/>
              <w:jc w:val="center"/>
              <w:rPr>
                <w:snapToGrid w:val="0"/>
                <w:kern w:val="0"/>
                <w:szCs w:val="21"/>
              </w:rPr>
            </w:pPr>
            <w:r>
              <w:rPr>
                <w:snapToGrid w:val="0"/>
                <w:kern w:val="0"/>
                <w:szCs w:val="21"/>
              </w:rPr>
              <w:t>排放口名称</w:t>
            </w:r>
          </w:p>
        </w:tc>
        <w:tc>
          <w:tcPr>
            <w:tcW w:w="371" w:type="pct"/>
            <w:vMerge w:val="restart"/>
            <w:vAlign w:val="center"/>
          </w:tcPr>
          <w:p w14:paraId="4AB2A709">
            <w:pPr>
              <w:autoSpaceDE w:val="0"/>
              <w:autoSpaceDN w:val="0"/>
              <w:spacing w:line="360" w:lineRule="exact"/>
              <w:jc w:val="center"/>
              <w:rPr>
                <w:snapToGrid w:val="0"/>
                <w:kern w:val="0"/>
                <w:szCs w:val="21"/>
              </w:rPr>
            </w:pPr>
            <w:r>
              <w:rPr>
                <w:snapToGrid w:val="0"/>
                <w:kern w:val="0"/>
                <w:szCs w:val="21"/>
              </w:rPr>
              <w:t>污染物</w:t>
            </w:r>
          </w:p>
        </w:tc>
        <w:tc>
          <w:tcPr>
            <w:tcW w:w="1003" w:type="pct"/>
            <w:gridSpan w:val="2"/>
            <w:vAlign w:val="center"/>
          </w:tcPr>
          <w:p w14:paraId="6C9FBAD7">
            <w:pPr>
              <w:autoSpaceDE w:val="0"/>
              <w:autoSpaceDN w:val="0"/>
              <w:spacing w:line="360" w:lineRule="exact"/>
              <w:jc w:val="center"/>
              <w:rPr>
                <w:snapToGrid w:val="0"/>
                <w:kern w:val="0"/>
                <w:szCs w:val="21"/>
              </w:rPr>
            </w:pPr>
            <w:r>
              <w:rPr>
                <w:snapToGrid w:val="0"/>
                <w:kern w:val="0"/>
                <w:szCs w:val="21"/>
              </w:rPr>
              <w:t>排放口地理坐标</w:t>
            </w:r>
          </w:p>
        </w:tc>
        <w:tc>
          <w:tcPr>
            <w:tcW w:w="580" w:type="pct"/>
            <w:vMerge w:val="restart"/>
            <w:vAlign w:val="center"/>
          </w:tcPr>
          <w:p w14:paraId="54C5C8BA">
            <w:pPr>
              <w:autoSpaceDE w:val="0"/>
              <w:autoSpaceDN w:val="0"/>
              <w:spacing w:line="360" w:lineRule="exact"/>
              <w:jc w:val="center"/>
              <w:rPr>
                <w:snapToGrid w:val="0"/>
                <w:kern w:val="0"/>
                <w:szCs w:val="21"/>
              </w:rPr>
            </w:pPr>
            <w:r>
              <w:rPr>
                <w:snapToGrid w:val="0"/>
                <w:kern w:val="0"/>
                <w:szCs w:val="21"/>
              </w:rPr>
              <w:t>排气筒高度（m）</w:t>
            </w:r>
          </w:p>
        </w:tc>
        <w:tc>
          <w:tcPr>
            <w:tcW w:w="581" w:type="pct"/>
            <w:vMerge w:val="restart"/>
            <w:vAlign w:val="center"/>
          </w:tcPr>
          <w:p w14:paraId="2923883D">
            <w:pPr>
              <w:autoSpaceDE w:val="0"/>
              <w:autoSpaceDN w:val="0"/>
              <w:spacing w:line="360" w:lineRule="exact"/>
              <w:jc w:val="center"/>
              <w:rPr>
                <w:snapToGrid w:val="0"/>
                <w:kern w:val="0"/>
                <w:szCs w:val="21"/>
              </w:rPr>
            </w:pPr>
            <w:r>
              <w:rPr>
                <w:snapToGrid w:val="0"/>
                <w:kern w:val="0"/>
                <w:szCs w:val="21"/>
              </w:rPr>
              <w:t>排气筒内径（m）</w:t>
            </w:r>
          </w:p>
        </w:tc>
        <w:tc>
          <w:tcPr>
            <w:tcW w:w="566" w:type="pct"/>
            <w:vMerge w:val="restart"/>
            <w:vAlign w:val="center"/>
          </w:tcPr>
          <w:p w14:paraId="6D412F02">
            <w:pPr>
              <w:autoSpaceDE w:val="0"/>
              <w:autoSpaceDN w:val="0"/>
              <w:spacing w:line="360" w:lineRule="exact"/>
              <w:jc w:val="center"/>
              <w:rPr>
                <w:snapToGrid w:val="0"/>
                <w:kern w:val="0"/>
                <w:szCs w:val="21"/>
              </w:rPr>
            </w:pPr>
            <w:r>
              <w:rPr>
                <w:snapToGrid w:val="0"/>
                <w:kern w:val="0"/>
                <w:szCs w:val="21"/>
              </w:rPr>
              <w:t>排气温度（℃）</w:t>
            </w:r>
          </w:p>
        </w:tc>
        <w:tc>
          <w:tcPr>
            <w:tcW w:w="371" w:type="pct"/>
            <w:vMerge w:val="restart"/>
            <w:vAlign w:val="center"/>
          </w:tcPr>
          <w:p w14:paraId="32CB86B5">
            <w:pPr>
              <w:autoSpaceDE w:val="0"/>
              <w:autoSpaceDN w:val="0"/>
              <w:spacing w:line="360" w:lineRule="exact"/>
              <w:jc w:val="center"/>
              <w:rPr>
                <w:snapToGrid w:val="0"/>
                <w:kern w:val="0"/>
                <w:szCs w:val="21"/>
              </w:rPr>
            </w:pPr>
            <w:r>
              <w:rPr>
                <w:snapToGrid w:val="0"/>
                <w:kern w:val="0"/>
                <w:szCs w:val="21"/>
              </w:rPr>
              <w:t>其他</w:t>
            </w:r>
          </w:p>
          <w:p w14:paraId="35A80821">
            <w:pPr>
              <w:autoSpaceDE w:val="0"/>
              <w:autoSpaceDN w:val="0"/>
              <w:spacing w:line="360" w:lineRule="exact"/>
              <w:jc w:val="center"/>
              <w:rPr>
                <w:snapToGrid w:val="0"/>
                <w:kern w:val="0"/>
                <w:szCs w:val="21"/>
              </w:rPr>
            </w:pPr>
            <w:r>
              <w:rPr>
                <w:snapToGrid w:val="0"/>
                <w:kern w:val="0"/>
                <w:szCs w:val="21"/>
              </w:rPr>
              <w:t>信息</w:t>
            </w:r>
          </w:p>
        </w:tc>
      </w:tr>
      <w:tr w14:paraId="0C443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3" w:type="pct"/>
            <w:vMerge w:val="continue"/>
            <w:vAlign w:val="center"/>
          </w:tcPr>
          <w:p w14:paraId="49F405BB">
            <w:pPr>
              <w:autoSpaceDE w:val="0"/>
              <w:autoSpaceDN w:val="0"/>
              <w:spacing w:line="360" w:lineRule="exact"/>
              <w:jc w:val="center"/>
              <w:rPr>
                <w:snapToGrid w:val="0"/>
                <w:kern w:val="0"/>
                <w:szCs w:val="21"/>
              </w:rPr>
            </w:pPr>
          </w:p>
        </w:tc>
        <w:tc>
          <w:tcPr>
            <w:tcW w:w="495" w:type="pct"/>
            <w:vMerge w:val="continue"/>
            <w:vAlign w:val="center"/>
          </w:tcPr>
          <w:p w14:paraId="10588CB4">
            <w:pPr>
              <w:autoSpaceDE w:val="0"/>
              <w:autoSpaceDN w:val="0"/>
              <w:spacing w:line="360" w:lineRule="exact"/>
              <w:jc w:val="center"/>
              <w:rPr>
                <w:snapToGrid w:val="0"/>
                <w:kern w:val="0"/>
                <w:szCs w:val="21"/>
              </w:rPr>
            </w:pPr>
          </w:p>
        </w:tc>
        <w:tc>
          <w:tcPr>
            <w:tcW w:w="630" w:type="pct"/>
            <w:vMerge w:val="continue"/>
            <w:vAlign w:val="center"/>
          </w:tcPr>
          <w:p w14:paraId="589B51EE">
            <w:pPr>
              <w:autoSpaceDE w:val="0"/>
              <w:autoSpaceDN w:val="0"/>
              <w:spacing w:line="360" w:lineRule="exact"/>
              <w:jc w:val="center"/>
              <w:rPr>
                <w:snapToGrid w:val="0"/>
                <w:kern w:val="0"/>
                <w:szCs w:val="21"/>
              </w:rPr>
            </w:pPr>
          </w:p>
        </w:tc>
        <w:tc>
          <w:tcPr>
            <w:tcW w:w="371" w:type="pct"/>
            <w:vMerge w:val="continue"/>
            <w:vAlign w:val="center"/>
          </w:tcPr>
          <w:p w14:paraId="3EF91D5B">
            <w:pPr>
              <w:autoSpaceDE w:val="0"/>
              <w:autoSpaceDN w:val="0"/>
              <w:spacing w:line="360" w:lineRule="exact"/>
              <w:jc w:val="center"/>
              <w:rPr>
                <w:snapToGrid w:val="0"/>
                <w:kern w:val="0"/>
                <w:szCs w:val="21"/>
              </w:rPr>
            </w:pPr>
          </w:p>
        </w:tc>
        <w:tc>
          <w:tcPr>
            <w:tcW w:w="528" w:type="pct"/>
            <w:vAlign w:val="center"/>
          </w:tcPr>
          <w:p w14:paraId="0B17E002">
            <w:pPr>
              <w:autoSpaceDE w:val="0"/>
              <w:autoSpaceDN w:val="0"/>
              <w:spacing w:line="360" w:lineRule="exact"/>
              <w:jc w:val="center"/>
              <w:rPr>
                <w:snapToGrid w:val="0"/>
                <w:kern w:val="0"/>
                <w:szCs w:val="21"/>
              </w:rPr>
            </w:pPr>
            <w:r>
              <w:rPr>
                <w:snapToGrid w:val="0"/>
                <w:kern w:val="0"/>
                <w:szCs w:val="21"/>
              </w:rPr>
              <w:t>经度</w:t>
            </w:r>
          </w:p>
        </w:tc>
        <w:tc>
          <w:tcPr>
            <w:tcW w:w="475" w:type="pct"/>
            <w:vAlign w:val="center"/>
          </w:tcPr>
          <w:p w14:paraId="479B0BFB">
            <w:pPr>
              <w:autoSpaceDE w:val="0"/>
              <w:autoSpaceDN w:val="0"/>
              <w:spacing w:line="360" w:lineRule="exact"/>
              <w:jc w:val="center"/>
              <w:rPr>
                <w:snapToGrid w:val="0"/>
                <w:kern w:val="0"/>
                <w:szCs w:val="21"/>
              </w:rPr>
            </w:pPr>
            <w:r>
              <w:rPr>
                <w:snapToGrid w:val="0"/>
                <w:kern w:val="0"/>
                <w:szCs w:val="21"/>
              </w:rPr>
              <w:t>纬度</w:t>
            </w:r>
          </w:p>
        </w:tc>
        <w:tc>
          <w:tcPr>
            <w:tcW w:w="580" w:type="pct"/>
            <w:vMerge w:val="continue"/>
            <w:vAlign w:val="center"/>
          </w:tcPr>
          <w:p w14:paraId="347516FC">
            <w:pPr>
              <w:autoSpaceDE w:val="0"/>
              <w:autoSpaceDN w:val="0"/>
              <w:spacing w:line="360" w:lineRule="exact"/>
              <w:jc w:val="center"/>
              <w:rPr>
                <w:snapToGrid w:val="0"/>
                <w:kern w:val="0"/>
                <w:szCs w:val="21"/>
              </w:rPr>
            </w:pPr>
          </w:p>
        </w:tc>
        <w:tc>
          <w:tcPr>
            <w:tcW w:w="581" w:type="pct"/>
            <w:vMerge w:val="continue"/>
            <w:vAlign w:val="center"/>
          </w:tcPr>
          <w:p w14:paraId="5DEC1217">
            <w:pPr>
              <w:autoSpaceDE w:val="0"/>
              <w:autoSpaceDN w:val="0"/>
              <w:spacing w:line="360" w:lineRule="exact"/>
              <w:jc w:val="center"/>
              <w:rPr>
                <w:snapToGrid w:val="0"/>
                <w:kern w:val="0"/>
                <w:szCs w:val="21"/>
              </w:rPr>
            </w:pPr>
          </w:p>
        </w:tc>
        <w:tc>
          <w:tcPr>
            <w:tcW w:w="566" w:type="pct"/>
            <w:vMerge w:val="continue"/>
            <w:vAlign w:val="center"/>
          </w:tcPr>
          <w:p w14:paraId="03502559">
            <w:pPr>
              <w:autoSpaceDE w:val="0"/>
              <w:autoSpaceDN w:val="0"/>
              <w:spacing w:line="360" w:lineRule="exact"/>
              <w:jc w:val="center"/>
              <w:rPr>
                <w:snapToGrid w:val="0"/>
                <w:kern w:val="0"/>
                <w:szCs w:val="21"/>
              </w:rPr>
            </w:pPr>
          </w:p>
        </w:tc>
        <w:tc>
          <w:tcPr>
            <w:tcW w:w="371" w:type="pct"/>
            <w:vMerge w:val="continue"/>
            <w:vAlign w:val="center"/>
          </w:tcPr>
          <w:p w14:paraId="63090D4E">
            <w:pPr>
              <w:autoSpaceDE w:val="0"/>
              <w:autoSpaceDN w:val="0"/>
              <w:spacing w:line="360" w:lineRule="exact"/>
              <w:jc w:val="center"/>
              <w:rPr>
                <w:snapToGrid w:val="0"/>
                <w:kern w:val="0"/>
                <w:szCs w:val="21"/>
              </w:rPr>
            </w:pPr>
          </w:p>
        </w:tc>
      </w:tr>
      <w:tr w14:paraId="09ED2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8" w:hRule="atLeast"/>
        </w:trPr>
        <w:tc>
          <w:tcPr>
            <w:tcW w:w="403" w:type="pct"/>
            <w:vAlign w:val="center"/>
          </w:tcPr>
          <w:p w14:paraId="0D463689">
            <w:pPr>
              <w:autoSpaceDE w:val="0"/>
              <w:autoSpaceDN w:val="0"/>
              <w:spacing w:line="360" w:lineRule="exact"/>
              <w:jc w:val="center"/>
              <w:rPr>
                <w:snapToGrid w:val="0"/>
                <w:szCs w:val="21"/>
              </w:rPr>
            </w:pPr>
            <w:r>
              <w:rPr>
                <w:snapToGrid w:val="0"/>
                <w:szCs w:val="21"/>
              </w:rPr>
              <w:t>DA001</w:t>
            </w:r>
          </w:p>
        </w:tc>
        <w:tc>
          <w:tcPr>
            <w:tcW w:w="495" w:type="pct"/>
            <w:vMerge w:val="restart"/>
            <w:vAlign w:val="center"/>
          </w:tcPr>
          <w:p w14:paraId="3A3A58EF">
            <w:pPr>
              <w:autoSpaceDE w:val="0"/>
              <w:autoSpaceDN w:val="0"/>
              <w:spacing w:line="360" w:lineRule="exact"/>
              <w:jc w:val="center"/>
              <w:rPr>
                <w:snapToGrid w:val="0"/>
                <w:szCs w:val="21"/>
              </w:rPr>
            </w:pPr>
            <w:r>
              <w:rPr>
                <w:snapToGrid w:val="0"/>
                <w:szCs w:val="21"/>
              </w:rPr>
              <w:t>一般排放口</w:t>
            </w:r>
          </w:p>
        </w:tc>
        <w:tc>
          <w:tcPr>
            <w:tcW w:w="630" w:type="pct"/>
            <w:vAlign w:val="center"/>
          </w:tcPr>
          <w:p w14:paraId="3CE2E4AD">
            <w:pPr>
              <w:autoSpaceDE w:val="0"/>
              <w:autoSpaceDN w:val="0"/>
              <w:spacing w:line="360" w:lineRule="exact"/>
              <w:jc w:val="center"/>
              <w:rPr>
                <w:snapToGrid w:val="0"/>
                <w:szCs w:val="21"/>
              </w:rPr>
            </w:pPr>
            <w:r>
              <w:rPr>
                <w:rFonts w:hint="eastAsia"/>
                <w:bCs/>
                <w:snapToGrid w:val="0"/>
                <w:szCs w:val="21"/>
              </w:rPr>
              <w:t>抛丸粉尘、焊接烟尘、抛光粉尘</w:t>
            </w:r>
            <w:r>
              <w:rPr>
                <w:snapToGrid w:val="0"/>
                <w:szCs w:val="21"/>
              </w:rPr>
              <w:t>排放口</w:t>
            </w:r>
          </w:p>
        </w:tc>
        <w:tc>
          <w:tcPr>
            <w:tcW w:w="371" w:type="pct"/>
            <w:vAlign w:val="center"/>
          </w:tcPr>
          <w:p w14:paraId="0399F2F1">
            <w:pPr>
              <w:autoSpaceDE w:val="0"/>
              <w:autoSpaceDN w:val="0"/>
              <w:spacing w:line="360" w:lineRule="exact"/>
              <w:jc w:val="center"/>
              <w:rPr>
                <w:snapToGrid w:val="0"/>
                <w:szCs w:val="21"/>
              </w:rPr>
            </w:pPr>
            <w:r>
              <w:rPr>
                <w:rFonts w:hint="eastAsia"/>
                <w:snapToGrid w:val="0"/>
                <w:szCs w:val="21"/>
              </w:rPr>
              <w:t>颗粒物</w:t>
            </w:r>
          </w:p>
        </w:tc>
        <w:tc>
          <w:tcPr>
            <w:tcW w:w="528" w:type="pct"/>
            <w:vAlign w:val="center"/>
          </w:tcPr>
          <w:p w14:paraId="47B9CA54">
            <w:pPr>
              <w:autoSpaceDE w:val="0"/>
              <w:autoSpaceDN w:val="0"/>
              <w:spacing w:line="360" w:lineRule="exact"/>
              <w:jc w:val="center"/>
              <w:rPr>
                <w:snapToGrid w:val="0"/>
                <w:kern w:val="0"/>
                <w:szCs w:val="21"/>
              </w:rPr>
            </w:pPr>
            <w:r>
              <w:rPr>
                <w:snapToGrid w:val="0"/>
                <w:kern w:val="0"/>
                <w:szCs w:val="21"/>
              </w:rPr>
              <w:t>116.15636</w:t>
            </w:r>
            <w:bookmarkStart w:id="181" w:name="OLE_LINK143"/>
            <w:bookmarkStart w:id="182" w:name="OLE_LINK144"/>
            <w:r>
              <w:rPr>
                <w:snapToGrid w:val="0"/>
                <w:kern w:val="0"/>
                <w:szCs w:val="21"/>
              </w:rPr>
              <w:t>°</w:t>
            </w:r>
            <w:bookmarkEnd w:id="181"/>
            <w:bookmarkEnd w:id="182"/>
          </w:p>
        </w:tc>
        <w:tc>
          <w:tcPr>
            <w:tcW w:w="475" w:type="pct"/>
            <w:vAlign w:val="center"/>
          </w:tcPr>
          <w:p w14:paraId="1B00EBE0">
            <w:pPr>
              <w:autoSpaceDE w:val="0"/>
              <w:autoSpaceDN w:val="0"/>
              <w:spacing w:line="360" w:lineRule="exact"/>
              <w:jc w:val="center"/>
              <w:rPr>
                <w:snapToGrid w:val="0"/>
                <w:kern w:val="0"/>
                <w:szCs w:val="21"/>
              </w:rPr>
            </w:pPr>
            <w:r>
              <w:rPr>
                <w:snapToGrid w:val="0"/>
                <w:kern w:val="0"/>
                <w:szCs w:val="21"/>
              </w:rPr>
              <w:t>35.70113°</w:t>
            </w:r>
          </w:p>
        </w:tc>
        <w:tc>
          <w:tcPr>
            <w:tcW w:w="580" w:type="pct"/>
            <w:vAlign w:val="center"/>
          </w:tcPr>
          <w:p w14:paraId="7AEBADF8">
            <w:pPr>
              <w:widowControl/>
              <w:spacing w:line="360" w:lineRule="exact"/>
              <w:jc w:val="center"/>
              <w:rPr>
                <w:szCs w:val="21"/>
              </w:rPr>
            </w:pPr>
            <w:r>
              <w:rPr>
                <w:szCs w:val="21"/>
              </w:rPr>
              <w:t>15</w:t>
            </w:r>
          </w:p>
        </w:tc>
        <w:tc>
          <w:tcPr>
            <w:tcW w:w="581" w:type="pct"/>
            <w:vAlign w:val="center"/>
          </w:tcPr>
          <w:p w14:paraId="3D6AE558">
            <w:pPr>
              <w:widowControl/>
              <w:spacing w:line="360" w:lineRule="exact"/>
              <w:jc w:val="center"/>
              <w:rPr>
                <w:szCs w:val="21"/>
              </w:rPr>
            </w:pPr>
            <w:r>
              <w:rPr>
                <w:szCs w:val="21"/>
              </w:rPr>
              <w:t>0.</w:t>
            </w:r>
            <w:r>
              <w:rPr>
                <w:rFonts w:hint="eastAsia"/>
                <w:szCs w:val="21"/>
              </w:rPr>
              <w:t>8</w:t>
            </w:r>
          </w:p>
        </w:tc>
        <w:tc>
          <w:tcPr>
            <w:tcW w:w="566" w:type="pct"/>
            <w:vAlign w:val="center"/>
          </w:tcPr>
          <w:p w14:paraId="567061E3">
            <w:pPr>
              <w:widowControl/>
              <w:spacing w:line="360" w:lineRule="exact"/>
              <w:jc w:val="center"/>
              <w:rPr>
                <w:szCs w:val="21"/>
              </w:rPr>
            </w:pPr>
            <w:r>
              <w:rPr>
                <w:kern w:val="0"/>
                <w:szCs w:val="21"/>
              </w:rPr>
              <w:t>常温</w:t>
            </w:r>
          </w:p>
        </w:tc>
        <w:tc>
          <w:tcPr>
            <w:tcW w:w="371" w:type="pct"/>
            <w:vAlign w:val="center"/>
          </w:tcPr>
          <w:p w14:paraId="79816485">
            <w:pPr>
              <w:widowControl/>
              <w:spacing w:line="360" w:lineRule="exact"/>
              <w:jc w:val="center"/>
              <w:rPr>
                <w:kern w:val="0"/>
                <w:szCs w:val="21"/>
              </w:rPr>
            </w:pPr>
            <w:r>
              <w:rPr>
                <w:kern w:val="0"/>
                <w:szCs w:val="21"/>
              </w:rPr>
              <w:t>/</w:t>
            </w:r>
          </w:p>
        </w:tc>
      </w:tr>
      <w:tr w14:paraId="6CEE8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403" w:type="pct"/>
            <w:vAlign w:val="center"/>
          </w:tcPr>
          <w:p w14:paraId="42435F8C">
            <w:pPr>
              <w:autoSpaceDE w:val="0"/>
              <w:autoSpaceDN w:val="0"/>
              <w:spacing w:line="360" w:lineRule="exact"/>
              <w:jc w:val="center"/>
              <w:rPr>
                <w:snapToGrid w:val="0"/>
                <w:szCs w:val="21"/>
              </w:rPr>
            </w:pPr>
            <w:r>
              <w:rPr>
                <w:rFonts w:hint="eastAsia"/>
                <w:snapToGrid w:val="0"/>
                <w:szCs w:val="21"/>
              </w:rPr>
              <w:t>D</w:t>
            </w:r>
            <w:r>
              <w:rPr>
                <w:snapToGrid w:val="0"/>
                <w:szCs w:val="21"/>
              </w:rPr>
              <w:t>A002</w:t>
            </w:r>
          </w:p>
        </w:tc>
        <w:tc>
          <w:tcPr>
            <w:tcW w:w="495" w:type="pct"/>
            <w:vMerge w:val="continue"/>
            <w:vAlign w:val="center"/>
          </w:tcPr>
          <w:p w14:paraId="2469618C">
            <w:pPr>
              <w:autoSpaceDE w:val="0"/>
              <w:autoSpaceDN w:val="0"/>
              <w:spacing w:line="360" w:lineRule="exact"/>
              <w:jc w:val="center"/>
              <w:rPr>
                <w:snapToGrid w:val="0"/>
                <w:szCs w:val="21"/>
              </w:rPr>
            </w:pPr>
          </w:p>
        </w:tc>
        <w:tc>
          <w:tcPr>
            <w:tcW w:w="630" w:type="pct"/>
            <w:vAlign w:val="center"/>
          </w:tcPr>
          <w:p w14:paraId="472F23E3">
            <w:pPr>
              <w:autoSpaceDE w:val="0"/>
              <w:autoSpaceDN w:val="0"/>
              <w:spacing w:line="360" w:lineRule="exact"/>
              <w:jc w:val="center"/>
              <w:rPr>
                <w:bCs/>
                <w:snapToGrid w:val="0"/>
                <w:szCs w:val="21"/>
              </w:rPr>
            </w:pPr>
            <w:r>
              <w:rPr>
                <w:rFonts w:hint="eastAsia"/>
                <w:bCs/>
                <w:snapToGrid w:val="0"/>
                <w:szCs w:val="21"/>
              </w:rPr>
              <w:t>喷塑粉尘排放口</w:t>
            </w:r>
          </w:p>
        </w:tc>
        <w:tc>
          <w:tcPr>
            <w:tcW w:w="371" w:type="pct"/>
            <w:vAlign w:val="center"/>
          </w:tcPr>
          <w:p w14:paraId="2441EC8D">
            <w:pPr>
              <w:autoSpaceDE w:val="0"/>
              <w:autoSpaceDN w:val="0"/>
              <w:spacing w:line="360" w:lineRule="exact"/>
              <w:jc w:val="center"/>
              <w:rPr>
                <w:snapToGrid w:val="0"/>
                <w:szCs w:val="21"/>
              </w:rPr>
            </w:pPr>
            <w:r>
              <w:rPr>
                <w:rFonts w:hint="eastAsia"/>
                <w:snapToGrid w:val="0"/>
                <w:szCs w:val="21"/>
              </w:rPr>
              <w:t>颗粒物</w:t>
            </w:r>
          </w:p>
        </w:tc>
        <w:tc>
          <w:tcPr>
            <w:tcW w:w="528" w:type="pct"/>
            <w:vAlign w:val="center"/>
          </w:tcPr>
          <w:p w14:paraId="19DCAA99">
            <w:pPr>
              <w:autoSpaceDE w:val="0"/>
              <w:autoSpaceDN w:val="0"/>
              <w:spacing w:line="360" w:lineRule="exact"/>
              <w:jc w:val="center"/>
              <w:rPr>
                <w:snapToGrid w:val="0"/>
                <w:kern w:val="0"/>
                <w:szCs w:val="21"/>
              </w:rPr>
            </w:pPr>
            <w:r>
              <w:rPr>
                <w:snapToGrid w:val="0"/>
                <w:kern w:val="0"/>
                <w:szCs w:val="21"/>
              </w:rPr>
              <w:t>116.15646°</w:t>
            </w:r>
          </w:p>
        </w:tc>
        <w:tc>
          <w:tcPr>
            <w:tcW w:w="475" w:type="pct"/>
            <w:vAlign w:val="center"/>
          </w:tcPr>
          <w:p w14:paraId="3509882B">
            <w:pPr>
              <w:autoSpaceDE w:val="0"/>
              <w:autoSpaceDN w:val="0"/>
              <w:spacing w:line="360" w:lineRule="exact"/>
              <w:jc w:val="center"/>
              <w:rPr>
                <w:snapToGrid w:val="0"/>
                <w:kern w:val="0"/>
                <w:szCs w:val="21"/>
              </w:rPr>
            </w:pPr>
            <w:r>
              <w:rPr>
                <w:snapToGrid w:val="0"/>
                <w:kern w:val="0"/>
                <w:szCs w:val="21"/>
              </w:rPr>
              <w:t>35.70080°</w:t>
            </w:r>
          </w:p>
        </w:tc>
        <w:tc>
          <w:tcPr>
            <w:tcW w:w="580" w:type="pct"/>
            <w:vAlign w:val="center"/>
          </w:tcPr>
          <w:p w14:paraId="745E1631">
            <w:pPr>
              <w:widowControl/>
              <w:spacing w:line="360" w:lineRule="exact"/>
              <w:jc w:val="center"/>
              <w:rPr>
                <w:szCs w:val="21"/>
              </w:rPr>
            </w:pPr>
            <w:r>
              <w:rPr>
                <w:szCs w:val="21"/>
              </w:rPr>
              <w:t>15</w:t>
            </w:r>
          </w:p>
        </w:tc>
        <w:tc>
          <w:tcPr>
            <w:tcW w:w="581" w:type="pct"/>
            <w:vAlign w:val="center"/>
          </w:tcPr>
          <w:p w14:paraId="0007E3F5">
            <w:pPr>
              <w:widowControl/>
              <w:spacing w:line="360" w:lineRule="exact"/>
              <w:jc w:val="center"/>
              <w:rPr>
                <w:szCs w:val="21"/>
              </w:rPr>
            </w:pPr>
            <w:r>
              <w:rPr>
                <w:rFonts w:hint="eastAsia"/>
                <w:szCs w:val="21"/>
              </w:rPr>
              <w:t>0.8</w:t>
            </w:r>
          </w:p>
        </w:tc>
        <w:tc>
          <w:tcPr>
            <w:tcW w:w="566" w:type="pct"/>
            <w:vAlign w:val="center"/>
          </w:tcPr>
          <w:p w14:paraId="1278BEAE">
            <w:pPr>
              <w:widowControl/>
              <w:spacing w:line="360" w:lineRule="exact"/>
              <w:jc w:val="center"/>
              <w:rPr>
                <w:kern w:val="0"/>
                <w:szCs w:val="21"/>
              </w:rPr>
            </w:pPr>
            <w:r>
              <w:rPr>
                <w:kern w:val="0"/>
                <w:szCs w:val="21"/>
              </w:rPr>
              <w:t>常温</w:t>
            </w:r>
          </w:p>
        </w:tc>
        <w:tc>
          <w:tcPr>
            <w:tcW w:w="371" w:type="pct"/>
            <w:vAlign w:val="center"/>
          </w:tcPr>
          <w:p w14:paraId="63E57F00">
            <w:pPr>
              <w:widowControl/>
              <w:spacing w:line="360" w:lineRule="exact"/>
              <w:jc w:val="center"/>
              <w:rPr>
                <w:kern w:val="0"/>
                <w:szCs w:val="21"/>
              </w:rPr>
            </w:pPr>
            <w:r>
              <w:rPr>
                <w:rFonts w:hint="eastAsia"/>
                <w:kern w:val="0"/>
                <w:szCs w:val="21"/>
              </w:rPr>
              <w:t>/</w:t>
            </w:r>
          </w:p>
        </w:tc>
      </w:tr>
      <w:tr w14:paraId="59889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8" w:hRule="atLeast"/>
        </w:trPr>
        <w:tc>
          <w:tcPr>
            <w:tcW w:w="403" w:type="pct"/>
            <w:vAlign w:val="center"/>
          </w:tcPr>
          <w:p w14:paraId="78C24675">
            <w:pPr>
              <w:autoSpaceDE w:val="0"/>
              <w:autoSpaceDN w:val="0"/>
              <w:spacing w:line="360" w:lineRule="exact"/>
              <w:jc w:val="center"/>
              <w:rPr>
                <w:snapToGrid w:val="0"/>
                <w:szCs w:val="21"/>
              </w:rPr>
            </w:pPr>
            <w:r>
              <w:rPr>
                <w:rFonts w:hint="eastAsia"/>
                <w:snapToGrid w:val="0"/>
                <w:szCs w:val="21"/>
              </w:rPr>
              <w:t>D</w:t>
            </w:r>
            <w:r>
              <w:rPr>
                <w:snapToGrid w:val="0"/>
                <w:szCs w:val="21"/>
              </w:rPr>
              <w:t>A003</w:t>
            </w:r>
          </w:p>
        </w:tc>
        <w:tc>
          <w:tcPr>
            <w:tcW w:w="495" w:type="pct"/>
            <w:vMerge w:val="continue"/>
            <w:vAlign w:val="center"/>
          </w:tcPr>
          <w:p w14:paraId="13EB5042">
            <w:pPr>
              <w:autoSpaceDE w:val="0"/>
              <w:autoSpaceDN w:val="0"/>
              <w:spacing w:line="360" w:lineRule="exact"/>
              <w:jc w:val="center"/>
              <w:rPr>
                <w:snapToGrid w:val="0"/>
                <w:szCs w:val="21"/>
              </w:rPr>
            </w:pPr>
          </w:p>
        </w:tc>
        <w:tc>
          <w:tcPr>
            <w:tcW w:w="630" w:type="pct"/>
            <w:vAlign w:val="center"/>
          </w:tcPr>
          <w:p w14:paraId="021C58C1">
            <w:pPr>
              <w:autoSpaceDE w:val="0"/>
              <w:autoSpaceDN w:val="0"/>
              <w:spacing w:line="360" w:lineRule="exact"/>
              <w:jc w:val="center"/>
              <w:rPr>
                <w:bCs/>
                <w:snapToGrid w:val="0"/>
                <w:szCs w:val="21"/>
              </w:rPr>
            </w:pPr>
            <w:r>
              <w:rPr>
                <w:rFonts w:hint="eastAsia"/>
                <w:bCs/>
                <w:snapToGrid w:val="0"/>
                <w:szCs w:val="21"/>
              </w:rPr>
              <w:t>固化粉尘排放口</w:t>
            </w:r>
          </w:p>
        </w:tc>
        <w:tc>
          <w:tcPr>
            <w:tcW w:w="371" w:type="pct"/>
            <w:vAlign w:val="center"/>
          </w:tcPr>
          <w:p w14:paraId="5913A9BB">
            <w:pPr>
              <w:autoSpaceDE w:val="0"/>
              <w:autoSpaceDN w:val="0"/>
              <w:spacing w:line="360" w:lineRule="exact"/>
              <w:jc w:val="center"/>
              <w:rPr>
                <w:snapToGrid w:val="0"/>
                <w:szCs w:val="21"/>
              </w:rPr>
            </w:pPr>
            <w:r>
              <w:rPr>
                <w:rFonts w:hint="eastAsia"/>
                <w:snapToGrid w:val="0"/>
                <w:szCs w:val="21"/>
              </w:rPr>
              <w:t>V</w:t>
            </w:r>
            <w:r>
              <w:rPr>
                <w:snapToGrid w:val="0"/>
                <w:szCs w:val="21"/>
              </w:rPr>
              <w:t>OCs</w:t>
            </w:r>
          </w:p>
        </w:tc>
        <w:tc>
          <w:tcPr>
            <w:tcW w:w="528" w:type="pct"/>
            <w:vAlign w:val="center"/>
          </w:tcPr>
          <w:p w14:paraId="5F2E5164">
            <w:pPr>
              <w:autoSpaceDE w:val="0"/>
              <w:autoSpaceDN w:val="0"/>
              <w:spacing w:line="360" w:lineRule="exact"/>
              <w:jc w:val="center"/>
              <w:rPr>
                <w:snapToGrid w:val="0"/>
                <w:kern w:val="0"/>
                <w:szCs w:val="21"/>
              </w:rPr>
            </w:pPr>
            <w:r>
              <w:rPr>
                <w:snapToGrid w:val="0"/>
                <w:kern w:val="0"/>
                <w:szCs w:val="21"/>
              </w:rPr>
              <w:t>116.15656°</w:t>
            </w:r>
          </w:p>
        </w:tc>
        <w:tc>
          <w:tcPr>
            <w:tcW w:w="475" w:type="pct"/>
            <w:vAlign w:val="center"/>
          </w:tcPr>
          <w:p w14:paraId="321606DD">
            <w:pPr>
              <w:autoSpaceDE w:val="0"/>
              <w:autoSpaceDN w:val="0"/>
              <w:spacing w:line="360" w:lineRule="exact"/>
              <w:jc w:val="center"/>
              <w:rPr>
                <w:snapToGrid w:val="0"/>
                <w:kern w:val="0"/>
                <w:szCs w:val="21"/>
              </w:rPr>
            </w:pPr>
            <w:r>
              <w:rPr>
                <w:snapToGrid w:val="0"/>
                <w:kern w:val="0"/>
                <w:szCs w:val="21"/>
              </w:rPr>
              <w:t>35.70083°</w:t>
            </w:r>
          </w:p>
        </w:tc>
        <w:tc>
          <w:tcPr>
            <w:tcW w:w="580" w:type="pct"/>
            <w:vAlign w:val="center"/>
          </w:tcPr>
          <w:p w14:paraId="54D70C45">
            <w:pPr>
              <w:widowControl/>
              <w:spacing w:line="360" w:lineRule="exact"/>
              <w:jc w:val="center"/>
              <w:rPr>
                <w:szCs w:val="21"/>
              </w:rPr>
            </w:pPr>
            <w:r>
              <w:rPr>
                <w:szCs w:val="21"/>
              </w:rPr>
              <w:t>15</w:t>
            </w:r>
          </w:p>
        </w:tc>
        <w:tc>
          <w:tcPr>
            <w:tcW w:w="581" w:type="pct"/>
            <w:vAlign w:val="center"/>
          </w:tcPr>
          <w:p w14:paraId="36926875">
            <w:pPr>
              <w:widowControl/>
              <w:spacing w:line="360" w:lineRule="exact"/>
              <w:jc w:val="center"/>
              <w:rPr>
                <w:szCs w:val="21"/>
              </w:rPr>
            </w:pPr>
            <w:r>
              <w:rPr>
                <w:szCs w:val="21"/>
              </w:rPr>
              <w:t>0.4</w:t>
            </w:r>
          </w:p>
        </w:tc>
        <w:tc>
          <w:tcPr>
            <w:tcW w:w="566" w:type="pct"/>
            <w:vAlign w:val="center"/>
          </w:tcPr>
          <w:p w14:paraId="51816A98">
            <w:pPr>
              <w:widowControl/>
              <w:spacing w:line="360" w:lineRule="exact"/>
              <w:jc w:val="center"/>
              <w:rPr>
                <w:kern w:val="0"/>
                <w:szCs w:val="21"/>
              </w:rPr>
            </w:pPr>
            <w:r>
              <w:rPr>
                <w:kern w:val="0"/>
                <w:szCs w:val="21"/>
              </w:rPr>
              <w:t>40</w:t>
            </w:r>
          </w:p>
        </w:tc>
        <w:tc>
          <w:tcPr>
            <w:tcW w:w="371" w:type="pct"/>
            <w:vAlign w:val="center"/>
          </w:tcPr>
          <w:p w14:paraId="77B13A2C">
            <w:pPr>
              <w:widowControl/>
              <w:spacing w:line="360" w:lineRule="exact"/>
              <w:jc w:val="center"/>
              <w:rPr>
                <w:kern w:val="0"/>
                <w:szCs w:val="21"/>
              </w:rPr>
            </w:pPr>
            <w:r>
              <w:rPr>
                <w:rFonts w:hint="eastAsia"/>
                <w:kern w:val="0"/>
                <w:szCs w:val="21"/>
              </w:rPr>
              <w:t>/</w:t>
            </w:r>
          </w:p>
        </w:tc>
      </w:tr>
    </w:tbl>
    <w:p w14:paraId="4076DD49">
      <w:pPr>
        <w:sectPr>
          <w:pgSz w:w="16840" w:h="11907" w:orient="landscape"/>
          <w:pgMar w:top="1361" w:right="1701" w:bottom="1304" w:left="1644" w:header="851" w:footer="851" w:gutter="0"/>
          <w:cols w:space="720" w:num="1"/>
          <w:docGrid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11"/>
      </w:tblGrid>
      <w:tr w14:paraId="5620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Align w:val="center"/>
          </w:tcPr>
          <w:p w14:paraId="201F1EFB">
            <w:pPr>
              <w:adjustRightInd w:val="0"/>
              <w:snapToGrid w:val="0"/>
              <w:jc w:val="center"/>
              <w:rPr>
                <w:bCs/>
                <w:sz w:val="24"/>
              </w:rPr>
            </w:pPr>
            <w:r>
              <w:rPr>
                <w:bCs/>
                <w:sz w:val="24"/>
              </w:rPr>
              <w:t>运营</w:t>
            </w:r>
          </w:p>
          <w:p w14:paraId="51D66FC6">
            <w:pPr>
              <w:adjustRightInd w:val="0"/>
              <w:snapToGrid w:val="0"/>
              <w:jc w:val="center"/>
              <w:rPr>
                <w:bCs/>
                <w:sz w:val="24"/>
              </w:rPr>
            </w:pPr>
            <w:r>
              <w:rPr>
                <w:bCs/>
                <w:sz w:val="24"/>
              </w:rPr>
              <w:t>期环</w:t>
            </w:r>
          </w:p>
          <w:p w14:paraId="6A501A13">
            <w:pPr>
              <w:adjustRightInd w:val="0"/>
              <w:snapToGrid w:val="0"/>
              <w:jc w:val="center"/>
              <w:rPr>
                <w:bCs/>
                <w:sz w:val="24"/>
              </w:rPr>
            </w:pPr>
            <w:r>
              <w:rPr>
                <w:bCs/>
                <w:sz w:val="24"/>
              </w:rPr>
              <w:t>境影</w:t>
            </w:r>
          </w:p>
          <w:p w14:paraId="528798F7">
            <w:pPr>
              <w:adjustRightInd w:val="0"/>
              <w:snapToGrid w:val="0"/>
              <w:jc w:val="center"/>
              <w:rPr>
                <w:bCs/>
                <w:sz w:val="24"/>
              </w:rPr>
            </w:pPr>
            <w:r>
              <w:rPr>
                <w:bCs/>
                <w:sz w:val="24"/>
              </w:rPr>
              <w:t>响和</w:t>
            </w:r>
          </w:p>
          <w:p w14:paraId="2380CB60">
            <w:pPr>
              <w:adjustRightInd w:val="0"/>
              <w:snapToGrid w:val="0"/>
              <w:jc w:val="center"/>
              <w:rPr>
                <w:bCs/>
                <w:sz w:val="24"/>
              </w:rPr>
            </w:pPr>
            <w:r>
              <w:rPr>
                <w:bCs/>
                <w:sz w:val="24"/>
              </w:rPr>
              <w:t>保护措施</w:t>
            </w:r>
          </w:p>
        </w:tc>
        <w:tc>
          <w:tcPr>
            <w:tcW w:w="8811" w:type="dxa"/>
          </w:tcPr>
          <w:p w14:paraId="4D2F57BA">
            <w:pPr>
              <w:spacing w:line="360" w:lineRule="auto"/>
              <w:ind w:firstLine="482" w:firstLineChars="200"/>
              <w:rPr>
                <w:b/>
                <w:bCs/>
                <w:sz w:val="24"/>
              </w:rPr>
            </w:pPr>
            <w:r>
              <w:rPr>
                <w:b/>
                <w:bCs/>
                <w:sz w:val="24"/>
              </w:rPr>
              <w:t>2、污染防治技术可行性</w:t>
            </w:r>
          </w:p>
          <w:p w14:paraId="6D6ABBE6">
            <w:pPr>
              <w:spacing w:line="360" w:lineRule="auto"/>
              <w:ind w:firstLine="482"/>
              <w:rPr>
                <w:bCs/>
                <w:sz w:val="24"/>
              </w:rPr>
            </w:pPr>
            <w:r>
              <w:rPr>
                <w:rFonts w:hint="eastAsia"/>
                <w:bCs/>
                <w:sz w:val="24"/>
              </w:rPr>
              <w:t>参照</w:t>
            </w:r>
            <w:r>
              <w:rPr>
                <w:bCs/>
                <w:sz w:val="24"/>
              </w:rPr>
              <w:t>《排放源统计调查产排污核算方法和系数手册》中表1工业行业产排污系数手册 33-37，431-434 机械行业系数手册</w:t>
            </w:r>
            <w:r>
              <w:rPr>
                <w:rFonts w:hint="eastAsia"/>
                <w:bCs/>
                <w:sz w:val="24"/>
              </w:rPr>
              <w:t>，</w:t>
            </w:r>
            <w:r>
              <w:rPr>
                <w:bCs/>
                <w:sz w:val="24"/>
              </w:rPr>
              <w:t xml:space="preserve"> </w:t>
            </w:r>
            <w:r>
              <w:rPr>
                <w:rFonts w:hint="eastAsia"/>
                <w:bCs/>
                <w:sz w:val="24"/>
              </w:rPr>
              <w:t>分析本项目采用技术与可行技术参考表对比如下：</w:t>
            </w:r>
          </w:p>
          <w:p w14:paraId="48EA8C40">
            <w:pPr>
              <w:widowControl/>
              <w:spacing w:line="360" w:lineRule="auto"/>
              <w:ind w:firstLine="442" w:firstLineChars="200"/>
              <w:jc w:val="center"/>
              <w:rPr>
                <w:rFonts w:ascii="宋体" w:hAnsi="宋体" w:cs="宋体"/>
                <w:bCs/>
                <w:spacing w:val="-10"/>
                <w:szCs w:val="21"/>
              </w:rPr>
            </w:pPr>
            <w:r>
              <w:rPr>
                <w:rFonts w:hint="eastAsia" w:ascii="宋体" w:hAnsi="宋体" w:cs="宋体"/>
                <w:b/>
                <w:spacing w:val="-10"/>
                <w:sz w:val="24"/>
                <w:lang w:bidi="ar"/>
              </w:rPr>
              <w:t>表</w:t>
            </w:r>
            <w:r>
              <w:rPr>
                <w:b/>
                <w:spacing w:val="-10"/>
                <w:sz w:val="24"/>
                <w:lang w:bidi="ar"/>
              </w:rPr>
              <w:t xml:space="preserve"> </w:t>
            </w:r>
            <w:r>
              <w:rPr>
                <w:rFonts w:hint="eastAsia"/>
                <w:b/>
                <w:spacing w:val="-10"/>
                <w:sz w:val="24"/>
                <w:lang w:bidi="ar"/>
              </w:rPr>
              <w:t>2</w:t>
            </w:r>
            <w:r>
              <w:rPr>
                <w:b/>
                <w:spacing w:val="-10"/>
                <w:sz w:val="24"/>
                <w:lang w:bidi="ar"/>
              </w:rPr>
              <w:t>8</w:t>
            </w:r>
            <w:r>
              <w:rPr>
                <w:rFonts w:hint="eastAsia" w:ascii="宋体" w:hAnsi="宋体" w:cs="宋体"/>
                <w:b/>
                <w:spacing w:val="-10"/>
                <w:sz w:val="24"/>
                <w:lang w:bidi="ar"/>
              </w:rPr>
              <w:t>本项目采用技术与废气污染防治可行技术对比一览表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1708"/>
              <w:gridCol w:w="1287"/>
              <w:gridCol w:w="2281"/>
              <w:gridCol w:w="1302"/>
              <w:gridCol w:w="1158"/>
            </w:tblGrid>
            <w:tr w14:paraId="65562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14:paraId="08D33B64">
                  <w:pPr>
                    <w:pStyle w:val="21"/>
                    <w:widowControl w:val="0"/>
                    <w:autoSpaceDE w:val="0"/>
                    <w:autoSpaceDN w:val="0"/>
                    <w:adjustRightInd w:val="0"/>
                    <w:spacing w:before="0" w:beforeAutospacing="0" w:after="0" w:afterAutospacing="0"/>
                    <w:jc w:val="center"/>
                    <w:rPr>
                      <w:rFonts w:ascii="Times New Roman" w:hAnsi="Times New Roman"/>
                      <w:b/>
                      <w:bCs/>
                      <w:sz w:val="21"/>
                      <w:szCs w:val="21"/>
                    </w:rPr>
                  </w:pPr>
                  <w:r>
                    <w:rPr>
                      <w:rFonts w:ascii="Times New Roman" w:hAnsi="Times New Roman"/>
                      <w:b/>
                      <w:bCs/>
                      <w:sz w:val="21"/>
                      <w:szCs w:val="21"/>
                      <w:lang w:bidi="ar"/>
                    </w:rPr>
                    <w:t>生产单元</w:t>
                  </w:r>
                </w:p>
              </w:tc>
              <w:tc>
                <w:tcPr>
                  <w:tcW w:w="1701" w:type="dxa"/>
                  <w:vAlign w:val="center"/>
                </w:tcPr>
                <w:p w14:paraId="697CA657">
                  <w:pPr>
                    <w:pStyle w:val="21"/>
                    <w:widowControl w:val="0"/>
                    <w:autoSpaceDE w:val="0"/>
                    <w:autoSpaceDN w:val="0"/>
                    <w:adjustRightInd w:val="0"/>
                    <w:spacing w:before="0" w:beforeAutospacing="0" w:after="0" w:afterAutospacing="0"/>
                    <w:jc w:val="center"/>
                    <w:rPr>
                      <w:rFonts w:ascii="Times New Roman" w:hAnsi="Times New Roman"/>
                      <w:b/>
                      <w:bCs/>
                      <w:sz w:val="21"/>
                      <w:szCs w:val="21"/>
                    </w:rPr>
                  </w:pPr>
                  <w:r>
                    <w:rPr>
                      <w:rFonts w:ascii="Times New Roman" w:hAnsi="Times New Roman"/>
                      <w:b/>
                      <w:bCs/>
                      <w:sz w:val="21"/>
                      <w:szCs w:val="21"/>
                      <w:lang w:bidi="ar"/>
                    </w:rPr>
                    <w:t>主要生产设施</w:t>
                  </w:r>
                </w:p>
              </w:tc>
              <w:tc>
                <w:tcPr>
                  <w:tcW w:w="1282" w:type="dxa"/>
                  <w:vAlign w:val="center"/>
                </w:tcPr>
                <w:p w14:paraId="67447DF1">
                  <w:pPr>
                    <w:pStyle w:val="21"/>
                    <w:widowControl w:val="0"/>
                    <w:autoSpaceDE w:val="0"/>
                    <w:autoSpaceDN w:val="0"/>
                    <w:adjustRightInd w:val="0"/>
                    <w:spacing w:before="0" w:beforeAutospacing="0" w:after="0" w:afterAutospacing="0"/>
                    <w:jc w:val="center"/>
                    <w:rPr>
                      <w:rFonts w:ascii="Times New Roman" w:hAnsi="Times New Roman"/>
                      <w:b/>
                      <w:bCs/>
                      <w:sz w:val="21"/>
                      <w:szCs w:val="21"/>
                    </w:rPr>
                  </w:pPr>
                  <w:r>
                    <w:rPr>
                      <w:rFonts w:ascii="Times New Roman" w:hAnsi="Times New Roman"/>
                      <w:b/>
                      <w:bCs/>
                      <w:sz w:val="21"/>
                      <w:szCs w:val="21"/>
                      <w:lang w:bidi="ar"/>
                    </w:rPr>
                    <w:t>大气污染物</w:t>
                  </w:r>
                </w:p>
              </w:tc>
              <w:tc>
                <w:tcPr>
                  <w:tcW w:w="2272" w:type="dxa"/>
                  <w:vAlign w:val="center"/>
                </w:tcPr>
                <w:p w14:paraId="4B6DA9F7">
                  <w:pPr>
                    <w:pStyle w:val="21"/>
                    <w:widowControl w:val="0"/>
                    <w:autoSpaceDE w:val="0"/>
                    <w:autoSpaceDN w:val="0"/>
                    <w:adjustRightInd w:val="0"/>
                    <w:spacing w:before="0" w:beforeAutospacing="0" w:after="0" w:afterAutospacing="0"/>
                    <w:jc w:val="center"/>
                    <w:rPr>
                      <w:rFonts w:ascii="Times New Roman" w:hAnsi="Times New Roman"/>
                      <w:b/>
                      <w:bCs/>
                      <w:sz w:val="21"/>
                      <w:szCs w:val="21"/>
                    </w:rPr>
                  </w:pPr>
                  <w:r>
                    <w:rPr>
                      <w:rFonts w:ascii="Times New Roman" w:hAnsi="Times New Roman"/>
                      <w:b/>
                      <w:bCs/>
                      <w:sz w:val="21"/>
                      <w:szCs w:val="21"/>
                      <w:lang w:bidi="ar"/>
                    </w:rPr>
                    <w:t>可行技术</w:t>
                  </w:r>
                </w:p>
              </w:tc>
              <w:tc>
                <w:tcPr>
                  <w:tcW w:w="1297" w:type="dxa"/>
                  <w:vAlign w:val="center"/>
                </w:tcPr>
                <w:p w14:paraId="4ACD6BB7">
                  <w:pPr>
                    <w:pStyle w:val="21"/>
                    <w:widowControl w:val="0"/>
                    <w:autoSpaceDE w:val="0"/>
                    <w:autoSpaceDN w:val="0"/>
                    <w:adjustRightInd w:val="0"/>
                    <w:spacing w:before="0" w:beforeAutospacing="0" w:after="0" w:afterAutospacing="0"/>
                    <w:jc w:val="center"/>
                    <w:rPr>
                      <w:rFonts w:ascii="Times New Roman" w:hAnsi="Times New Roman"/>
                      <w:b/>
                      <w:bCs/>
                      <w:sz w:val="21"/>
                      <w:szCs w:val="21"/>
                    </w:rPr>
                  </w:pPr>
                  <w:r>
                    <w:rPr>
                      <w:rFonts w:ascii="Times New Roman" w:hAnsi="Times New Roman"/>
                      <w:b/>
                      <w:bCs/>
                      <w:sz w:val="21"/>
                      <w:szCs w:val="21"/>
                      <w:lang w:bidi="ar"/>
                    </w:rPr>
                    <w:t>本项目技术</w:t>
                  </w:r>
                </w:p>
              </w:tc>
              <w:tc>
                <w:tcPr>
                  <w:tcW w:w="1152" w:type="dxa"/>
                  <w:vAlign w:val="center"/>
                </w:tcPr>
                <w:p w14:paraId="74F10774">
                  <w:pPr>
                    <w:pStyle w:val="21"/>
                    <w:widowControl w:val="0"/>
                    <w:autoSpaceDE w:val="0"/>
                    <w:autoSpaceDN w:val="0"/>
                    <w:adjustRightInd w:val="0"/>
                    <w:spacing w:before="0" w:beforeAutospacing="0" w:after="0" w:afterAutospacing="0"/>
                    <w:jc w:val="center"/>
                    <w:rPr>
                      <w:rFonts w:ascii="Times New Roman" w:hAnsi="Times New Roman"/>
                      <w:b/>
                      <w:bCs/>
                      <w:sz w:val="21"/>
                      <w:szCs w:val="21"/>
                    </w:rPr>
                  </w:pPr>
                  <w:r>
                    <w:rPr>
                      <w:rFonts w:ascii="Times New Roman" w:hAnsi="Times New Roman"/>
                      <w:b/>
                      <w:bCs/>
                      <w:sz w:val="21"/>
                      <w:szCs w:val="21"/>
                      <w:lang w:bidi="ar"/>
                    </w:rPr>
                    <w:t>是否为可行技术</w:t>
                  </w:r>
                </w:p>
              </w:tc>
            </w:tr>
            <w:tr w14:paraId="5E238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14:paraId="15714FCF">
                  <w:pPr>
                    <w:pStyle w:val="21"/>
                    <w:widowControl w:val="0"/>
                    <w:autoSpaceDE w:val="0"/>
                    <w:autoSpaceDN w:val="0"/>
                    <w:adjustRightInd w:val="0"/>
                    <w:spacing w:before="0" w:beforeAutospacing="0" w:after="0" w:afterAutospacing="0"/>
                    <w:jc w:val="center"/>
                    <w:rPr>
                      <w:rFonts w:ascii="Times New Roman" w:hAnsi="Times New Roman"/>
                      <w:bCs/>
                      <w:sz w:val="21"/>
                      <w:szCs w:val="21"/>
                      <w:lang w:bidi="ar"/>
                    </w:rPr>
                  </w:pPr>
                  <w:r>
                    <w:rPr>
                      <w:rFonts w:hint="eastAsia" w:ascii="Times New Roman" w:hAnsi="Times New Roman"/>
                      <w:bCs/>
                      <w:sz w:val="21"/>
                      <w:szCs w:val="21"/>
                      <w:lang w:bidi="ar"/>
                    </w:rPr>
                    <w:t>下料</w:t>
                  </w:r>
                </w:p>
              </w:tc>
              <w:tc>
                <w:tcPr>
                  <w:tcW w:w="1701" w:type="dxa"/>
                  <w:vAlign w:val="center"/>
                </w:tcPr>
                <w:p w14:paraId="685E6D67">
                  <w:pPr>
                    <w:pStyle w:val="21"/>
                    <w:widowControl w:val="0"/>
                    <w:autoSpaceDE w:val="0"/>
                    <w:autoSpaceDN w:val="0"/>
                    <w:adjustRightInd w:val="0"/>
                    <w:spacing w:before="0" w:beforeAutospacing="0" w:after="0" w:afterAutospacing="0"/>
                    <w:jc w:val="center"/>
                    <w:rPr>
                      <w:rFonts w:ascii="Times New Roman" w:hAnsi="Times New Roman"/>
                      <w:bCs/>
                      <w:sz w:val="21"/>
                      <w:szCs w:val="21"/>
                      <w:lang w:bidi="ar"/>
                    </w:rPr>
                  </w:pPr>
                  <w:r>
                    <w:rPr>
                      <w:rFonts w:hint="eastAsia" w:ascii="Times New Roman" w:hAnsi="Times New Roman"/>
                      <w:bCs/>
                      <w:sz w:val="21"/>
                      <w:szCs w:val="21"/>
                      <w:lang w:bidi="ar"/>
                    </w:rPr>
                    <w:t>激光切割、等离子切割</w:t>
                  </w:r>
                </w:p>
              </w:tc>
              <w:tc>
                <w:tcPr>
                  <w:tcW w:w="1282" w:type="dxa"/>
                  <w:vMerge w:val="restart"/>
                  <w:vAlign w:val="center"/>
                </w:tcPr>
                <w:p w14:paraId="7B6CC923">
                  <w:pPr>
                    <w:pStyle w:val="64"/>
                    <w:jc w:val="center"/>
                    <w:rPr>
                      <w:rFonts w:ascii="Times New Roman" w:hAnsi="Times New Roman"/>
                      <w:b/>
                      <w:bCs/>
                      <w:color w:val="auto"/>
                      <w:sz w:val="21"/>
                      <w:szCs w:val="21"/>
                      <w:lang w:bidi="ar"/>
                    </w:rPr>
                  </w:pPr>
                  <w:r>
                    <w:rPr>
                      <w:rFonts w:ascii="Times New Roman" w:hAnsi="Times New Roman" w:eastAsia="宋体" w:cs="Times New Roman"/>
                      <w:color w:val="auto"/>
                      <w:sz w:val="21"/>
                      <w:szCs w:val="21"/>
                      <w:lang w:bidi="ar"/>
                    </w:rPr>
                    <w:t>颗粒物</w:t>
                  </w:r>
                </w:p>
              </w:tc>
              <w:tc>
                <w:tcPr>
                  <w:tcW w:w="2272" w:type="dxa"/>
                  <w:vAlign w:val="center"/>
                </w:tcPr>
                <w:p w14:paraId="37CF8DE6">
                  <w:pPr>
                    <w:pStyle w:val="21"/>
                    <w:widowControl w:val="0"/>
                    <w:autoSpaceDE w:val="0"/>
                    <w:autoSpaceDN w:val="0"/>
                    <w:adjustRightInd w:val="0"/>
                    <w:spacing w:before="0" w:beforeAutospacing="0" w:after="0" w:afterAutospacing="0"/>
                    <w:jc w:val="center"/>
                    <w:rPr>
                      <w:rFonts w:ascii="Times New Roman" w:hAnsi="Times New Roman"/>
                      <w:b/>
                      <w:bCs/>
                      <w:sz w:val="21"/>
                      <w:szCs w:val="21"/>
                      <w:lang w:bidi="ar"/>
                    </w:rPr>
                  </w:pPr>
                  <w:r>
                    <w:rPr>
                      <w:rFonts w:hint="eastAsia" w:ascii="Times New Roman" w:hAnsi="Times New Roman"/>
                      <w:sz w:val="21"/>
                      <w:szCs w:val="21"/>
                      <w:lang w:bidi="ar"/>
                    </w:rPr>
                    <w:t>单筒（多筒并联）旋风、板式、管式、直排、喷淋塔/冲击水浴、多管旋风、</w:t>
                  </w:r>
                  <w:r>
                    <w:rPr>
                      <w:rFonts w:ascii="Times New Roman" w:hAnsi="Times New Roman"/>
                      <w:sz w:val="21"/>
                      <w:szCs w:val="21"/>
                      <w:lang w:bidi="ar"/>
                    </w:rPr>
                    <w:t>袋式除尘</w:t>
                  </w:r>
                </w:p>
              </w:tc>
              <w:tc>
                <w:tcPr>
                  <w:tcW w:w="1297" w:type="dxa"/>
                  <w:vAlign w:val="center"/>
                </w:tcPr>
                <w:p w14:paraId="31DAE6AE">
                  <w:pPr>
                    <w:pStyle w:val="21"/>
                    <w:widowControl w:val="0"/>
                    <w:autoSpaceDE w:val="0"/>
                    <w:autoSpaceDN w:val="0"/>
                    <w:adjustRightInd w:val="0"/>
                    <w:spacing w:before="0" w:beforeAutospacing="0" w:after="0" w:afterAutospacing="0"/>
                    <w:jc w:val="center"/>
                    <w:rPr>
                      <w:rFonts w:ascii="Times New Roman" w:hAnsi="Times New Roman"/>
                      <w:b/>
                      <w:bCs/>
                      <w:sz w:val="21"/>
                      <w:szCs w:val="21"/>
                      <w:lang w:bidi="ar"/>
                    </w:rPr>
                  </w:pPr>
                  <w:r>
                    <w:rPr>
                      <w:rFonts w:ascii="Times New Roman" w:hAnsi="Times New Roman"/>
                      <w:sz w:val="21"/>
                      <w:szCs w:val="21"/>
                      <w:lang w:bidi="ar"/>
                    </w:rPr>
                    <w:t>布袋除尘器</w:t>
                  </w:r>
                </w:p>
              </w:tc>
              <w:tc>
                <w:tcPr>
                  <w:tcW w:w="1152" w:type="dxa"/>
                  <w:vAlign w:val="center"/>
                </w:tcPr>
                <w:p w14:paraId="5445F48D">
                  <w:pPr>
                    <w:pStyle w:val="21"/>
                    <w:widowControl w:val="0"/>
                    <w:autoSpaceDE w:val="0"/>
                    <w:autoSpaceDN w:val="0"/>
                    <w:adjustRightInd w:val="0"/>
                    <w:spacing w:before="0" w:beforeAutospacing="0" w:after="0" w:afterAutospacing="0"/>
                    <w:jc w:val="center"/>
                    <w:rPr>
                      <w:rFonts w:ascii="Times New Roman" w:hAnsi="Times New Roman"/>
                      <w:b/>
                      <w:bCs/>
                      <w:sz w:val="21"/>
                      <w:szCs w:val="21"/>
                      <w:lang w:bidi="ar"/>
                    </w:rPr>
                  </w:pPr>
                  <w:r>
                    <w:rPr>
                      <w:rFonts w:ascii="Times New Roman" w:hAnsi="Times New Roman"/>
                      <w:sz w:val="21"/>
                      <w:szCs w:val="21"/>
                      <w:lang w:bidi="ar"/>
                    </w:rPr>
                    <w:t>是</w:t>
                  </w:r>
                </w:p>
              </w:tc>
            </w:tr>
            <w:tr w14:paraId="497B9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14:paraId="288BD878">
                  <w:pPr>
                    <w:pStyle w:val="21"/>
                    <w:widowControl w:val="0"/>
                    <w:autoSpaceDE w:val="0"/>
                    <w:autoSpaceDN w:val="0"/>
                    <w:adjustRightInd w:val="0"/>
                    <w:spacing w:before="0" w:beforeAutospacing="0" w:after="0" w:afterAutospacing="0"/>
                    <w:jc w:val="center"/>
                    <w:rPr>
                      <w:rFonts w:ascii="Times New Roman" w:hAnsi="Times New Roman"/>
                      <w:bCs/>
                      <w:sz w:val="21"/>
                      <w:szCs w:val="21"/>
                      <w:lang w:bidi="ar"/>
                    </w:rPr>
                  </w:pPr>
                  <w:r>
                    <w:rPr>
                      <w:rFonts w:ascii="Times New Roman" w:hAnsi="Times New Roman"/>
                      <w:sz w:val="21"/>
                      <w:szCs w:val="21"/>
                    </w:rPr>
                    <w:t>焊接</w:t>
                  </w:r>
                </w:p>
              </w:tc>
              <w:tc>
                <w:tcPr>
                  <w:tcW w:w="1701" w:type="dxa"/>
                  <w:vAlign w:val="center"/>
                </w:tcPr>
                <w:p w14:paraId="7202429B">
                  <w:pPr>
                    <w:pStyle w:val="21"/>
                    <w:widowControl w:val="0"/>
                    <w:autoSpaceDE w:val="0"/>
                    <w:autoSpaceDN w:val="0"/>
                    <w:adjustRightInd w:val="0"/>
                    <w:spacing w:before="0" w:beforeAutospacing="0" w:after="0" w:afterAutospacing="0"/>
                    <w:jc w:val="center"/>
                    <w:rPr>
                      <w:rFonts w:ascii="Times New Roman" w:hAnsi="Times New Roman"/>
                      <w:bCs/>
                      <w:sz w:val="21"/>
                      <w:szCs w:val="21"/>
                      <w:lang w:bidi="ar"/>
                    </w:rPr>
                  </w:pPr>
                  <w:r>
                    <w:rPr>
                      <w:rFonts w:ascii="Times New Roman" w:hAnsi="Times New Roman"/>
                      <w:bCs/>
                      <w:sz w:val="21"/>
                      <w:szCs w:val="21"/>
                      <w:lang w:bidi="ar"/>
                    </w:rPr>
                    <w:t>氩弧焊、气保焊、自动焊、激光焊</w:t>
                  </w:r>
                </w:p>
              </w:tc>
              <w:tc>
                <w:tcPr>
                  <w:tcW w:w="1282" w:type="dxa"/>
                  <w:vMerge w:val="continue"/>
                  <w:vAlign w:val="center"/>
                </w:tcPr>
                <w:p w14:paraId="54FF6B64">
                  <w:pPr>
                    <w:pStyle w:val="64"/>
                    <w:jc w:val="center"/>
                    <w:rPr>
                      <w:rFonts w:ascii="Times New Roman" w:hAnsi="Times New Roman" w:eastAsia="宋体" w:cs="Times New Roman"/>
                      <w:color w:val="auto"/>
                      <w:sz w:val="21"/>
                      <w:szCs w:val="21"/>
                      <w:lang w:bidi="ar"/>
                    </w:rPr>
                  </w:pPr>
                </w:p>
              </w:tc>
              <w:tc>
                <w:tcPr>
                  <w:tcW w:w="2272" w:type="dxa"/>
                  <w:vAlign w:val="center"/>
                </w:tcPr>
                <w:p w14:paraId="043EA84B">
                  <w:pPr>
                    <w:pStyle w:val="21"/>
                    <w:autoSpaceDE w:val="0"/>
                    <w:autoSpaceDN w:val="0"/>
                    <w:adjustRightInd w:val="0"/>
                    <w:jc w:val="center"/>
                    <w:rPr>
                      <w:rFonts w:ascii="Times New Roman" w:hAnsi="Times New Roman"/>
                      <w:sz w:val="21"/>
                      <w:szCs w:val="21"/>
                      <w:lang w:bidi="ar"/>
                    </w:rPr>
                  </w:pPr>
                  <w:r>
                    <w:rPr>
                      <w:rFonts w:hint="eastAsia" w:ascii="Times New Roman" w:hAnsi="Times New Roman"/>
                      <w:sz w:val="21"/>
                      <w:szCs w:val="21"/>
                      <w:lang w:bidi="ar"/>
                    </w:rPr>
                    <w:t>多管旋风、板式、管式、直排、喷淋塔/冲击水浴、其他（移动式烟尘净化器）、单筒（多筒并联）旋风、</w:t>
                  </w:r>
                  <w:r>
                    <w:rPr>
                      <w:rFonts w:ascii="Times New Roman" w:hAnsi="Times New Roman"/>
                      <w:sz w:val="21"/>
                      <w:szCs w:val="21"/>
                      <w:lang w:bidi="ar"/>
                    </w:rPr>
                    <w:t>袋式除尘</w:t>
                  </w:r>
                </w:p>
              </w:tc>
              <w:tc>
                <w:tcPr>
                  <w:tcW w:w="1297" w:type="dxa"/>
                  <w:vAlign w:val="center"/>
                </w:tcPr>
                <w:p w14:paraId="2DAC92E7">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布袋除尘器</w:t>
                  </w:r>
                </w:p>
              </w:tc>
              <w:tc>
                <w:tcPr>
                  <w:tcW w:w="1152" w:type="dxa"/>
                  <w:vAlign w:val="center"/>
                </w:tcPr>
                <w:p w14:paraId="2FCB71A2">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是</w:t>
                  </w:r>
                </w:p>
              </w:tc>
            </w:tr>
            <w:tr w14:paraId="5BE06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14:paraId="0642A8A0">
                  <w:pPr>
                    <w:pStyle w:val="64"/>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预处理</w:t>
                  </w:r>
                </w:p>
              </w:tc>
              <w:tc>
                <w:tcPr>
                  <w:tcW w:w="1701" w:type="dxa"/>
                  <w:vAlign w:val="center"/>
                </w:tcPr>
                <w:p w14:paraId="4555E26B">
                  <w:pPr>
                    <w:pStyle w:val="64"/>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全自动抛光设备</w:t>
                  </w:r>
                </w:p>
              </w:tc>
              <w:tc>
                <w:tcPr>
                  <w:tcW w:w="1282" w:type="dxa"/>
                  <w:vMerge w:val="continue"/>
                  <w:vAlign w:val="center"/>
                </w:tcPr>
                <w:p w14:paraId="3A3BC79B">
                  <w:pPr>
                    <w:pStyle w:val="64"/>
                    <w:jc w:val="center"/>
                    <w:rPr>
                      <w:rFonts w:ascii="Times New Roman" w:hAnsi="Times New Roman" w:eastAsia="宋体" w:cs="Times New Roman"/>
                      <w:color w:val="auto"/>
                      <w:sz w:val="21"/>
                      <w:szCs w:val="21"/>
                    </w:rPr>
                  </w:pPr>
                </w:p>
              </w:tc>
              <w:tc>
                <w:tcPr>
                  <w:tcW w:w="2272" w:type="dxa"/>
                  <w:vAlign w:val="center"/>
                </w:tcPr>
                <w:p w14:paraId="413EDBF3">
                  <w:pPr>
                    <w:pStyle w:val="21"/>
                    <w:widowControl w:val="0"/>
                    <w:autoSpaceDE w:val="0"/>
                    <w:autoSpaceDN w:val="0"/>
                    <w:adjustRightInd w:val="0"/>
                    <w:spacing w:before="0" w:beforeAutospacing="0" w:after="0" w:afterAutospacing="0"/>
                    <w:jc w:val="center"/>
                    <w:rPr>
                      <w:rFonts w:ascii="Times New Roman" w:hAnsi="Times New Roman"/>
                      <w:b/>
                      <w:bCs/>
                      <w:sz w:val="21"/>
                      <w:szCs w:val="21"/>
                      <w:lang w:bidi="ar"/>
                    </w:rPr>
                  </w:pPr>
                  <w:r>
                    <w:rPr>
                      <w:rFonts w:hint="eastAsia" w:ascii="Times New Roman" w:hAnsi="Times New Roman"/>
                      <w:sz w:val="21"/>
                      <w:szCs w:val="21"/>
                      <w:lang w:bidi="ar"/>
                    </w:rPr>
                    <w:t>单筒（多筒并联）旋风、板式、管式、直排、喷淋塔/冲击水浴、多管旋风、</w:t>
                  </w:r>
                  <w:r>
                    <w:rPr>
                      <w:rFonts w:ascii="Times New Roman" w:hAnsi="Times New Roman"/>
                      <w:sz w:val="21"/>
                      <w:szCs w:val="21"/>
                      <w:lang w:bidi="ar"/>
                    </w:rPr>
                    <w:t>袋式除尘</w:t>
                  </w:r>
                </w:p>
              </w:tc>
              <w:tc>
                <w:tcPr>
                  <w:tcW w:w="1297" w:type="dxa"/>
                  <w:vAlign w:val="center"/>
                </w:tcPr>
                <w:p w14:paraId="13D41C00">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布袋除尘器</w:t>
                  </w:r>
                </w:p>
              </w:tc>
              <w:tc>
                <w:tcPr>
                  <w:tcW w:w="1152" w:type="dxa"/>
                  <w:vAlign w:val="center"/>
                </w:tcPr>
                <w:p w14:paraId="003A2A2D">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是</w:t>
                  </w:r>
                </w:p>
              </w:tc>
            </w:tr>
            <w:tr w14:paraId="67BF6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14:paraId="71C2B696">
                  <w:pPr>
                    <w:pStyle w:val="64"/>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喷塑</w:t>
                  </w:r>
                </w:p>
              </w:tc>
              <w:tc>
                <w:tcPr>
                  <w:tcW w:w="1701" w:type="dxa"/>
                  <w:vAlign w:val="center"/>
                </w:tcPr>
                <w:p w14:paraId="5AE23785">
                  <w:pPr>
                    <w:pStyle w:val="64"/>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喷塑房</w:t>
                  </w:r>
                </w:p>
              </w:tc>
              <w:tc>
                <w:tcPr>
                  <w:tcW w:w="1282" w:type="dxa"/>
                  <w:vAlign w:val="center"/>
                </w:tcPr>
                <w:p w14:paraId="037D9780">
                  <w:pPr>
                    <w:pStyle w:val="64"/>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bidi="ar"/>
                    </w:rPr>
                    <w:t>颗粒物</w:t>
                  </w:r>
                </w:p>
              </w:tc>
              <w:tc>
                <w:tcPr>
                  <w:tcW w:w="2272" w:type="dxa"/>
                  <w:vAlign w:val="center"/>
                </w:tcPr>
                <w:p w14:paraId="2E8CB7D7">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hint="eastAsia" w:ascii="Times New Roman" w:hAnsi="Times New Roman"/>
                      <w:sz w:val="21"/>
                      <w:szCs w:val="21"/>
                      <w:lang w:bidi="ar"/>
                    </w:rPr>
                    <w:t>直排、</w:t>
                  </w:r>
                  <w:r>
                    <w:rPr>
                      <w:rFonts w:ascii="Times New Roman" w:hAnsi="Times New Roman"/>
                      <w:sz w:val="21"/>
                      <w:szCs w:val="21"/>
                      <w:lang w:bidi="ar"/>
                    </w:rPr>
                    <w:t>袋式除尘、</w:t>
                  </w:r>
                  <w:r>
                    <w:rPr>
                      <w:rFonts w:hint="eastAsia" w:ascii="Times New Roman" w:hAnsi="Times New Roman"/>
                      <w:sz w:val="21"/>
                      <w:szCs w:val="21"/>
                      <w:lang w:bidi="ar"/>
                    </w:rPr>
                    <w:t>板式、管式、文丘里、</w:t>
                  </w:r>
                  <w:r>
                    <w:rPr>
                      <w:sz w:val="21"/>
                      <w:szCs w:val="21"/>
                    </w:rPr>
                    <w:t>喷淋塔/冲击水浴、单筒（多筒并联）、旋风、</w:t>
                  </w:r>
                  <w:r>
                    <w:rPr>
                      <w:rFonts w:hint="eastAsia" w:ascii="Times New Roman" w:hAnsi="Times New Roman"/>
                      <w:sz w:val="21"/>
                      <w:szCs w:val="21"/>
                      <w:lang w:bidi="ar"/>
                    </w:rPr>
                    <w:t>多管旋风、</w:t>
                  </w:r>
                </w:p>
              </w:tc>
              <w:tc>
                <w:tcPr>
                  <w:tcW w:w="1297" w:type="dxa"/>
                  <w:vAlign w:val="center"/>
                </w:tcPr>
                <w:p w14:paraId="160D3B67">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布袋除尘器</w:t>
                  </w:r>
                </w:p>
              </w:tc>
              <w:tc>
                <w:tcPr>
                  <w:tcW w:w="1152" w:type="dxa"/>
                  <w:vAlign w:val="center"/>
                </w:tcPr>
                <w:p w14:paraId="15D9CA0B">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是</w:t>
                  </w:r>
                </w:p>
              </w:tc>
            </w:tr>
            <w:tr w14:paraId="7B179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dxa"/>
                  <w:vAlign w:val="center"/>
                </w:tcPr>
                <w:p w14:paraId="1A92D7CF">
                  <w:pPr>
                    <w:pStyle w:val="64"/>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固化</w:t>
                  </w:r>
                </w:p>
              </w:tc>
              <w:tc>
                <w:tcPr>
                  <w:tcW w:w="1701" w:type="dxa"/>
                  <w:vAlign w:val="center"/>
                </w:tcPr>
                <w:p w14:paraId="49D1ADA5">
                  <w:pPr>
                    <w:pStyle w:val="64"/>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固化间</w:t>
                  </w:r>
                </w:p>
              </w:tc>
              <w:tc>
                <w:tcPr>
                  <w:tcW w:w="1282" w:type="dxa"/>
                  <w:vAlign w:val="center"/>
                </w:tcPr>
                <w:p w14:paraId="3F00C078">
                  <w:pPr>
                    <w:pStyle w:val="64"/>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V</w:t>
                  </w:r>
                  <w:r>
                    <w:rPr>
                      <w:rFonts w:ascii="Times New Roman" w:hAnsi="Times New Roman" w:eastAsia="宋体" w:cs="Times New Roman"/>
                      <w:color w:val="auto"/>
                      <w:sz w:val="21"/>
                      <w:szCs w:val="21"/>
                    </w:rPr>
                    <w:t>OCs</w:t>
                  </w:r>
                </w:p>
              </w:tc>
              <w:tc>
                <w:tcPr>
                  <w:tcW w:w="2272" w:type="dxa"/>
                  <w:vAlign w:val="center"/>
                </w:tcPr>
                <w:p w14:paraId="413600CB">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hint="eastAsia" w:ascii="Times New Roman" w:hAnsi="Times New Roman"/>
                      <w:sz w:val="21"/>
                      <w:szCs w:val="21"/>
                      <w:lang w:bidi="ar"/>
                    </w:rPr>
                    <w:t>直排、直接燃烧法、热力燃烧法、吸附/热力燃烧法、蓄热式热力燃烧法、催化燃烧法、吸附/催化燃烧法、蓄热式催化燃烧法、低温等离子体、光解、光催化、其他（吸附法）</w:t>
                  </w:r>
                </w:p>
              </w:tc>
              <w:tc>
                <w:tcPr>
                  <w:tcW w:w="1297" w:type="dxa"/>
                  <w:vAlign w:val="center"/>
                </w:tcPr>
                <w:p w14:paraId="38787FE5">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二级活性炭</w:t>
                  </w:r>
                </w:p>
              </w:tc>
              <w:tc>
                <w:tcPr>
                  <w:tcW w:w="1152" w:type="dxa"/>
                  <w:vAlign w:val="center"/>
                </w:tcPr>
                <w:p w14:paraId="4EF285F3">
                  <w:pPr>
                    <w:pStyle w:val="21"/>
                    <w:widowControl w:val="0"/>
                    <w:autoSpaceDE w:val="0"/>
                    <w:autoSpaceDN w:val="0"/>
                    <w:adjustRightIn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是</w:t>
                  </w:r>
                </w:p>
              </w:tc>
            </w:tr>
          </w:tbl>
          <w:p w14:paraId="6FA0DC15">
            <w:pPr>
              <w:spacing w:line="360" w:lineRule="auto"/>
              <w:ind w:firstLine="480" w:firstLineChars="200"/>
              <w:rPr>
                <w:sz w:val="24"/>
              </w:rPr>
            </w:pPr>
            <w:bookmarkStart w:id="183" w:name="OLE_LINK159"/>
            <w:r>
              <w:rPr>
                <w:sz w:val="24"/>
              </w:rPr>
              <w:t>本项目</w:t>
            </w:r>
            <w:r>
              <w:rPr>
                <w:rFonts w:hint="eastAsia"/>
                <w:sz w:val="24"/>
              </w:rPr>
              <w:t>切割粉尘</w:t>
            </w:r>
            <w:r>
              <w:rPr>
                <w:sz w:val="24"/>
              </w:rPr>
              <w:t>、</w:t>
            </w:r>
            <w:r>
              <w:rPr>
                <w:rFonts w:hint="eastAsia"/>
                <w:sz w:val="24"/>
              </w:rPr>
              <w:t>焊接烟尘、抛光粉尘</w:t>
            </w:r>
            <w:r>
              <w:rPr>
                <w:sz w:val="24"/>
              </w:rPr>
              <w:t>经集气罩收集后送至布袋除尘器（TA001）处理，通过1根15m高排气筒（DA001）排放；</w:t>
            </w:r>
            <w:r>
              <w:rPr>
                <w:rFonts w:hint="eastAsia"/>
                <w:sz w:val="24"/>
              </w:rPr>
              <w:t>喷塑粉尘经过集气管道收集后经布袋除尘器（TA002）处理后，由1根15m高排气筒（DA002）排放；固化工序产生的VOCs经集气管道收集后经二级活性炭吸附装置（TA003）处理后，由1根15m高排气筒（DA003）排放</w:t>
            </w:r>
            <w:r>
              <w:rPr>
                <w:sz w:val="24"/>
              </w:rPr>
              <w:t>。</w:t>
            </w:r>
            <w:bookmarkEnd w:id="183"/>
            <w:r>
              <w:rPr>
                <w:rFonts w:hint="eastAsia"/>
                <w:bCs/>
                <w:sz w:val="24"/>
              </w:rPr>
              <w:t>因此，本项目采用的环保措施均为可行性技术。</w:t>
            </w:r>
          </w:p>
          <w:p w14:paraId="79FA0F92">
            <w:pPr>
              <w:spacing w:line="360" w:lineRule="auto"/>
              <w:ind w:firstLine="480" w:firstLineChars="200"/>
              <w:rPr>
                <w:bCs/>
                <w:sz w:val="24"/>
              </w:rPr>
            </w:pPr>
            <w:r>
              <w:rPr>
                <w:rFonts w:hint="eastAsia"/>
                <w:bCs/>
                <w:sz w:val="24"/>
              </w:rPr>
              <w:t>本项目固化废气采用二级活性炭吸附装置处理，活性炭吸附技术是利用活性炭吸附废气中VOCs，使之与废气分离的方法技术，</w:t>
            </w:r>
            <w:r>
              <w:rPr>
                <w:rStyle w:val="34"/>
                <w:rFonts w:hint="eastAsia"/>
                <w:bCs/>
                <w:color w:val="auto"/>
                <w:sz w:val="24"/>
                <w:u w:val="none"/>
              </w:rPr>
              <w:t>活性炭</w:t>
            </w:r>
            <w:r>
              <w:rPr>
                <w:rFonts w:hint="eastAsia"/>
                <w:bCs/>
                <w:sz w:val="24"/>
              </w:rPr>
              <w:t>是一种多孔性的含炭物质，它具有高度发达的</w:t>
            </w:r>
            <w:r>
              <w:fldChar w:fldCharType="begin"/>
            </w:r>
            <w:r>
              <w:instrText xml:space="preserve"> HYPERLINK "http://www.so.com/s?q=%E5%AD%94%E9%9A%99&amp;ie=utf-8&amp;src=internal_wenda_recommend_textn" </w:instrText>
            </w:r>
            <w:r>
              <w:fldChar w:fldCharType="separate"/>
            </w:r>
            <w:r>
              <w:rPr>
                <w:rStyle w:val="34"/>
                <w:rFonts w:hint="eastAsia"/>
                <w:bCs/>
                <w:color w:val="auto"/>
                <w:sz w:val="24"/>
                <w:u w:val="none"/>
              </w:rPr>
              <w:t>孔隙</w:t>
            </w:r>
            <w:r>
              <w:rPr>
                <w:rStyle w:val="34"/>
                <w:rFonts w:hint="eastAsia"/>
                <w:bCs/>
                <w:color w:val="auto"/>
                <w:sz w:val="24"/>
                <w:u w:val="none"/>
              </w:rPr>
              <w:fldChar w:fldCharType="end"/>
            </w:r>
            <w:r>
              <w:rPr>
                <w:rFonts w:hint="eastAsia"/>
                <w:bCs/>
                <w:sz w:val="24"/>
              </w:rPr>
              <w:t>构造，活性炭的多孔</w:t>
            </w:r>
            <w:r>
              <w:fldChar w:fldCharType="begin"/>
            </w:r>
            <w:r>
              <w:instrText xml:space="preserve"> HYPERLINK "http://www.so.com/s?q=%E7%BB%93%E6%9E%84&amp;ie=utf-8&amp;src=internal_wenda_recommend_textn" </w:instrText>
            </w:r>
            <w:r>
              <w:fldChar w:fldCharType="separate"/>
            </w:r>
            <w:r>
              <w:rPr>
                <w:rStyle w:val="34"/>
                <w:rFonts w:hint="eastAsia"/>
                <w:bCs/>
                <w:color w:val="auto"/>
                <w:sz w:val="24"/>
                <w:u w:val="none"/>
              </w:rPr>
              <w:t>结构</w:t>
            </w:r>
            <w:r>
              <w:rPr>
                <w:rStyle w:val="34"/>
                <w:rFonts w:hint="eastAsia"/>
                <w:bCs/>
                <w:color w:val="auto"/>
                <w:sz w:val="24"/>
                <w:u w:val="none"/>
              </w:rPr>
              <w:fldChar w:fldCharType="end"/>
            </w:r>
            <w:r>
              <w:rPr>
                <w:rFonts w:hint="eastAsia"/>
                <w:bCs/>
                <w:sz w:val="24"/>
              </w:rPr>
              <w:t>为其提供了大量的</w:t>
            </w:r>
            <w:r>
              <w:fldChar w:fldCharType="begin"/>
            </w:r>
            <w:r>
              <w:instrText xml:space="preserve"> HYPERLINK "http://www.so.com/s?q=%E8%A1%A8%E9%9D%A2%E7%A7%AF&amp;ie=utf-8&amp;src=internal_wenda_recommend_textn" </w:instrText>
            </w:r>
            <w:r>
              <w:fldChar w:fldCharType="separate"/>
            </w:r>
            <w:r>
              <w:rPr>
                <w:rStyle w:val="34"/>
                <w:rFonts w:hint="eastAsia"/>
                <w:bCs/>
                <w:color w:val="auto"/>
                <w:sz w:val="24"/>
                <w:u w:val="none"/>
              </w:rPr>
              <w:t>表面积</w:t>
            </w:r>
            <w:r>
              <w:rPr>
                <w:rStyle w:val="34"/>
                <w:rFonts w:hint="eastAsia"/>
                <w:bCs/>
                <w:color w:val="auto"/>
                <w:sz w:val="24"/>
                <w:u w:val="none"/>
              </w:rPr>
              <w:fldChar w:fldCharType="end"/>
            </w:r>
            <w:r>
              <w:rPr>
                <w:rFonts w:hint="eastAsia"/>
                <w:bCs/>
                <w:sz w:val="24"/>
              </w:rPr>
              <w:t>，能与气体（杂质）充分接触，从而赋予了活性炭所特有的</w:t>
            </w:r>
            <w:r>
              <w:fldChar w:fldCharType="begin"/>
            </w:r>
            <w:r>
              <w:instrText xml:space="preserve"> HYPERLINK "http://www.so.com/s?q=%E5%90%B8%E9%99%84%E6%80%A7&amp;ie=utf-8&amp;src=internal_wenda_recommend_textn" </w:instrText>
            </w:r>
            <w:r>
              <w:fldChar w:fldCharType="separate"/>
            </w:r>
            <w:r>
              <w:rPr>
                <w:rStyle w:val="34"/>
                <w:rFonts w:hint="eastAsia"/>
                <w:bCs/>
                <w:color w:val="auto"/>
                <w:sz w:val="24"/>
                <w:u w:val="none"/>
              </w:rPr>
              <w:t>吸附性</w:t>
            </w:r>
            <w:r>
              <w:rPr>
                <w:rStyle w:val="34"/>
                <w:rFonts w:hint="eastAsia"/>
                <w:bCs/>
                <w:color w:val="auto"/>
                <w:sz w:val="24"/>
                <w:u w:val="none"/>
              </w:rPr>
              <w:fldChar w:fldCharType="end"/>
            </w:r>
            <w:r>
              <w:rPr>
                <w:rFonts w:hint="eastAsia"/>
                <w:bCs/>
                <w:sz w:val="24"/>
              </w:rPr>
              <w:t>能，使其非常容易达到吸收收集杂质的</w:t>
            </w:r>
            <w:r>
              <w:fldChar w:fldCharType="begin"/>
            </w:r>
            <w:r>
              <w:instrText xml:space="preserve"> HYPERLINK "http://www.so.com/s?q=%E7%9B%AE%E7%9A%84&amp;ie=utf-8&amp;src=internal_wenda_recommend_textn" </w:instrText>
            </w:r>
            <w:r>
              <w:fldChar w:fldCharType="separate"/>
            </w:r>
            <w:r>
              <w:rPr>
                <w:rStyle w:val="34"/>
                <w:rFonts w:hint="eastAsia"/>
                <w:bCs/>
                <w:color w:val="auto"/>
                <w:sz w:val="24"/>
                <w:u w:val="none"/>
              </w:rPr>
              <w:t>目的</w:t>
            </w:r>
            <w:r>
              <w:rPr>
                <w:rStyle w:val="34"/>
                <w:rFonts w:hint="eastAsia"/>
                <w:bCs/>
                <w:color w:val="auto"/>
                <w:sz w:val="24"/>
                <w:u w:val="none"/>
              </w:rPr>
              <w:fldChar w:fldCharType="end"/>
            </w:r>
            <w:r>
              <w:rPr>
                <w:rFonts w:hint="eastAsia"/>
                <w:bCs/>
                <w:sz w:val="24"/>
              </w:rPr>
              <w:t>。就</w:t>
            </w:r>
            <w:r>
              <w:rPr>
                <w:rFonts w:hint="eastAsia"/>
                <w:bCs/>
                <w:sz w:val="24"/>
                <w:lang w:eastAsia="zh-CN"/>
              </w:rPr>
              <w:t>像</w:t>
            </w:r>
            <w:r>
              <w:fldChar w:fldCharType="begin"/>
            </w:r>
            <w:r>
              <w:instrText xml:space="preserve"> HYPERLINK "http://www.so.com/s?q=%E7%A3%81%E5%8A%9B&amp;ie=utf-8&amp;src=internal_wenda_recommend_textn" </w:instrText>
            </w:r>
            <w:r>
              <w:fldChar w:fldCharType="separate"/>
            </w:r>
            <w:r>
              <w:rPr>
                <w:rStyle w:val="34"/>
                <w:rFonts w:hint="eastAsia"/>
                <w:bCs/>
                <w:color w:val="auto"/>
                <w:sz w:val="24"/>
                <w:u w:val="none"/>
              </w:rPr>
              <w:t>磁力</w:t>
            </w:r>
            <w:r>
              <w:rPr>
                <w:rStyle w:val="34"/>
                <w:rFonts w:hint="eastAsia"/>
                <w:bCs/>
                <w:color w:val="auto"/>
                <w:sz w:val="24"/>
                <w:u w:val="none"/>
              </w:rPr>
              <w:fldChar w:fldCharType="end"/>
            </w:r>
            <w:r>
              <w:rPr>
                <w:rFonts w:hint="eastAsia"/>
                <w:bCs/>
                <w:sz w:val="24"/>
              </w:rPr>
              <w:t>一样，所有的</w:t>
            </w:r>
            <w:r>
              <w:fldChar w:fldCharType="begin"/>
            </w:r>
            <w:r>
              <w:instrText xml:space="preserve"> HYPERLINK "http://www.so.com/s?q=%E5%88%86%E5%AD%90&amp;ie=utf-8&amp;src=internal_wenda_recommend_textn" </w:instrText>
            </w:r>
            <w:r>
              <w:fldChar w:fldCharType="separate"/>
            </w:r>
            <w:r>
              <w:rPr>
                <w:rStyle w:val="34"/>
                <w:rFonts w:hint="eastAsia"/>
                <w:bCs/>
                <w:color w:val="auto"/>
                <w:sz w:val="24"/>
                <w:u w:val="none"/>
              </w:rPr>
              <w:t>分子</w:t>
            </w:r>
            <w:r>
              <w:rPr>
                <w:rStyle w:val="34"/>
                <w:rFonts w:hint="eastAsia"/>
                <w:bCs/>
                <w:color w:val="auto"/>
                <w:sz w:val="24"/>
                <w:u w:val="none"/>
              </w:rPr>
              <w:fldChar w:fldCharType="end"/>
            </w:r>
            <w:r>
              <w:rPr>
                <w:rFonts w:hint="eastAsia"/>
                <w:bCs/>
                <w:sz w:val="24"/>
              </w:rPr>
              <w:t>之间都具有相互</w:t>
            </w:r>
            <w:r>
              <w:fldChar w:fldCharType="begin"/>
            </w:r>
            <w:r>
              <w:instrText xml:space="preserve"> HYPERLINK "http://www.so.com/s?q=%E5%BC%95%E5%8A%9B&amp;ie=utf-8&amp;src=internal_wenda_recommend_textn" </w:instrText>
            </w:r>
            <w:r>
              <w:fldChar w:fldCharType="separate"/>
            </w:r>
            <w:r>
              <w:rPr>
                <w:rStyle w:val="34"/>
                <w:rFonts w:hint="eastAsia"/>
                <w:bCs/>
                <w:color w:val="auto"/>
                <w:sz w:val="24"/>
                <w:u w:val="none"/>
              </w:rPr>
              <w:t>引力</w:t>
            </w:r>
            <w:r>
              <w:rPr>
                <w:rStyle w:val="34"/>
                <w:rFonts w:hint="eastAsia"/>
                <w:bCs/>
                <w:color w:val="auto"/>
                <w:sz w:val="24"/>
                <w:u w:val="none"/>
              </w:rPr>
              <w:fldChar w:fldCharType="end"/>
            </w:r>
            <w:r>
              <w:rPr>
                <w:rFonts w:hint="eastAsia"/>
                <w:bCs/>
                <w:sz w:val="24"/>
              </w:rPr>
              <w:t>。正因为如此，活性炭孔壁上的大量的分子可以产生强大的引力，从而达到将有害的杂质吸引到</w:t>
            </w:r>
            <w:r>
              <w:fldChar w:fldCharType="begin"/>
            </w:r>
            <w:r>
              <w:instrText xml:space="preserve"> HYPERLINK "http://www.so.com/s?q=%E5%AD%94%E5%BE%84&amp;ie=utf-8&amp;src=internal_wenda_recommend_textn" </w:instrText>
            </w:r>
            <w:r>
              <w:fldChar w:fldCharType="separate"/>
            </w:r>
            <w:r>
              <w:rPr>
                <w:rStyle w:val="34"/>
                <w:rFonts w:hint="eastAsia"/>
                <w:bCs/>
                <w:color w:val="auto"/>
                <w:sz w:val="24"/>
                <w:u w:val="none"/>
              </w:rPr>
              <w:t>孔径</w:t>
            </w:r>
            <w:r>
              <w:rPr>
                <w:rStyle w:val="34"/>
                <w:rFonts w:hint="eastAsia"/>
                <w:bCs/>
                <w:color w:val="auto"/>
                <w:sz w:val="24"/>
                <w:u w:val="none"/>
              </w:rPr>
              <w:fldChar w:fldCharType="end"/>
            </w:r>
            <w:r>
              <w:rPr>
                <w:rFonts w:hint="eastAsia"/>
                <w:bCs/>
                <w:sz w:val="24"/>
              </w:rPr>
              <w:t>中的目的。目前吸附技术主要包括固定床吸附技术、移动床吸附技术、流化床吸附技术、旋转式吸附技术。项目固化废气治理设施二级活性炭吸附装置选用固定床吸附技术。</w:t>
            </w:r>
          </w:p>
          <w:p w14:paraId="1F368D8A">
            <w:pPr>
              <w:pStyle w:val="7"/>
              <w:spacing w:line="360" w:lineRule="auto"/>
              <w:ind w:firstLine="480" w:firstLineChars="200"/>
            </w:pPr>
            <w:r>
              <w:rPr>
                <w:rFonts w:hint="eastAsia"/>
              </w:rPr>
              <w:t xml:space="preserve">根据《挥发性有机物无组织排放控制标准》（GB37822-2019），本项目应采取的无组织控制措施如下： </w:t>
            </w:r>
          </w:p>
          <w:p w14:paraId="6C9DE17E">
            <w:pPr>
              <w:spacing w:line="360" w:lineRule="auto"/>
              <w:ind w:firstLine="480" w:firstLineChars="200"/>
              <w:rPr>
                <w:bCs/>
                <w:sz w:val="24"/>
              </w:rPr>
            </w:pPr>
            <w:r>
              <w:rPr>
                <w:rFonts w:hint="eastAsia"/>
                <w:bCs/>
                <w:sz w:val="24"/>
              </w:rPr>
              <w:t>①塑粉应储存于密闭的容器、包装袋、储罐、储库、料仓中。</w:t>
            </w:r>
          </w:p>
          <w:p w14:paraId="42FE6F67">
            <w:pPr>
              <w:spacing w:line="360" w:lineRule="auto"/>
              <w:ind w:firstLine="480" w:firstLineChars="200"/>
              <w:rPr>
                <w:bCs/>
                <w:sz w:val="24"/>
              </w:rPr>
            </w:pPr>
            <w:r>
              <w:rPr>
                <w:rFonts w:hint="eastAsia"/>
                <w:bCs/>
                <w:sz w:val="24"/>
              </w:rPr>
              <w:t>②盛装塑粉的容器或包装袋应存放于室内，或存放于设置有雨棚、遮阳和防渗设施的专用场地。盛装塑粉的容器或包装袋在非取用状态时应加盖、封口，保持密闭。</w:t>
            </w:r>
          </w:p>
          <w:p w14:paraId="7709D805">
            <w:pPr>
              <w:spacing w:line="360" w:lineRule="auto"/>
              <w:ind w:firstLine="480" w:firstLineChars="200"/>
              <w:rPr>
                <w:bCs/>
                <w:sz w:val="24"/>
              </w:rPr>
            </w:pPr>
            <w:r>
              <w:rPr>
                <w:rFonts w:hint="eastAsia"/>
                <w:bCs/>
                <w:sz w:val="24"/>
              </w:rPr>
              <w:t>③塑粉应在密闭空间内操作，或进行局部气体收集，废气应排至除尘设施、VOCs废气收集处理系统。</w:t>
            </w:r>
          </w:p>
          <w:p w14:paraId="569BB9A7">
            <w:pPr>
              <w:spacing w:line="360" w:lineRule="auto"/>
              <w:ind w:firstLine="480" w:firstLineChars="200"/>
              <w:rPr>
                <w:bCs/>
                <w:sz w:val="24"/>
              </w:rPr>
            </w:pPr>
            <w:r>
              <w:rPr>
                <w:rFonts w:hint="eastAsia"/>
                <w:bCs/>
                <w:sz w:val="24"/>
              </w:rPr>
              <w:t>④建立台账，记录废气收集系统、VOCs处理设施的主要运行和维护信息，定期更换活性炭，定期维护催化燃烧装置，保证废气达标排放。</w:t>
            </w:r>
          </w:p>
          <w:p w14:paraId="7021E3F8">
            <w:pPr>
              <w:spacing w:line="360" w:lineRule="auto"/>
              <w:ind w:firstLine="482" w:firstLineChars="200"/>
              <w:rPr>
                <w:b/>
                <w:sz w:val="24"/>
              </w:rPr>
            </w:pPr>
            <w:r>
              <w:rPr>
                <w:b/>
                <w:sz w:val="24"/>
              </w:rPr>
              <w:t>3、非正常工况废气排放情况</w:t>
            </w:r>
          </w:p>
          <w:p w14:paraId="37E0E628">
            <w:pPr>
              <w:spacing w:line="360" w:lineRule="auto"/>
              <w:ind w:firstLine="480" w:firstLineChars="200"/>
              <w:rPr>
                <w:sz w:val="24"/>
              </w:rPr>
            </w:pPr>
            <w:r>
              <w:rPr>
                <w:sz w:val="24"/>
              </w:rPr>
              <w:t>非正常工况下本项目污染源废气排放见表29。</w:t>
            </w:r>
          </w:p>
          <w:p w14:paraId="02229CB6">
            <w:pPr>
              <w:spacing w:after="120" w:afterLines="50"/>
              <w:jc w:val="center"/>
            </w:pPr>
            <w:r>
              <w:rPr>
                <w:b/>
                <w:kern w:val="0"/>
                <w:sz w:val="24"/>
              </w:rPr>
              <w:t xml:space="preserve">表29 </w:t>
            </w:r>
            <w:r>
              <w:rPr>
                <w:b/>
                <w:sz w:val="24"/>
              </w:rPr>
              <w:t>项目污染源非正常排放情况表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36"/>
              <w:gridCol w:w="1106"/>
              <w:gridCol w:w="1126"/>
              <w:gridCol w:w="1295"/>
              <w:gridCol w:w="1422"/>
              <w:gridCol w:w="998"/>
              <w:gridCol w:w="1152"/>
              <w:gridCol w:w="750"/>
            </w:tblGrid>
            <w:tr w14:paraId="7DB73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shd w:val="clear" w:color="auto" w:fill="auto"/>
                  <w:vAlign w:val="center"/>
                </w:tcPr>
                <w:p w14:paraId="315EF70E">
                  <w:pPr>
                    <w:jc w:val="center"/>
                    <w:rPr>
                      <w:b/>
                      <w:szCs w:val="21"/>
                    </w:rPr>
                  </w:pPr>
                  <w:r>
                    <w:rPr>
                      <w:b/>
                      <w:szCs w:val="21"/>
                    </w:rPr>
                    <w:t>序号</w:t>
                  </w:r>
                </w:p>
              </w:tc>
              <w:tc>
                <w:tcPr>
                  <w:tcW w:w="644" w:type="pct"/>
                  <w:shd w:val="clear" w:color="auto" w:fill="auto"/>
                  <w:vAlign w:val="center"/>
                </w:tcPr>
                <w:p w14:paraId="58C51A5D">
                  <w:pPr>
                    <w:jc w:val="center"/>
                    <w:rPr>
                      <w:b/>
                      <w:szCs w:val="21"/>
                    </w:rPr>
                  </w:pPr>
                  <w:r>
                    <w:rPr>
                      <w:b/>
                      <w:szCs w:val="21"/>
                    </w:rPr>
                    <w:t>污染源</w:t>
                  </w:r>
                </w:p>
              </w:tc>
              <w:tc>
                <w:tcPr>
                  <w:tcW w:w="656" w:type="pct"/>
                  <w:shd w:val="clear" w:color="auto" w:fill="auto"/>
                  <w:vAlign w:val="center"/>
                </w:tcPr>
                <w:p w14:paraId="235CD8BE">
                  <w:pPr>
                    <w:jc w:val="center"/>
                    <w:rPr>
                      <w:b/>
                      <w:szCs w:val="21"/>
                    </w:rPr>
                  </w:pPr>
                  <w:r>
                    <w:rPr>
                      <w:b/>
                      <w:szCs w:val="21"/>
                    </w:rPr>
                    <w:t>非正常排放原因</w:t>
                  </w:r>
                </w:p>
              </w:tc>
              <w:tc>
                <w:tcPr>
                  <w:tcW w:w="754" w:type="pct"/>
                  <w:shd w:val="clear" w:color="auto" w:fill="auto"/>
                  <w:vAlign w:val="center"/>
                </w:tcPr>
                <w:p w14:paraId="13BC9F65">
                  <w:pPr>
                    <w:jc w:val="center"/>
                    <w:rPr>
                      <w:b/>
                      <w:szCs w:val="21"/>
                    </w:rPr>
                  </w:pPr>
                  <w:r>
                    <w:rPr>
                      <w:b/>
                      <w:szCs w:val="21"/>
                    </w:rPr>
                    <w:t>污染物</w:t>
                  </w:r>
                </w:p>
              </w:tc>
              <w:tc>
                <w:tcPr>
                  <w:tcW w:w="828" w:type="pct"/>
                  <w:shd w:val="clear" w:color="auto" w:fill="auto"/>
                  <w:vAlign w:val="center"/>
                </w:tcPr>
                <w:p w14:paraId="4289A427">
                  <w:pPr>
                    <w:jc w:val="center"/>
                    <w:rPr>
                      <w:b/>
                      <w:szCs w:val="21"/>
                    </w:rPr>
                  </w:pPr>
                  <w:r>
                    <w:rPr>
                      <w:b/>
                      <w:szCs w:val="21"/>
                    </w:rPr>
                    <w:t>非正常排放浓度/（</w:t>
                  </w:r>
                  <w:r>
                    <w:rPr>
                      <w:b/>
                      <w:szCs w:val="21"/>
                      <w:shd w:val="clear" w:color="auto" w:fill="FFFFFF"/>
                    </w:rPr>
                    <w:t>m</w:t>
                  </w:r>
                  <w:r>
                    <w:rPr>
                      <w:b/>
                      <w:szCs w:val="21"/>
                    </w:rPr>
                    <w:t>g/m</w:t>
                  </w:r>
                  <w:r>
                    <w:rPr>
                      <w:b/>
                      <w:szCs w:val="21"/>
                      <w:vertAlign w:val="superscript"/>
                    </w:rPr>
                    <w:t>3</w:t>
                  </w:r>
                  <w:r>
                    <w:rPr>
                      <w:b/>
                      <w:szCs w:val="21"/>
                    </w:rPr>
                    <w:t>）</w:t>
                  </w:r>
                </w:p>
              </w:tc>
              <w:tc>
                <w:tcPr>
                  <w:tcW w:w="581" w:type="pct"/>
                  <w:shd w:val="clear" w:color="auto" w:fill="auto"/>
                  <w:vAlign w:val="center"/>
                </w:tcPr>
                <w:p w14:paraId="02E94463">
                  <w:pPr>
                    <w:jc w:val="center"/>
                    <w:rPr>
                      <w:b/>
                      <w:szCs w:val="21"/>
                    </w:rPr>
                  </w:pPr>
                  <w:r>
                    <w:rPr>
                      <w:b/>
                      <w:szCs w:val="21"/>
                    </w:rPr>
                    <w:t>非正常排放速率/（kg/h）</w:t>
                  </w:r>
                </w:p>
              </w:tc>
              <w:tc>
                <w:tcPr>
                  <w:tcW w:w="671" w:type="pct"/>
                  <w:shd w:val="clear" w:color="auto" w:fill="auto"/>
                  <w:vAlign w:val="center"/>
                </w:tcPr>
                <w:p w14:paraId="57F7D617">
                  <w:pPr>
                    <w:jc w:val="center"/>
                    <w:rPr>
                      <w:b/>
                      <w:szCs w:val="21"/>
                    </w:rPr>
                  </w:pPr>
                  <w:r>
                    <w:rPr>
                      <w:b/>
                      <w:szCs w:val="21"/>
                    </w:rPr>
                    <w:t>单次持续</w:t>
                  </w:r>
                </w:p>
                <w:p w14:paraId="7B5541F6">
                  <w:pPr>
                    <w:jc w:val="center"/>
                    <w:rPr>
                      <w:b/>
                      <w:szCs w:val="21"/>
                    </w:rPr>
                  </w:pPr>
                  <w:r>
                    <w:rPr>
                      <w:b/>
                      <w:szCs w:val="21"/>
                    </w:rPr>
                    <w:t>时间/h</w:t>
                  </w:r>
                </w:p>
              </w:tc>
              <w:tc>
                <w:tcPr>
                  <w:tcW w:w="437" w:type="pct"/>
                  <w:shd w:val="clear" w:color="auto" w:fill="auto"/>
                  <w:vAlign w:val="center"/>
                </w:tcPr>
                <w:p w14:paraId="7195F8AE">
                  <w:pPr>
                    <w:jc w:val="center"/>
                    <w:rPr>
                      <w:b/>
                      <w:szCs w:val="21"/>
                    </w:rPr>
                  </w:pPr>
                  <w:r>
                    <w:rPr>
                      <w:b/>
                      <w:szCs w:val="21"/>
                    </w:rPr>
                    <w:t>年发生频次/次</w:t>
                  </w:r>
                </w:p>
              </w:tc>
            </w:tr>
            <w:tr w14:paraId="2585E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96" w:hRule="atLeast"/>
              </w:trPr>
              <w:tc>
                <w:tcPr>
                  <w:tcW w:w="429" w:type="pct"/>
                  <w:shd w:val="clear" w:color="auto" w:fill="auto"/>
                  <w:vAlign w:val="center"/>
                </w:tcPr>
                <w:p w14:paraId="6F76EAD8">
                  <w:pPr>
                    <w:jc w:val="center"/>
                    <w:rPr>
                      <w:szCs w:val="21"/>
                    </w:rPr>
                  </w:pPr>
                  <w:r>
                    <w:rPr>
                      <w:szCs w:val="21"/>
                    </w:rPr>
                    <w:t>DA001</w:t>
                  </w:r>
                </w:p>
              </w:tc>
              <w:tc>
                <w:tcPr>
                  <w:tcW w:w="644" w:type="pct"/>
                  <w:shd w:val="clear" w:color="auto" w:fill="auto"/>
                  <w:vAlign w:val="center"/>
                </w:tcPr>
                <w:p w14:paraId="21CC5F81">
                  <w:pPr>
                    <w:jc w:val="center"/>
                    <w:rPr>
                      <w:szCs w:val="21"/>
                    </w:rPr>
                  </w:pPr>
                  <w:r>
                    <w:rPr>
                      <w:rFonts w:hint="eastAsia"/>
                      <w:szCs w:val="21"/>
                    </w:rPr>
                    <w:t>切割、焊接、抛光粉尘工序</w:t>
                  </w:r>
                </w:p>
              </w:tc>
              <w:tc>
                <w:tcPr>
                  <w:tcW w:w="656" w:type="pct"/>
                  <w:shd w:val="clear" w:color="auto" w:fill="auto"/>
                  <w:vAlign w:val="center"/>
                </w:tcPr>
                <w:p w14:paraId="4CC26A64">
                  <w:pPr>
                    <w:jc w:val="center"/>
                    <w:rPr>
                      <w:szCs w:val="21"/>
                    </w:rPr>
                  </w:pPr>
                  <w:bookmarkStart w:id="184" w:name="OLE_LINK149"/>
                  <w:r>
                    <w:rPr>
                      <w:rFonts w:hint="eastAsia"/>
                      <w:szCs w:val="21"/>
                    </w:rPr>
                    <w:t>布袋除尘器故障</w:t>
                  </w:r>
                  <w:bookmarkEnd w:id="184"/>
                </w:p>
              </w:tc>
              <w:tc>
                <w:tcPr>
                  <w:tcW w:w="754" w:type="pct"/>
                  <w:shd w:val="clear" w:color="auto" w:fill="auto"/>
                  <w:vAlign w:val="center"/>
                </w:tcPr>
                <w:p w14:paraId="1DE4C704">
                  <w:pPr>
                    <w:jc w:val="center"/>
                    <w:rPr>
                      <w:szCs w:val="21"/>
                    </w:rPr>
                  </w:pPr>
                  <w:bookmarkStart w:id="185" w:name="OLE_LINK150"/>
                  <w:bookmarkStart w:id="186" w:name="OLE_LINK151"/>
                  <w:r>
                    <w:rPr>
                      <w:szCs w:val="21"/>
                    </w:rPr>
                    <w:t>颗粒物</w:t>
                  </w:r>
                  <w:bookmarkEnd w:id="185"/>
                  <w:bookmarkEnd w:id="186"/>
                </w:p>
              </w:tc>
              <w:tc>
                <w:tcPr>
                  <w:tcW w:w="828" w:type="pct"/>
                  <w:shd w:val="clear" w:color="auto" w:fill="auto"/>
                  <w:vAlign w:val="center"/>
                </w:tcPr>
                <w:p w14:paraId="6FA0E7EB">
                  <w:pPr>
                    <w:autoSpaceDE w:val="0"/>
                    <w:autoSpaceDN w:val="0"/>
                    <w:spacing w:line="360" w:lineRule="exact"/>
                    <w:jc w:val="center"/>
                    <w:rPr>
                      <w:snapToGrid w:val="0"/>
                      <w:szCs w:val="21"/>
                    </w:rPr>
                  </w:pPr>
                  <w:r>
                    <w:rPr>
                      <w:rFonts w:hint="eastAsia"/>
                      <w:snapToGrid w:val="0"/>
                      <w:szCs w:val="21"/>
                    </w:rPr>
                    <w:t>3</w:t>
                  </w:r>
                  <w:r>
                    <w:rPr>
                      <w:snapToGrid w:val="0"/>
                      <w:szCs w:val="21"/>
                    </w:rPr>
                    <w:t>14</w:t>
                  </w:r>
                  <w:r>
                    <w:rPr>
                      <w:rFonts w:hint="eastAsia"/>
                      <w:snapToGrid w:val="0"/>
                      <w:szCs w:val="21"/>
                    </w:rPr>
                    <w:t>.</w:t>
                  </w:r>
                  <w:r>
                    <w:rPr>
                      <w:snapToGrid w:val="0"/>
                      <w:szCs w:val="21"/>
                    </w:rPr>
                    <w:t>7</w:t>
                  </w:r>
                </w:p>
              </w:tc>
              <w:tc>
                <w:tcPr>
                  <w:tcW w:w="581" w:type="pct"/>
                  <w:shd w:val="clear" w:color="auto" w:fill="auto"/>
                  <w:vAlign w:val="center"/>
                </w:tcPr>
                <w:p w14:paraId="758CD1AF">
                  <w:pPr>
                    <w:autoSpaceDE w:val="0"/>
                    <w:autoSpaceDN w:val="0"/>
                    <w:spacing w:line="360" w:lineRule="exact"/>
                    <w:jc w:val="center"/>
                    <w:rPr>
                      <w:snapToGrid w:val="0"/>
                      <w:szCs w:val="21"/>
                    </w:rPr>
                  </w:pPr>
                  <w:r>
                    <w:rPr>
                      <w:rFonts w:hint="eastAsia"/>
                      <w:snapToGrid w:val="0"/>
                      <w:szCs w:val="21"/>
                    </w:rPr>
                    <w:t>4</w:t>
                  </w:r>
                  <w:r>
                    <w:rPr>
                      <w:snapToGrid w:val="0"/>
                      <w:szCs w:val="21"/>
                    </w:rPr>
                    <w:t>.72</w:t>
                  </w:r>
                </w:p>
              </w:tc>
              <w:tc>
                <w:tcPr>
                  <w:tcW w:w="671" w:type="pct"/>
                  <w:vMerge w:val="restart"/>
                  <w:shd w:val="clear" w:color="auto" w:fill="auto"/>
                  <w:vAlign w:val="center"/>
                </w:tcPr>
                <w:p w14:paraId="748679EB">
                  <w:pPr>
                    <w:jc w:val="center"/>
                    <w:rPr>
                      <w:szCs w:val="21"/>
                    </w:rPr>
                  </w:pPr>
                  <w:r>
                    <w:rPr>
                      <w:rFonts w:hint="eastAsia"/>
                      <w:szCs w:val="21"/>
                    </w:rPr>
                    <w:t>0</w:t>
                  </w:r>
                  <w:r>
                    <w:rPr>
                      <w:szCs w:val="21"/>
                    </w:rPr>
                    <w:t>.5</w:t>
                  </w:r>
                </w:p>
              </w:tc>
              <w:tc>
                <w:tcPr>
                  <w:tcW w:w="437" w:type="pct"/>
                  <w:vMerge w:val="restart"/>
                  <w:shd w:val="clear" w:color="auto" w:fill="auto"/>
                  <w:vAlign w:val="center"/>
                </w:tcPr>
                <w:p w14:paraId="467526FC">
                  <w:pPr>
                    <w:jc w:val="center"/>
                    <w:rPr>
                      <w:szCs w:val="21"/>
                    </w:rPr>
                  </w:pPr>
                  <w:r>
                    <w:rPr>
                      <w:szCs w:val="21"/>
                    </w:rPr>
                    <w:t>1</w:t>
                  </w:r>
                </w:p>
              </w:tc>
            </w:tr>
            <w:tr w14:paraId="6D3B9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shd w:val="clear" w:color="auto" w:fill="auto"/>
                  <w:vAlign w:val="center"/>
                </w:tcPr>
                <w:p w14:paraId="483E8C10">
                  <w:pPr>
                    <w:jc w:val="center"/>
                    <w:rPr>
                      <w:szCs w:val="21"/>
                    </w:rPr>
                  </w:pPr>
                  <w:r>
                    <w:rPr>
                      <w:rFonts w:hint="eastAsia"/>
                      <w:szCs w:val="21"/>
                    </w:rPr>
                    <w:t>DA</w:t>
                  </w:r>
                  <w:r>
                    <w:rPr>
                      <w:szCs w:val="21"/>
                    </w:rPr>
                    <w:t>002</w:t>
                  </w:r>
                </w:p>
              </w:tc>
              <w:tc>
                <w:tcPr>
                  <w:tcW w:w="644" w:type="pct"/>
                  <w:shd w:val="clear" w:color="auto" w:fill="auto"/>
                  <w:vAlign w:val="center"/>
                </w:tcPr>
                <w:p w14:paraId="09DDCE73">
                  <w:pPr>
                    <w:jc w:val="center"/>
                    <w:rPr>
                      <w:szCs w:val="21"/>
                    </w:rPr>
                  </w:pPr>
                  <w:r>
                    <w:rPr>
                      <w:rFonts w:hint="eastAsia"/>
                      <w:szCs w:val="21"/>
                    </w:rPr>
                    <w:t>喷塑工序</w:t>
                  </w:r>
                </w:p>
              </w:tc>
              <w:tc>
                <w:tcPr>
                  <w:tcW w:w="656" w:type="pct"/>
                  <w:shd w:val="clear" w:color="auto" w:fill="auto"/>
                  <w:vAlign w:val="center"/>
                </w:tcPr>
                <w:p w14:paraId="05744A38">
                  <w:pPr>
                    <w:jc w:val="center"/>
                    <w:rPr>
                      <w:szCs w:val="21"/>
                    </w:rPr>
                  </w:pPr>
                  <w:r>
                    <w:rPr>
                      <w:rFonts w:hint="eastAsia"/>
                      <w:szCs w:val="21"/>
                    </w:rPr>
                    <w:t>布袋除尘器故障</w:t>
                  </w:r>
                </w:p>
              </w:tc>
              <w:tc>
                <w:tcPr>
                  <w:tcW w:w="754" w:type="pct"/>
                  <w:shd w:val="clear" w:color="auto" w:fill="auto"/>
                  <w:vAlign w:val="center"/>
                </w:tcPr>
                <w:p w14:paraId="1FD9B1C1">
                  <w:pPr>
                    <w:jc w:val="center"/>
                    <w:rPr>
                      <w:szCs w:val="21"/>
                    </w:rPr>
                  </w:pPr>
                  <w:r>
                    <w:rPr>
                      <w:szCs w:val="21"/>
                    </w:rPr>
                    <w:t>颗粒物</w:t>
                  </w:r>
                </w:p>
              </w:tc>
              <w:tc>
                <w:tcPr>
                  <w:tcW w:w="828" w:type="pct"/>
                  <w:shd w:val="clear" w:color="auto" w:fill="auto"/>
                  <w:vAlign w:val="center"/>
                </w:tcPr>
                <w:p w14:paraId="7FB6BFF8">
                  <w:pPr>
                    <w:autoSpaceDE w:val="0"/>
                    <w:autoSpaceDN w:val="0"/>
                    <w:spacing w:line="360" w:lineRule="exact"/>
                    <w:jc w:val="center"/>
                    <w:rPr>
                      <w:snapToGrid w:val="0"/>
                      <w:szCs w:val="21"/>
                    </w:rPr>
                  </w:pPr>
                  <w:r>
                    <w:rPr>
                      <w:snapToGrid w:val="0"/>
                      <w:szCs w:val="21"/>
                    </w:rPr>
                    <w:t>307.2</w:t>
                  </w:r>
                </w:p>
              </w:tc>
              <w:tc>
                <w:tcPr>
                  <w:tcW w:w="581" w:type="pct"/>
                  <w:shd w:val="clear" w:color="auto" w:fill="auto"/>
                  <w:vAlign w:val="center"/>
                </w:tcPr>
                <w:p w14:paraId="23870DCE">
                  <w:pPr>
                    <w:autoSpaceDE w:val="0"/>
                    <w:autoSpaceDN w:val="0"/>
                    <w:spacing w:line="360" w:lineRule="exact"/>
                    <w:jc w:val="center"/>
                    <w:rPr>
                      <w:snapToGrid w:val="0"/>
                      <w:szCs w:val="21"/>
                    </w:rPr>
                  </w:pPr>
                  <w:r>
                    <w:rPr>
                      <w:snapToGrid w:val="0"/>
                      <w:szCs w:val="21"/>
                    </w:rPr>
                    <w:t>7.68</w:t>
                  </w:r>
                </w:p>
              </w:tc>
              <w:tc>
                <w:tcPr>
                  <w:tcW w:w="671" w:type="pct"/>
                  <w:vMerge w:val="continue"/>
                  <w:shd w:val="clear" w:color="auto" w:fill="auto"/>
                  <w:vAlign w:val="center"/>
                </w:tcPr>
                <w:p w14:paraId="29BD2C43">
                  <w:pPr>
                    <w:jc w:val="center"/>
                    <w:rPr>
                      <w:szCs w:val="21"/>
                    </w:rPr>
                  </w:pPr>
                </w:p>
              </w:tc>
              <w:tc>
                <w:tcPr>
                  <w:tcW w:w="437" w:type="pct"/>
                  <w:vMerge w:val="continue"/>
                  <w:shd w:val="clear" w:color="auto" w:fill="auto"/>
                  <w:vAlign w:val="center"/>
                </w:tcPr>
                <w:p w14:paraId="2DF2FD23">
                  <w:pPr>
                    <w:jc w:val="center"/>
                    <w:rPr>
                      <w:szCs w:val="21"/>
                    </w:rPr>
                  </w:pPr>
                </w:p>
              </w:tc>
            </w:tr>
            <w:tr w14:paraId="3CBC0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shd w:val="clear" w:color="auto" w:fill="auto"/>
                  <w:vAlign w:val="center"/>
                </w:tcPr>
                <w:p w14:paraId="3A0FF3A4">
                  <w:pPr>
                    <w:jc w:val="center"/>
                    <w:rPr>
                      <w:szCs w:val="21"/>
                    </w:rPr>
                  </w:pPr>
                  <w:r>
                    <w:rPr>
                      <w:rFonts w:hint="eastAsia"/>
                      <w:szCs w:val="21"/>
                    </w:rPr>
                    <w:t>D</w:t>
                  </w:r>
                  <w:r>
                    <w:rPr>
                      <w:szCs w:val="21"/>
                    </w:rPr>
                    <w:t>A003</w:t>
                  </w:r>
                </w:p>
              </w:tc>
              <w:tc>
                <w:tcPr>
                  <w:tcW w:w="644" w:type="pct"/>
                  <w:shd w:val="clear" w:color="auto" w:fill="auto"/>
                  <w:vAlign w:val="center"/>
                </w:tcPr>
                <w:p w14:paraId="570CEA09">
                  <w:pPr>
                    <w:jc w:val="center"/>
                    <w:rPr>
                      <w:szCs w:val="21"/>
                    </w:rPr>
                  </w:pPr>
                  <w:r>
                    <w:rPr>
                      <w:rFonts w:hint="eastAsia"/>
                      <w:szCs w:val="21"/>
                    </w:rPr>
                    <w:t>固化工序</w:t>
                  </w:r>
                </w:p>
              </w:tc>
              <w:tc>
                <w:tcPr>
                  <w:tcW w:w="656" w:type="pct"/>
                  <w:shd w:val="clear" w:color="auto" w:fill="auto"/>
                  <w:vAlign w:val="center"/>
                </w:tcPr>
                <w:p w14:paraId="2C4EB08A">
                  <w:pPr>
                    <w:jc w:val="center"/>
                    <w:rPr>
                      <w:szCs w:val="21"/>
                    </w:rPr>
                  </w:pPr>
                  <w:r>
                    <w:rPr>
                      <w:rFonts w:hint="eastAsia"/>
                      <w:szCs w:val="21"/>
                    </w:rPr>
                    <w:t>二级活性炭故障</w:t>
                  </w:r>
                </w:p>
              </w:tc>
              <w:tc>
                <w:tcPr>
                  <w:tcW w:w="754" w:type="pct"/>
                  <w:shd w:val="clear" w:color="auto" w:fill="auto"/>
                  <w:vAlign w:val="center"/>
                </w:tcPr>
                <w:p w14:paraId="78400355">
                  <w:pPr>
                    <w:jc w:val="center"/>
                    <w:rPr>
                      <w:szCs w:val="21"/>
                    </w:rPr>
                  </w:pPr>
                  <w:r>
                    <w:rPr>
                      <w:rFonts w:hint="eastAsia"/>
                      <w:szCs w:val="21"/>
                    </w:rPr>
                    <w:t>V</w:t>
                  </w:r>
                  <w:r>
                    <w:rPr>
                      <w:szCs w:val="21"/>
                    </w:rPr>
                    <w:t>OCs</w:t>
                  </w:r>
                </w:p>
              </w:tc>
              <w:tc>
                <w:tcPr>
                  <w:tcW w:w="828" w:type="pct"/>
                  <w:shd w:val="clear" w:color="auto" w:fill="auto"/>
                  <w:vAlign w:val="center"/>
                </w:tcPr>
                <w:p w14:paraId="0C56787D">
                  <w:pPr>
                    <w:autoSpaceDE w:val="0"/>
                    <w:autoSpaceDN w:val="0"/>
                    <w:spacing w:line="360" w:lineRule="exact"/>
                    <w:jc w:val="center"/>
                    <w:rPr>
                      <w:snapToGrid w:val="0"/>
                      <w:szCs w:val="21"/>
                    </w:rPr>
                  </w:pPr>
                  <w:r>
                    <w:rPr>
                      <w:snapToGrid w:val="0"/>
                      <w:szCs w:val="21"/>
                    </w:rPr>
                    <w:t>6</w:t>
                  </w:r>
                </w:p>
              </w:tc>
              <w:tc>
                <w:tcPr>
                  <w:tcW w:w="581" w:type="pct"/>
                  <w:shd w:val="clear" w:color="auto" w:fill="auto"/>
                  <w:vAlign w:val="center"/>
                </w:tcPr>
                <w:p w14:paraId="05AAD743">
                  <w:pPr>
                    <w:autoSpaceDE w:val="0"/>
                    <w:autoSpaceDN w:val="0"/>
                    <w:spacing w:line="360" w:lineRule="exact"/>
                    <w:jc w:val="center"/>
                    <w:rPr>
                      <w:snapToGrid w:val="0"/>
                      <w:szCs w:val="21"/>
                    </w:rPr>
                  </w:pPr>
                  <w:r>
                    <w:rPr>
                      <w:snapToGrid w:val="0"/>
                      <w:szCs w:val="21"/>
                    </w:rPr>
                    <w:t>0.03</w:t>
                  </w:r>
                </w:p>
              </w:tc>
              <w:tc>
                <w:tcPr>
                  <w:tcW w:w="671" w:type="pct"/>
                  <w:vMerge w:val="continue"/>
                  <w:shd w:val="clear" w:color="auto" w:fill="auto"/>
                  <w:vAlign w:val="center"/>
                </w:tcPr>
                <w:p w14:paraId="15F4E4C1">
                  <w:pPr>
                    <w:jc w:val="center"/>
                    <w:rPr>
                      <w:szCs w:val="21"/>
                    </w:rPr>
                  </w:pPr>
                </w:p>
              </w:tc>
              <w:tc>
                <w:tcPr>
                  <w:tcW w:w="437" w:type="pct"/>
                  <w:vMerge w:val="continue"/>
                  <w:shd w:val="clear" w:color="auto" w:fill="auto"/>
                  <w:vAlign w:val="center"/>
                </w:tcPr>
                <w:p w14:paraId="565A401D">
                  <w:pPr>
                    <w:jc w:val="center"/>
                    <w:rPr>
                      <w:szCs w:val="21"/>
                    </w:rPr>
                  </w:pPr>
                </w:p>
              </w:tc>
            </w:tr>
          </w:tbl>
          <w:p w14:paraId="6379360E">
            <w:pPr>
              <w:spacing w:line="360" w:lineRule="auto"/>
              <w:ind w:firstLine="480" w:firstLineChars="200"/>
              <w:rPr>
                <w:bCs/>
                <w:sz w:val="24"/>
              </w:rPr>
            </w:pPr>
            <w:r>
              <w:rPr>
                <w:bCs/>
                <w:sz w:val="24"/>
              </w:rPr>
              <w:t>非正常工况下，排气筒</w:t>
            </w:r>
            <w:r>
              <w:rPr>
                <w:rFonts w:hint="eastAsia"/>
                <w:bCs/>
                <w:sz w:val="24"/>
              </w:rPr>
              <w:t>DA</w:t>
            </w:r>
            <w:r>
              <w:rPr>
                <w:bCs/>
                <w:sz w:val="24"/>
              </w:rPr>
              <w:t>001、排气筒</w:t>
            </w:r>
            <w:r>
              <w:rPr>
                <w:rFonts w:hint="eastAsia"/>
                <w:bCs/>
                <w:sz w:val="24"/>
              </w:rPr>
              <w:t>D</w:t>
            </w:r>
            <w:r>
              <w:rPr>
                <w:bCs/>
                <w:sz w:val="24"/>
              </w:rPr>
              <w:t>A002排放的颗粒物排放浓度出现严重超标情况，因此建设单位必须加强废气处理设施的管理，定期检修，确保废气处理设施正常运行。在废气处理设备停止运行时，产生废气的各工序也必须相应停止生产。为杜绝废气非正常排放，应采取以下措施来确保废气达标排放：</w:t>
            </w:r>
          </w:p>
          <w:p w14:paraId="251D50D0">
            <w:pPr>
              <w:spacing w:line="360" w:lineRule="auto"/>
              <w:ind w:firstLine="480" w:firstLineChars="200"/>
              <w:rPr>
                <w:bCs/>
                <w:sz w:val="24"/>
              </w:rPr>
            </w:pPr>
            <w:r>
              <w:rPr>
                <w:rFonts w:hint="eastAsia"/>
                <w:bCs/>
                <w:sz w:val="24"/>
              </w:rPr>
              <w:t>①</w:t>
            </w:r>
            <w:r>
              <w:rPr>
                <w:bCs/>
                <w:sz w:val="24"/>
              </w:rPr>
              <w:t>加强废气处理设施的维护保养，及时发现处理设备的隐患，确保废气处理系统正常运行；</w:t>
            </w:r>
          </w:p>
          <w:p w14:paraId="0A4FEA27">
            <w:pPr>
              <w:spacing w:line="360" w:lineRule="auto"/>
              <w:ind w:firstLine="480" w:firstLineChars="200"/>
              <w:rPr>
                <w:bCs/>
                <w:sz w:val="24"/>
              </w:rPr>
            </w:pPr>
            <w:r>
              <w:rPr>
                <w:rFonts w:hint="eastAsia"/>
                <w:bCs/>
                <w:sz w:val="24"/>
              </w:rPr>
              <w:t>②</w:t>
            </w:r>
            <w:r>
              <w:rPr>
                <w:bCs/>
                <w:sz w:val="24"/>
              </w:rPr>
              <w:t>建立健全的环保管理机构，对环保管理人员和技术人员进行岗位培训，委托具有专业资质的环境检测单位对厂区排放的废气进行定期检测。</w:t>
            </w:r>
          </w:p>
          <w:p w14:paraId="45743009">
            <w:pPr>
              <w:spacing w:line="360" w:lineRule="auto"/>
              <w:ind w:firstLine="480" w:firstLineChars="200"/>
              <w:rPr>
                <w:bCs/>
                <w:sz w:val="24"/>
              </w:rPr>
            </w:pPr>
            <w:r>
              <w:rPr>
                <w:rFonts w:hint="eastAsia"/>
                <w:bCs/>
                <w:sz w:val="24"/>
              </w:rPr>
              <w:t>③</w:t>
            </w:r>
            <w:r>
              <w:rPr>
                <w:bCs/>
                <w:sz w:val="24"/>
              </w:rPr>
              <w:t>定期更换布袋除尘器中的布袋</w:t>
            </w:r>
            <w:r>
              <w:rPr>
                <w:rFonts w:hint="eastAsia"/>
                <w:bCs/>
                <w:sz w:val="24"/>
              </w:rPr>
              <w:t>，定期更换活性炭，</w:t>
            </w:r>
            <w:r>
              <w:rPr>
                <w:bCs/>
                <w:sz w:val="24"/>
              </w:rPr>
              <w:t>以保持废气处理装置的净化能力和净化容量。</w:t>
            </w:r>
          </w:p>
          <w:p w14:paraId="45586A2A">
            <w:pPr>
              <w:spacing w:line="360" w:lineRule="auto"/>
              <w:ind w:firstLine="480" w:firstLineChars="200"/>
              <w:rPr>
                <w:bCs/>
                <w:sz w:val="24"/>
              </w:rPr>
            </w:pPr>
            <w:r>
              <w:rPr>
                <w:rFonts w:hint="eastAsia"/>
                <w:bCs/>
                <w:sz w:val="24"/>
              </w:rPr>
              <w:t>④</w:t>
            </w:r>
            <w:r>
              <w:rPr>
                <w:bCs/>
                <w:sz w:val="24"/>
              </w:rPr>
              <w:t>安排专人负责环保设备的日常维护和管理，每隔固定时间检查、汇报情况。</w:t>
            </w:r>
          </w:p>
          <w:p w14:paraId="2D81FF9F">
            <w:pPr>
              <w:autoSpaceDE w:val="0"/>
              <w:autoSpaceDN w:val="0"/>
              <w:adjustRightInd w:val="0"/>
              <w:spacing w:line="360" w:lineRule="auto"/>
              <w:ind w:firstLine="480" w:firstLineChars="200"/>
              <w:contextualSpacing/>
              <w:jc w:val="left"/>
              <w:rPr>
                <w:bCs/>
                <w:sz w:val="24"/>
              </w:rPr>
            </w:pPr>
            <w:r>
              <w:rPr>
                <w:bCs/>
                <w:sz w:val="24"/>
              </w:rPr>
              <w:t>项目发生非正常工况的几率较小，非正常工况污染物排放较少，持续时间较短，不会对大气环境造成较大影响。</w:t>
            </w:r>
          </w:p>
          <w:p w14:paraId="2417C099">
            <w:pPr>
              <w:spacing w:line="360" w:lineRule="auto"/>
              <w:ind w:firstLine="482" w:firstLineChars="200"/>
              <w:rPr>
                <w:b/>
                <w:bCs/>
                <w:sz w:val="24"/>
              </w:rPr>
            </w:pPr>
            <w:r>
              <w:rPr>
                <w:rFonts w:hint="eastAsia"/>
                <w:b/>
                <w:bCs/>
                <w:sz w:val="24"/>
              </w:rPr>
              <w:t>4、监测计划</w:t>
            </w:r>
          </w:p>
          <w:p w14:paraId="64E35A2C">
            <w:pPr>
              <w:spacing w:line="360" w:lineRule="auto"/>
              <w:ind w:firstLine="480" w:firstLineChars="200"/>
              <w:rPr>
                <w:bCs/>
                <w:sz w:val="24"/>
              </w:rPr>
            </w:pPr>
            <w:bookmarkStart w:id="187" w:name="_Toc338313358"/>
            <w:r>
              <w:rPr>
                <w:bCs/>
                <w:sz w:val="24"/>
              </w:rPr>
              <w:t>按照《排污单位自行监测技术指南总则》（HJ 819-2017）、《</w:t>
            </w:r>
            <w:r>
              <w:rPr>
                <w:rFonts w:hint="eastAsia"/>
                <w:bCs/>
                <w:sz w:val="24"/>
              </w:rPr>
              <w:t>排污单位自行监测技术指南 涂装</w:t>
            </w:r>
            <w:r>
              <w:rPr>
                <w:bCs/>
                <w:sz w:val="24"/>
              </w:rPr>
              <w:t>》</w:t>
            </w:r>
            <w:r>
              <w:rPr>
                <w:rFonts w:hint="eastAsia"/>
                <w:bCs/>
                <w:sz w:val="24"/>
              </w:rPr>
              <w:t>（HJ 1246—2022）</w:t>
            </w:r>
            <w:r>
              <w:rPr>
                <w:bCs/>
                <w:sz w:val="24"/>
              </w:rPr>
              <w:t>的相关要求，环境监测计划的制定依据项目内容和企业实际情况，制定相应切实可行的方案。监测分析方法按照现行国家、部颁布的标准和有关规定执行。监测制度和计划见下表。</w:t>
            </w:r>
          </w:p>
          <w:p w14:paraId="06AA9909">
            <w:pPr>
              <w:spacing w:line="360" w:lineRule="auto"/>
              <w:ind w:firstLine="482" w:firstLineChars="200"/>
              <w:jc w:val="center"/>
              <w:rPr>
                <w:bCs/>
                <w:sz w:val="24"/>
              </w:rPr>
            </w:pPr>
            <w:r>
              <w:rPr>
                <w:b/>
                <w:sz w:val="24"/>
              </w:rPr>
              <w:t>表30 本项目废气监测计划一览表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9"/>
              <w:gridCol w:w="2863"/>
              <w:gridCol w:w="2863"/>
            </w:tblGrid>
            <w:tr w14:paraId="1362A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16E7E1A2">
                  <w:pPr>
                    <w:jc w:val="center"/>
                    <w:rPr>
                      <w:bCs/>
                      <w:szCs w:val="21"/>
                    </w:rPr>
                  </w:pPr>
                  <w:r>
                    <w:rPr>
                      <w:rFonts w:hint="eastAsia"/>
                      <w:bCs/>
                      <w:szCs w:val="21"/>
                    </w:rPr>
                    <w:t>监测点位</w:t>
                  </w:r>
                </w:p>
              </w:tc>
              <w:tc>
                <w:tcPr>
                  <w:tcW w:w="1667" w:type="pct"/>
                  <w:vAlign w:val="center"/>
                </w:tcPr>
                <w:p w14:paraId="08296A1F">
                  <w:pPr>
                    <w:jc w:val="center"/>
                    <w:rPr>
                      <w:bCs/>
                      <w:szCs w:val="21"/>
                    </w:rPr>
                  </w:pPr>
                  <w:r>
                    <w:rPr>
                      <w:rFonts w:hint="eastAsia"/>
                      <w:bCs/>
                      <w:szCs w:val="21"/>
                    </w:rPr>
                    <w:t>监测因子</w:t>
                  </w:r>
                </w:p>
              </w:tc>
              <w:tc>
                <w:tcPr>
                  <w:tcW w:w="1667" w:type="pct"/>
                  <w:vAlign w:val="center"/>
                </w:tcPr>
                <w:p w14:paraId="56887749">
                  <w:pPr>
                    <w:jc w:val="center"/>
                    <w:rPr>
                      <w:bCs/>
                      <w:szCs w:val="21"/>
                    </w:rPr>
                  </w:pPr>
                  <w:r>
                    <w:rPr>
                      <w:rFonts w:hint="eastAsia"/>
                      <w:bCs/>
                      <w:szCs w:val="21"/>
                    </w:rPr>
                    <w:t>监测频次</w:t>
                  </w:r>
                </w:p>
              </w:tc>
            </w:tr>
            <w:tr w14:paraId="42175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49E4FAA0">
                  <w:pPr>
                    <w:jc w:val="center"/>
                    <w:rPr>
                      <w:bCs/>
                      <w:szCs w:val="21"/>
                    </w:rPr>
                  </w:pPr>
                  <w:r>
                    <w:rPr>
                      <w:rFonts w:hint="eastAsia"/>
                      <w:bCs/>
                      <w:szCs w:val="21"/>
                    </w:rPr>
                    <w:t>排气筒</w:t>
                  </w:r>
                </w:p>
                <w:p w14:paraId="113EEEAD">
                  <w:pPr>
                    <w:jc w:val="center"/>
                    <w:rPr>
                      <w:bCs/>
                      <w:szCs w:val="21"/>
                    </w:rPr>
                  </w:pPr>
                  <w:r>
                    <w:rPr>
                      <w:rFonts w:hint="eastAsia"/>
                      <w:bCs/>
                      <w:szCs w:val="21"/>
                    </w:rPr>
                    <w:t>（</w:t>
                  </w:r>
                  <w:r>
                    <w:rPr>
                      <w:bCs/>
                      <w:szCs w:val="21"/>
                    </w:rPr>
                    <w:t>DA001</w:t>
                  </w:r>
                  <w:r>
                    <w:rPr>
                      <w:rFonts w:hint="eastAsia"/>
                      <w:bCs/>
                      <w:szCs w:val="21"/>
                    </w:rPr>
                    <w:t>）</w:t>
                  </w:r>
                </w:p>
              </w:tc>
              <w:tc>
                <w:tcPr>
                  <w:tcW w:w="1667" w:type="pct"/>
                  <w:vAlign w:val="center"/>
                </w:tcPr>
                <w:p w14:paraId="7DAE0393">
                  <w:pPr>
                    <w:jc w:val="center"/>
                    <w:rPr>
                      <w:bCs/>
                      <w:szCs w:val="21"/>
                    </w:rPr>
                  </w:pPr>
                  <w:r>
                    <w:rPr>
                      <w:rFonts w:hint="eastAsia"/>
                      <w:bCs/>
                      <w:szCs w:val="21"/>
                    </w:rPr>
                    <w:t>颗粒物、废气量、烟气流速、温度、含氧量</w:t>
                  </w:r>
                </w:p>
              </w:tc>
              <w:tc>
                <w:tcPr>
                  <w:tcW w:w="1667" w:type="pct"/>
                  <w:vAlign w:val="center"/>
                </w:tcPr>
                <w:p w14:paraId="1C304BDC">
                  <w:pPr>
                    <w:jc w:val="center"/>
                    <w:rPr>
                      <w:bCs/>
                      <w:szCs w:val="21"/>
                    </w:rPr>
                  </w:pPr>
                  <w:r>
                    <w:rPr>
                      <w:rFonts w:hint="eastAsia"/>
                      <w:bCs/>
                      <w:szCs w:val="21"/>
                    </w:rPr>
                    <w:t>每年1次</w:t>
                  </w:r>
                </w:p>
              </w:tc>
            </w:tr>
            <w:tr w14:paraId="6FC9D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3E095E85">
                  <w:pPr>
                    <w:jc w:val="center"/>
                    <w:rPr>
                      <w:bCs/>
                      <w:szCs w:val="21"/>
                    </w:rPr>
                  </w:pPr>
                  <w:r>
                    <w:rPr>
                      <w:rFonts w:hint="eastAsia"/>
                      <w:bCs/>
                      <w:szCs w:val="21"/>
                    </w:rPr>
                    <w:t>排气筒</w:t>
                  </w:r>
                </w:p>
                <w:p w14:paraId="036B3DF7">
                  <w:pPr>
                    <w:jc w:val="center"/>
                    <w:rPr>
                      <w:bCs/>
                      <w:szCs w:val="21"/>
                    </w:rPr>
                  </w:pPr>
                  <w:r>
                    <w:rPr>
                      <w:rFonts w:hint="eastAsia"/>
                      <w:bCs/>
                      <w:szCs w:val="21"/>
                    </w:rPr>
                    <w:t>（</w:t>
                  </w:r>
                  <w:r>
                    <w:rPr>
                      <w:bCs/>
                      <w:szCs w:val="21"/>
                    </w:rPr>
                    <w:t>DA002</w:t>
                  </w:r>
                  <w:r>
                    <w:rPr>
                      <w:rFonts w:hint="eastAsia"/>
                      <w:bCs/>
                      <w:szCs w:val="21"/>
                    </w:rPr>
                    <w:t>）</w:t>
                  </w:r>
                </w:p>
              </w:tc>
              <w:tc>
                <w:tcPr>
                  <w:tcW w:w="1667" w:type="pct"/>
                  <w:vAlign w:val="center"/>
                </w:tcPr>
                <w:p w14:paraId="113FF4E6">
                  <w:pPr>
                    <w:jc w:val="center"/>
                    <w:rPr>
                      <w:bCs/>
                      <w:szCs w:val="21"/>
                    </w:rPr>
                  </w:pPr>
                  <w:r>
                    <w:rPr>
                      <w:rFonts w:hint="eastAsia"/>
                      <w:bCs/>
                      <w:szCs w:val="21"/>
                    </w:rPr>
                    <w:t>颗粒物、废气量、烟气流速、温度、含氧量</w:t>
                  </w:r>
                </w:p>
              </w:tc>
              <w:tc>
                <w:tcPr>
                  <w:tcW w:w="1667" w:type="pct"/>
                  <w:vAlign w:val="center"/>
                </w:tcPr>
                <w:p w14:paraId="346BA134">
                  <w:pPr>
                    <w:jc w:val="center"/>
                    <w:rPr>
                      <w:bCs/>
                      <w:szCs w:val="21"/>
                    </w:rPr>
                  </w:pPr>
                  <w:r>
                    <w:rPr>
                      <w:rFonts w:hint="eastAsia"/>
                      <w:bCs/>
                      <w:szCs w:val="21"/>
                    </w:rPr>
                    <w:t>每年1次</w:t>
                  </w:r>
                </w:p>
              </w:tc>
            </w:tr>
            <w:tr w14:paraId="43AF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2EFFBFCC">
                  <w:pPr>
                    <w:jc w:val="center"/>
                    <w:rPr>
                      <w:bCs/>
                      <w:szCs w:val="21"/>
                    </w:rPr>
                  </w:pPr>
                  <w:r>
                    <w:rPr>
                      <w:rFonts w:hint="eastAsia"/>
                      <w:bCs/>
                      <w:szCs w:val="21"/>
                    </w:rPr>
                    <w:t>排气筒</w:t>
                  </w:r>
                </w:p>
                <w:p w14:paraId="23073C94">
                  <w:pPr>
                    <w:jc w:val="center"/>
                    <w:rPr>
                      <w:bCs/>
                      <w:szCs w:val="21"/>
                    </w:rPr>
                  </w:pPr>
                  <w:r>
                    <w:rPr>
                      <w:rFonts w:hint="eastAsia"/>
                      <w:bCs/>
                      <w:szCs w:val="21"/>
                    </w:rPr>
                    <w:t>（</w:t>
                  </w:r>
                  <w:r>
                    <w:rPr>
                      <w:bCs/>
                      <w:szCs w:val="21"/>
                    </w:rPr>
                    <w:t>DA003</w:t>
                  </w:r>
                  <w:r>
                    <w:rPr>
                      <w:rFonts w:hint="eastAsia"/>
                      <w:bCs/>
                      <w:szCs w:val="21"/>
                    </w:rPr>
                    <w:t>）</w:t>
                  </w:r>
                </w:p>
              </w:tc>
              <w:tc>
                <w:tcPr>
                  <w:tcW w:w="1667" w:type="pct"/>
                  <w:vAlign w:val="center"/>
                </w:tcPr>
                <w:p w14:paraId="041F0657">
                  <w:pPr>
                    <w:jc w:val="center"/>
                    <w:rPr>
                      <w:bCs/>
                      <w:szCs w:val="21"/>
                    </w:rPr>
                  </w:pPr>
                  <w:r>
                    <w:rPr>
                      <w:rFonts w:hint="eastAsia"/>
                      <w:bCs/>
                      <w:szCs w:val="21"/>
                    </w:rPr>
                    <w:t>V</w:t>
                  </w:r>
                  <w:r>
                    <w:rPr>
                      <w:bCs/>
                      <w:szCs w:val="21"/>
                    </w:rPr>
                    <w:t>OCs</w:t>
                  </w:r>
                  <w:r>
                    <w:rPr>
                      <w:rFonts w:hint="eastAsia"/>
                      <w:bCs/>
                      <w:szCs w:val="21"/>
                    </w:rPr>
                    <w:t>、废气量、烟气流速、温度、含氧量</w:t>
                  </w:r>
                </w:p>
              </w:tc>
              <w:tc>
                <w:tcPr>
                  <w:tcW w:w="1667" w:type="pct"/>
                  <w:vAlign w:val="center"/>
                </w:tcPr>
                <w:p w14:paraId="55E00BA2">
                  <w:pPr>
                    <w:jc w:val="center"/>
                    <w:rPr>
                      <w:bCs/>
                      <w:szCs w:val="21"/>
                    </w:rPr>
                  </w:pPr>
                  <w:r>
                    <w:rPr>
                      <w:rFonts w:hint="eastAsia"/>
                      <w:bCs/>
                      <w:szCs w:val="21"/>
                    </w:rPr>
                    <w:t>每年1次</w:t>
                  </w:r>
                </w:p>
              </w:tc>
            </w:tr>
            <w:tr w14:paraId="0E19E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1A01487A">
                  <w:pPr>
                    <w:jc w:val="center"/>
                    <w:rPr>
                      <w:bCs/>
                      <w:szCs w:val="21"/>
                    </w:rPr>
                  </w:pPr>
                  <w:r>
                    <w:rPr>
                      <w:rFonts w:hint="eastAsia"/>
                      <w:bCs/>
                      <w:szCs w:val="21"/>
                    </w:rPr>
                    <w:t>厂界</w:t>
                  </w:r>
                </w:p>
              </w:tc>
              <w:tc>
                <w:tcPr>
                  <w:tcW w:w="1667" w:type="pct"/>
                  <w:vAlign w:val="center"/>
                </w:tcPr>
                <w:p w14:paraId="2E0E2F49">
                  <w:pPr>
                    <w:jc w:val="center"/>
                    <w:rPr>
                      <w:bCs/>
                      <w:szCs w:val="21"/>
                    </w:rPr>
                  </w:pPr>
                  <w:r>
                    <w:rPr>
                      <w:rFonts w:hint="eastAsia"/>
                      <w:bCs/>
                      <w:szCs w:val="21"/>
                    </w:rPr>
                    <w:t>VOCs、颗粒物</w:t>
                  </w:r>
                </w:p>
              </w:tc>
              <w:tc>
                <w:tcPr>
                  <w:tcW w:w="1667" w:type="pct"/>
                  <w:vAlign w:val="center"/>
                </w:tcPr>
                <w:p w14:paraId="4E1372A0">
                  <w:pPr>
                    <w:jc w:val="center"/>
                    <w:rPr>
                      <w:bCs/>
                      <w:szCs w:val="21"/>
                    </w:rPr>
                  </w:pPr>
                  <w:r>
                    <w:rPr>
                      <w:rFonts w:hint="eastAsia"/>
                      <w:bCs/>
                      <w:szCs w:val="21"/>
                    </w:rPr>
                    <w:t>每半年1次</w:t>
                  </w:r>
                </w:p>
              </w:tc>
            </w:tr>
            <w:tr w14:paraId="3E04C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445E832C">
                  <w:pPr>
                    <w:jc w:val="center"/>
                    <w:rPr>
                      <w:bCs/>
                      <w:szCs w:val="21"/>
                    </w:rPr>
                  </w:pPr>
                  <w:r>
                    <w:rPr>
                      <w:rFonts w:hint="eastAsia"/>
                      <w:bCs/>
                      <w:szCs w:val="21"/>
                    </w:rPr>
                    <w:t>厂区内</w:t>
                  </w:r>
                </w:p>
              </w:tc>
              <w:tc>
                <w:tcPr>
                  <w:tcW w:w="1667" w:type="pct"/>
                  <w:vAlign w:val="center"/>
                </w:tcPr>
                <w:p w14:paraId="14E4F217">
                  <w:pPr>
                    <w:jc w:val="center"/>
                    <w:rPr>
                      <w:bCs/>
                      <w:szCs w:val="21"/>
                    </w:rPr>
                  </w:pPr>
                  <w:r>
                    <w:rPr>
                      <w:rFonts w:hint="eastAsia"/>
                      <w:bCs/>
                      <w:szCs w:val="21"/>
                    </w:rPr>
                    <w:t>非甲烷总烃</w:t>
                  </w:r>
                </w:p>
              </w:tc>
              <w:tc>
                <w:tcPr>
                  <w:tcW w:w="1667" w:type="pct"/>
                  <w:vAlign w:val="center"/>
                </w:tcPr>
                <w:p w14:paraId="7B8A9C14">
                  <w:pPr>
                    <w:jc w:val="center"/>
                    <w:rPr>
                      <w:bCs/>
                      <w:szCs w:val="21"/>
                    </w:rPr>
                  </w:pPr>
                  <w:r>
                    <w:rPr>
                      <w:rFonts w:hint="eastAsia"/>
                      <w:bCs/>
                      <w:szCs w:val="21"/>
                    </w:rPr>
                    <w:t>每年1次</w:t>
                  </w:r>
                </w:p>
              </w:tc>
            </w:tr>
            <w:bookmarkEnd w:id="187"/>
          </w:tbl>
          <w:p w14:paraId="05ABF770">
            <w:pPr>
              <w:spacing w:line="360" w:lineRule="auto"/>
              <w:ind w:firstLine="482" w:firstLineChars="200"/>
              <w:rPr>
                <w:b/>
                <w:bCs/>
                <w:sz w:val="24"/>
              </w:rPr>
            </w:pPr>
            <w:r>
              <w:rPr>
                <w:b/>
                <w:bCs/>
                <w:sz w:val="24"/>
              </w:rPr>
              <w:t>5、小结</w:t>
            </w:r>
          </w:p>
          <w:p w14:paraId="5F5FE7F5">
            <w:pPr>
              <w:spacing w:line="360" w:lineRule="auto"/>
              <w:ind w:firstLine="480" w:firstLineChars="200"/>
              <w:contextualSpacing/>
              <w:rPr>
                <w:bCs/>
                <w:sz w:val="24"/>
              </w:rPr>
            </w:pPr>
            <w:r>
              <w:rPr>
                <w:bCs/>
                <w:sz w:val="24"/>
              </w:rPr>
              <w:t>本项目切割</w:t>
            </w:r>
            <w:r>
              <w:rPr>
                <w:rFonts w:hint="eastAsia"/>
                <w:bCs/>
                <w:sz w:val="24"/>
              </w:rPr>
              <w:t>粉尘</w:t>
            </w:r>
            <w:r>
              <w:rPr>
                <w:bCs/>
                <w:sz w:val="24"/>
              </w:rPr>
              <w:t>、</w:t>
            </w:r>
            <w:r>
              <w:rPr>
                <w:rFonts w:hint="eastAsia"/>
                <w:bCs/>
                <w:sz w:val="24"/>
              </w:rPr>
              <w:t>焊接烟尘、抛光粉尘</w:t>
            </w:r>
            <w:r>
              <w:rPr>
                <w:bCs/>
                <w:sz w:val="24"/>
              </w:rPr>
              <w:t>通过集气罩收集后经布袋除尘器（TA002）处理，由</w:t>
            </w:r>
            <w:r>
              <w:rPr>
                <w:rFonts w:hint="eastAsia"/>
                <w:bCs/>
                <w:sz w:val="24"/>
              </w:rPr>
              <w:t>1根</w:t>
            </w:r>
            <w:r>
              <w:rPr>
                <w:bCs/>
                <w:sz w:val="24"/>
              </w:rPr>
              <w:t>15m高排气筒（DA001）排放；</w:t>
            </w:r>
            <w:r>
              <w:rPr>
                <w:rFonts w:hint="eastAsia"/>
                <w:sz w:val="24"/>
              </w:rPr>
              <w:t>喷塑粉尘经过集气管道收集后经布袋除尘器（TA002）处理后，由1根15m高排气筒（DA002）排放；固化工序产生的VOCs经集气管道收集后经二级活性炭吸附装置（TA003）处理后，由1根15m高排气筒（DA003）排放</w:t>
            </w:r>
            <w:r>
              <w:rPr>
                <w:sz w:val="24"/>
              </w:rPr>
              <w:t>。</w:t>
            </w:r>
          </w:p>
          <w:p w14:paraId="0C28579E">
            <w:pPr>
              <w:spacing w:line="360" w:lineRule="auto"/>
              <w:ind w:firstLine="480" w:firstLineChars="200"/>
              <w:contextualSpacing/>
              <w:rPr>
                <w:bCs/>
                <w:sz w:val="24"/>
              </w:rPr>
            </w:pPr>
            <w:r>
              <w:rPr>
                <w:rFonts w:hint="eastAsia"/>
                <w:bCs/>
                <w:sz w:val="24"/>
              </w:rPr>
              <w:t>有组织颗粒物排放浓度满足</w:t>
            </w:r>
            <w:r>
              <w:rPr>
                <w:bCs/>
                <w:sz w:val="24"/>
              </w:rPr>
              <w:t>《区域性大气污染物综合排放标准》（DB37/2376-2019）表1一般控制区标准（</w:t>
            </w:r>
            <w:r>
              <w:rPr>
                <w:rFonts w:hint="eastAsia"/>
                <w:bCs/>
                <w:sz w:val="24"/>
              </w:rPr>
              <w:t>颗粒物</w:t>
            </w:r>
            <w:r>
              <w:rPr>
                <w:sz w:val="24"/>
              </w:rPr>
              <w:t>≤</w:t>
            </w:r>
            <w:r>
              <w:rPr>
                <w:rFonts w:hint="eastAsia"/>
                <w:bCs/>
                <w:sz w:val="24"/>
              </w:rPr>
              <w:t>2</w:t>
            </w:r>
            <w:r>
              <w:rPr>
                <w:bCs/>
                <w:sz w:val="24"/>
              </w:rPr>
              <w:t>0mg/m</w:t>
            </w:r>
            <w:r>
              <w:rPr>
                <w:bCs/>
                <w:sz w:val="24"/>
                <w:vertAlign w:val="superscript"/>
              </w:rPr>
              <w:t>3</w:t>
            </w:r>
            <w:r>
              <w:rPr>
                <w:bCs/>
                <w:sz w:val="24"/>
              </w:rPr>
              <w:t>）</w:t>
            </w:r>
            <w:r>
              <w:rPr>
                <w:rFonts w:hint="eastAsia"/>
                <w:sz w:val="24"/>
              </w:rPr>
              <w:t>；</w:t>
            </w:r>
            <w:r>
              <w:rPr>
                <w:rFonts w:hint="eastAsia"/>
                <w:bCs/>
                <w:sz w:val="24"/>
              </w:rPr>
              <w:t>排放速率执行</w:t>
            </w:r>
            <w:r>
              <w:rPr>
                <w:bCs/>
                <w:sz w:val="24"/>
              </w:rPr>
              <w:t>《大气污染物综合排放标准》（GB16297-1996）表2二级污染物排放限值（</w:t>
            </w:r>
            <w:r>
              <w:rPr>
                <w:rFonts w:hint="eastAsia"/>
                <w:bCs/>
                <w:sz w:val="24"/>
              </w:rPr>
              <w:t>颗粒物</w:t>
            </w:r>
            <w:r>
              <w:rPr>
                <w:sz w:val="24"/>
              </w:rPr>
              <w:t>≤</w:t>
            </w:r>
            <w:r>
              <w:rPr>
                <w:rFonts w:hint="eastAsia"/>
                <w:bCs/>
                <w:sz w:val="24"/>
              </w:rPr>
              <w:t>3</w:t>
            </w:r>
            <w:r>
              <w:rPr>
                <w:bCs/>
                <w:sz w:val="24"/>
              </w:rPr>
              <w:t>.5kg/h）</w:t>
            </w:r>
            <w:r>
              <w:rPr>
                <w:rFonts w:hint="eastAsia"/>
                <w:bCs/>
                <w:sz w:val="24"/>
              </w:rPr>
              <w:t>,</w:t>
            </w:r>
            <w:bookmarkStart w:id="188" w:name="OLE_LINK177"/>
            <w:bookmarkStart w:id="189" w:name="OLE_LINK176"/>
            <w:r>
              <w:rPr>
                <w:bCs/>
                <w:sz w:val="24"/>
              </w:rPr>
              <w:t xml:space="preserve"> </w:t>
            </w:r>
            <w:r>
              <w:rPr>
                <w:sz w:val="24"/>
              </w:rPr>
              <w:t>VOCs有组织排放满足《挥发性有机物排放标准 第5部分：表面涂装行业》(DB37/2801.5-2018)表2中</w:t>
            </w:r>
            <w:r>
              <w:rPr>
                <w:rFonts w:hint="eastAsia"/>
                <w:sz w:val="24"/>
              </w:rPr>
              <w:t>集装箱及金属包装容器制造(C333)的排</w:t>
            </w:r>
            <w:r>
              <w:rPr>
                <w:sz w:val="24"/>
              </w:rPr>
              <w:t>放限值要求（VOCs：70mg/m³，2.4kg/h）。</w:t>
            </w:r>
            <w:bookmarkEnd w:id="188"/>
            <w:bookmarkEnd w:id="189"/>
          </w:p>
          <w:p w14:paraId="2130929D">
            <w:pPr>
              <w:spacing w:line="360" w:lineRule="auto"/>
              <w:ind w:firstLine="480" w:firstLineChars="200"/>
              <w:contextualSpacing/>
              <w:rPr>
                <w:bCs/>
                <w:sz w:val="24"/>
              </w:rPr>
            </w:pPr>
            <w:r>
              <w:rPr>
                <w:sz w:val="24"/>
              </w:rPr>
              <w:t>未被收集的颗粒物、</w:t>
            </w:r>
            <w:r>
              <w:rPr>
                <w:rFonts w:hint="eastAsia"/>
                <w:sz w:val="24"/>
              </w:rPr>
              <w:t>V</w:t>
            </w:r>
            <w:r>
              <w:rPr>
                <w:sz w:val="24"/>
              </w:rPr>
              <w:t>OCs在密闭生产车间内无组织排放</w:t>
            </w:r>
            <w:r>
              <w:rPr>
                <w:bCs/>
                <w:sz w:val="24"/>
              </w:rPr>
              <w:t>，</w:t>
            </w:r>
            <w:r>
              <w:rPr>
                <w:rFonts w:hint="eastAsia"/>
                <w:bCs/>
                <w:sz w:val="24"/>
              </w:rPr>
              <w:t>项目厂界</w:t>
            </w:r>
            <w:r>
              <w:rPr>
                <w:bCs/>
                <w:sz w:val="24"/>
              </w:rPr>
              <w:t>无组织</w:t>
            </w:r>
            <w:r>
              <w:rPr>
                <w:rFonts w:hint="eastAsia"/>
                <w:bCs/>
                <w:sz w:val="24"/>
              </w:rPr>
              <w:t>颗粒物排放浓度执行</w:t>
            </w:r>
            <w:r>
              <w:rPr>
                <w:bCs/>
                <w:sz w:val="24"/>
              </w:rPr>
              <w:t>《大气污染物综合排放标准》（GB16297-1996）表2无组织排放监控浓度限值要求（</w:t>
            </w:r>
            <w:r>
              <w:rPr>
                <w:rFonts w:hint="eastAsia"/>
                <w:bCs/>
                <w:sz w:val="24"/>
              </w:rPr>
              <w:t>颗粒物1</w:t>
            </w:r>
            <w:r>
              <w:rPr>
                <w:bCs/>
                <w:sz w:val="24"/>
              </w:rPr>
              <w:t>.0 mg/m</w:t>
            </w:r>
            <w:r>
              <w:rPr>
                <w:rFonts w:hint="eastAsia"/>
                <w:bCs/>
                <w:sz w:val="24"/>
                <w:vertAlign w:val="superscript"/>
              </w:rPr>
              <w:t>3</w:t>
            </w:r>
            <w:r>
              <w:rPr>
                <w:bCs/>
                <w:sz w:val="24"/>
              </w:rPr>
              <w:t>）</w:t>
            </w:r>
            <w:r>
              <w:rPr>
                <w:rFonts w:hint="eastAsia"/>
                <w:bCs/>
                <w:sz w:val="24"/>
              </w:rPr>
              <w:t>，</w:t>
            </w:r>
            <w:r>
              <w:rPr>
                <w:bCs/>
                <w:sz w:val="24"/>
              </w:rPr>
              <w:t>VOCs厂界浓度满足《挥发性有机物排放标准 第5部分：表面涂装行业》（DB37/2801.5-2018）表3中浓度限值要求（VOCs≤2.0mg/m</w:t>
            </w:r>
            <w:r>
              <w:rPr>
                <w:bCs/>
                <w:sz w:val="24"/>
                <w:vertAlign w:val="superscript"/>
              </w:rPr>
              <w:t>3</w:t>
            </w:r>
            <w:r>
              <w:rPr>
                <w:bCs/>
                <w:sz w:val="24"/>
              </w:rPr>
              <w:t>）；厂区内VOCs无组织排放满足《挥发性有机物无组织排放控制标准》（GB37822-2019）附录A中表A.1的要求（1h平均浓度值：6mg/m</w:t>
            </w:r>
            <w:r>
              <w:rPr>
                <w:bCs/>
                <w:sz w:val="24"/>
                <w:vertAlign w:val="superscript"/>
              </w:rPr>
              <w:t>3</w:t>
            </w:r>
            <w:r>
              <w:rPr>
                <w:bCs/>
                <w:sz w:val="24"/>
              </w:rPr>
              <w:t>、任意一次浓度值：20mg/m</w:t>
            </w:r>
            <w:r>
              <w:rPr>
                <w:bCs/>
                <w:sz w:val="24"/>
                <w:vertAlign w:val="superscript"/>
              </w:rPr>
              <w:t>3</w:t>
            </w:r>
            <w:r>
              <w:rPr>
                <w:bCs/>
                <w:sz w:val="24"/>
              </w:rPr>
              <w:t>）。</w:t>
            </w:r>
          </w:p>
          <w:p w14:paraId="10031EFB">
            <w:pPr>
              <w:spacing w:line="360" w:lineRule="auto"/>
              <w:ind w:firstLine="480" w:firstLineChars="200"/>
              <w:rPr>
                <w:bCs/>
                <w:sz w:val="24"/>
              </w:rPr>
            </w:pPr>
            <w:r>
              <w:rPr>
                <w:rFonts w:hint="eastAsia"/>
                <w:bCs/>
                <w:sz w:val="24"/>
              </w:rPr>
              <w:t>综上，</w:t>
            </w:r>
            <w:r>
              <w:rPr>
                <w:bCs/>
                <w:sz w:val="24"/>
              </w:rPr>
              <w:t>项目产生的废气均采取有效措施后达标排放</w:t>
            </w:r>
            <w:r>
              <w:rPr>
                <w:rFonts w:hint="eastAsia"/>
                <w:bCs/>
                <w:sz w:val="24"/>
              </w:rPr>
              <w:t>，</w:t>
            </w:r>
            <w:r>
              <w:rPr>
                <w:bCs/>
                <w:sz w:val="24"/>
              </w:rPr>
              <w:t>对周围环境影响较小</w:t>
            </w:r>
            <w:r>
              <w:rPr>
                <w:rFonts w:hint="eastAsia"/>
                <w:bCs/>
                <w:sz w:val="24"/>
              </w:rPr>
              <w:t>。</w:t>
            </w:r>
          </w:p>
          <w:p w14:paraId="552745E1">
            <w:pPr>
              <w:autoSpaceDE w:val="0"/>
              <w:autoSpaceDN w:val="0"/>
              <w:adjustRightInd w:val="0"/>
              <w:spacing w:line="360" w:lineRule="auto"/>
              <w:ind w:firstLine="482" w:firstLineChars="200"/>
              <w:jc w:val="left"/>
              <w:rPr>
                <w:b/>
                <w:bCs/>
                <w:kern w:val="0"/>
                <w:sz w:val="24"/>
              </w:rPr>
            </w:pPr>
            <w:r>
              <w:rPr>
                <w:b/>
                <w:bCs/>
                <w:kern w:val="0"/>
                <w:sz w:val="24"/>
              </w:rPr>
              <w:t>二、水环境影响分析</w:t>
            </w:r>
          </w:p>
          <w:p w14:paraId="4AB3D7CD">
            <w:pPr>
              <w:spacing w:line="360" w:lineRule="auto"/>
              <w:ind w:firstLine="480"/>
              <w:rPr>
                <w:sz w:val="24"/>
              </w:rPr>
            </w:pPr>
            <w:r>
              <w:rPr>
                <w:sz w:val="24"/>
              </w:rPr>
              <w:t>本项目</w:t>
            </w:r>
            <w:r>
              <w:rPr>
                <w:rFonts w:hint="eastAsia"/>
                <w:sz w:val="24"/>
              </w:rPr>
              <w:t>生产过程不用水，</w:t>
            </w:r>
            <w:r>
              <w:rPr>
                <w:sz w:val="24"/>
              </w:rPr>
              <w:t>产生的废水主要为生活污水。</w:t>
            </w:r>
          </w:p>
          <w:p w14:paraId="0915B146">
            <w:pPr>
              <w:spacing w:line="360" w:lineRule="auto"/>
              <w:ind w:firstLine="480"/>
              <w:rPr>
                <w:sz w:val="24"/>
              </w:rPr>
            </w:pPr>
            <w:r>
              <w:rPr>
                <w:rFonts w:hint="eastAsia"/>
                <w:sz w:val="24"/>
              </w:rPr>
              <w:t>本项目新增</w:t>
            </w:r>
            <w:r>
              <w:rPr>
                <w:sz w:val="24"/>
              </w:rPr>
              <w:t>生活污水产生量为</w:t>
            </w:r>
            <w:r>
              <w:rPr>
                <w:rFonts w:hint="eastAsia"/>
                <w:sz w:val="24"/>
              </w:rPr>
              <w:t>480</w:t>
            </w:r>
            <w:r>
              <w:rPr>
                <w:sz w:val="24"/>
              </w:rPr>
              <w:t>m</w:t>
            </w:r>
            <w:r>
              <w:rPr>
                <w:sz w:val="24"/>
                <w:vertAlign w:val="superscript"/>
              </w:rPr>
              <w:t>3</w:t>
            </w:r>
            <w:r>
              <w:rPr>
                <w:sz w:val="24"/>
              </w:rPr>
              <w:t>/a，生活污水经化粪池处理后由环卫部门定期清运，不外排。污染物的产生浓度、产生量分别为：COD：350mg/L，</w:t>
            </w:r>
            <w:r>
              <w:rPr>
                <w:rFonts w:hint="eastAsia"/>
                <w:sz w:val="24"/>
              </w:rPr>
              <w:t>0.168</w:t>
            </w:r>
            <w:r>
              <w:rPr>
                <w:sz w:val="24"/>
              </w:rPr>
              <w:t>t/a；氨氮：40mg/L，0.0</w:t>
            </w:r>
            <w:r>
              <w:rPr>
                <w:rFonts w:hint="eastAsia"/>
                <w:sz w:val="24"/>
              </w:rPr>
              <w:t>19t</w:t>
            </w:r>
            <w:r>
              <w:rPr>
                <w:sz w:val="24"/>
              </w:rPr>
              <w:t>/a。</w:t>
            </w:r>
          </w:p>
          <w:p w14:paraId="113FE67C">
            <w:pPr>
              <w:spacing w:line="360" w:lineRule="auto"/>
              <w:ind w:firstLine="480"/>
              <w:rPr>
                <w:sz w:val="24"/>
                <w:szCs w:val="32"/>
              </w:rPr>
            </w:pPr>
            <w:r>
              <w:rPr>
                <w:sz w:val="24"/>
                <w:szCs w:val="32"/>
              </w:rPr>
              <w:t>废水可行性分析：本项目生活污水采用化粪池处理，化粪池能有效去除生活污水可沉淀和悬浮的物质。目前大部分企业采用化粪池收集生活污水，对其进行预处理。</w:t>
            </w:r>
            <w:r>
              <w:rPr>
                <w:sz w:val="24"/>
              </w:rPr>
              <w:t>本项目生活污水产生量为</w:t>
            </w:r>
            <w:r>
              <w:rPr>
                <w:rFonts w:hint="eastAsia"/>
                <w:sz w:val="24"/>
              </w:rPr>
              <w:t>480</w:t>
            </w:r>
            <w:r>
              <w:rPr>
                <w:sz w:val="24"/>
              </w:rPr>
              <w:t>m³/a（</w:t>
            </w:r>
            <w:r>
              <w:rPr>
                <w:rFonts w:hint="eastAsia"/>
                <w:sz w:val="24"/>
              </w:rPr>
              <w:t>1.6</w:t>
            </w:r>
            <w:r>
              <w:rPr>
                <w:sz w:val="24"/>
              </w:rPr>
              <w:t>m³/d）</w:t>
            </w:r>
            <w:r>
              <w:rPr>
                <w:rFonts w:hint="eastAsia"/>
                <w:sz w:val="24"/>
              </w:rPr>
              <w:t>，本项目拟建1座</w:t>
            </w:r>
            <w:r>
              <w:rPr>
                <w:sz w:val="24"/>
              </w:rPr>
              <w:t>容积为</w:t>
            </w:r>
            <w:r>
              <w:rPr>
                <w:rFonts w:hint="eastAsia"/>
                <w:sz w:val="24"/>
              </w:rPr>
              <w:t>10</w:t>
            </w:r>
            <w:r>
              <w:rPr>
                <w:sz w:val="24"/>
              </w:rPr>
              <w:t>m³的化粪池。项目建成后</w:t>
            </w:r>
            <w:r>
              <w:rPr>
                <w:rFonts w:hint="eastAsia"/>
                <w:sz w:val="24"/>
              </w:rPr>
              <w:t>由环卫部门清运</w:t>
            </w:r>
            <w:r>
              <w:rPr>
                <w:sz w:val="24"/>
              </w:rPr>
              <w:t>。</w:t>
            </w:r>
            <w:r>
              <w:rPr>
                <w:sz w:val="24"/>
                <w:szCs w:val="32"/>
              </w:rPr>
              <w:t>因此，本项目使用化粪池预处理生活污水技术是可行的。</w:t>
            </w:r>
          </w:p>
          <w:p w14:paraId="54E81A35">
            <w:pPr>
              <w:spacing w:line="360" w:lineRule="auto"/>
              <w:ind w:firstLine="480"/>
              <w:rPr>
                <w:sz w:val="24"/>
                <w:szCs w:val="32"/>
              </w:rPr>
            </w:pPr>
            <w:r>
              <w:rPr>
                <w:rFonts w:hint="eastAsia"/>
                <w:sz w:val="24"/>
                <w:szCs w:val="32"/>
              </w:rPr>
              <w:t>废水监测计划：</w:t>
            </w:r>
            <w:r>
              <w:rPr>
                <w:sz w:val="24"/>
                <w:szCs w:val="32"/>
              </w:rPr>
              <w:t>本项目无废水外排，无需进行监测。</w:t>
            </w:r>
          </w:p>
          <w:p w14:paraId="48A3A40B">
            <w:pPr>
              <w:spacing w:line="360" w:lineRule="auto"/>
              <w:ind w:firstLine="482"/>
              <w:rPr>
                <w:b/>
                <w:sz w:val="24"/>
              </w:rPr>
            </w:pPr>
            <w:r>
              <w:rPr>
                <w:b/>
                <w:sz w:val="24"/>
              </w:rPr>
              <w:t>三、声环境影响分析</w:t>
            </w:r>
          </w:p>
          <w:p w14:paraId="4C1077D7">
            <w:pPr>
              <w:spacing w:line="360" w:lineRule="auto"/>
              <w:ind w:firstLine="482"/>
              <w:rPr>
                <w:sz w:val="24"/>
              </w:rPr>
            </w:pPr>
            <w:r>
              <w:rPr>
                <w:rFonts w:hint="eastAsia"/>
                <w:bCs/>
                <w:sz w:val="24"/>
              </w:rPr>
              <w:t>本</w:t>
            </w:r>
            <w:r>
              <w:rPr>
                <w:bCs/>
                <w:sz w:val="24"/>
              </w:rPr>
              <w:t>项目产生的噪声主要来源于行吊、万能卷板机、</w:t>
            </w:r>
            <w:r>
              <w:rPr>
                <w:rFonts w:hint="eastAsia"/>
                <w:bCs/>
                <w:sz w:val="24"/>
              </w:rPr>
              <w:t>全自动四辊卷板机、冲床、大型激光切割机、中型激光切割机、等离子切割机、松下氩弧焊、松下气保焊、等离子自动焊、氩弧自动焊、激光自动焊、埋弧自动焊、全自动抛光设备、大型车床、镗床、铣床、手动激光焊、探伤仪、自动坡口机、管板自动焊、旋边机、锥体卷板机、喷塑房、固化间、冲压检测设备以及各种风机运转时产生的噪声，本次评价噪声源声压级参照《污染源源强核算技术指南</w:t>
            </w:r>
            <w:r>
              <w:rPr>
                <w:bCs/>
                <w:sz w:val="24"/>
              </w:rPr>
              <w:t xml:space="preserve"> </w:t>
            </w:r>
            <w:r>
              <w:rPr>
                <w:rFonts w:hint="eastAsia"/>
                <w:bCs/>
                <w:sz w:val="24"/>
              </w:rPr>
              <w:t>汽车制造》（HJ 1097—2020）表 G.1，</w:t>
            </w:r>
            <w:r>
              <w:rPr>
                <w:sz w:val="24"/>
              </w:rPr>
              <w:t>其噪声最大值为90dB（A）。本项目高噪声设备合理布置，尽量远离厂界和环境敏感点，在设备选型时优先选用低噪声设备，设备全部设置在室内，墙体封闭，加设隔声材料。同时加强门窗密闭性，各机械安装时采用加大减震基础，安装减震装置。加强管理，经常保养和维护机械设备避免设备在不良状态下运行。采用上述措施可以将噪声的等级降低15～25dB（A）。</w:t>
            </w:r>
          </w:p>
          <w:p w14:paraId="0BA1A24F">
            <w:pPr>
              <w:spacing w:line="360" w:lineRule="auto"/>
              <w:ind w:firstLine="482"/>
              <w:rPr>
                <w:bCs/>
                <w:sz w:val="24"/>
              </w:rPr>
            </w:pPr>
            <w:r>
              <w:rPr>
                <w:bCs/>
                <w:sz w:val="24"/>
              </w:rPr>
              <w:t>项目主要噪声源见表31。</w:t>
            </w:r>
          </w:p>
          <w:p w14:paraId="79538C22">
            <w:pPr>
              <w:spacing w:line="360" w:lineRule="auto"/>
              <w:ind w:firstLine="480" w:firstLineChars="200"/>
              <w:rPr>
                <w:bCs/>
                <w:sz w:val="24"/>
              </w:rPr>
            </w:pPr>
          </w:p>
          <w:p w14:paraId="0A608C43">
            <w:pPr>
              <w:spacing w:line="360" w:lineRule="auto"/>
              <w:ind w:firstLine="480" w:firstLineChars="200"/>
              <w:rPr>
                <w:bCs/>
                <w:sz w:val="24"/>
              </w:rPr>
            </w:pPr>
          </w:p>
          <w:p w14:paraId="03D965D4">
            <w:pPr>
              <w:spacing w:line="360" w:lineRule="auto"/>
              <w:ind w:firstLine="480" w:firstLineChars="200"/>
              <w:rPr>
                <w:bCs/>
                <w:sz w:val="24"/>
              </w:rPr>
            </w:pPr>
          </w:p>
          <w:p w14:paraId="2DB4D8E9">
            <w:pPr>
              <w:pStyle w:val="21"/>
              <w:tabs>
                <w:tab w:val="left" w:pos="519"/>
              </w:tabs>
              <w:jc w:val="both"/>
              <w:outlineLvl w:val="0"/>
              <w:rPr>
                <w:rFonts w:ascii="Times New Roman" w:hAnsi="Times New Roman"/>
                <w:highlight w:val="yellow"/>
              </w:rPr>
            </w:pPr>
          </w:p>
          <w:p w14:paraId="76C3E20F">
            <w:pPr>
              <w:pStyle w:val="21"/>
              <w:tabs>
                <w:tab w:val="left" w:pos="519"/>
              </w:tabs>
              <w:jc w:val="both"/>
              <w:outlineLvl w:val="0"/>
              <w:rPr>
                <w:rFonts w:ascii="Times New Roman" w:hAnsi="Times New Roman"/>
                <w:highlight w:val="yellow"/>
              </w:rPr>
            </w:pPr>
          </w:p>
          <w:p w14:paraId="01F2AF2B">
            <w:pPr>
              <w:pStyle w:val="21"/>
              <w:tabs>
                <w:tab w:val="left" w:pos="519"/>
              </w:tabs>
              <w:jc w:val="both"/>
              <w:outlineLvl w:val="0"/>
              <w:rPr>
                <w:rFonts w:ascii="Times New Roman" w:hAnsi="Times New Roman"/>
                <w:highlight w:val="yellow"/>
              </w:rPr>
            </w:pPr>
          </w:p>
          <w:p w14:paraId="299B7DD8">
            <w:pPr>
              <w:pStyle w:val="21"/>
              <w:tabs>
                <w:tab w:val="left" w:pos="519"/>
              </w:tabs>
              <w:jc w:val="both"/>
              <w:outlineLvl w:val="0"/>
              <w:rPr>
                <w:rFonts w:ascii="Times New Roman" w:hAnsi="Times New Roman"/>
                <w:highlight w:val="yellow"/>
              </w:rPr>
            </w:pPr>
          </w:p>
          <w:p w14:paraId="587F0413">
            <w:pPr>
              <w:pStyle w:val="21"/>
              <w:tabs>
                <w:tab w:val="left" w:pos="519"/>
              </w:tabs>
              <w:jc w:val="both"/>
              <w:outlineLvl w:val="0"/>
              <w:rPr>
                <w:rFonts w:ascii="Times New Roman" w:hAnsi="Times New Roman"/>
                <w:highlight w:val="yellow"/>
              </w:rPr>
            </w:pPr>
          </w:p>
          <w:p w14:paraId="60197A81">
            <w:pPr>
              <w:pStyle w:val="21"/>
              <w:tabs>
                <w:tab w:val="left" w:pos="519"/>
              </w:tabs>
              <w:jc w:val="both"/>
              <w:outlineLvl w:val="0"/>
              <w:rPr>
                <w:rFonts w:ascii="Times New Roman" w:hAnsi="Times New Roman"/>
                <w:highlight w:val="yellow"/>
              </w:rPr>
            </w:pPr>
          </w:p>
        </w:tc>
      </w:tr>
    </w:tbl>
    <w:p w14:paraId="43E5FC2F">
      <w:pPr>
        <w:pStyle w:val="21"/>
        <w:spacing w:before="0" w:beforeAutospacing="0" w:after="0" w:afterAutospacing="0" w:line="360" w:lineRule="auto"/>
        <w:outlineLvl w:val="0"/>
        <w:sectPr>
          <w:pgSz w:w="11907" w:h="16840"/>
          <w:pgMar w:top="1701" w:right="1304" w:bottom="1644" w:left="1361" w:header="851" w:footer="851" w:gutter="0"/>
          <w:cols w:space="720" w:num="1"/>
          <w:docGrid w:linePitch="312" w:charSpace="0"/>
        </w:sectPr>
      </w:pPr>
    </w:p>
    <w:p w14:paraId="6370D287">
      <w:pPr>
        <w:jc w:val="center"/>
        <w:rPr>
          <w:b/>
          <w:sz w:val="24"/>
        </w:rPr>
      </w:pPr>
      <w:r>
        <w:rPr>
          <w:b/>
          <w:sz w:val="24"/>
          <w:szCs w:val="20"/>
        </w:rPr>
        <w:t>表31</w:t>
      </w:r>
      <w:r>
        <w:rPr>
          <w:b/>
          <w:sz w:val="24"/>
        </w:rPr>
        <w:t>噪声源强调查清单（室内声源）</w:t>
      </w:r>
    </w:p>
    <w:tbl>
      <w:tblPr>
        <w:tblStyle w:val="25"/>
        <w:tblW w:w="12948" w:type="dxa"/>
        <w:jc w:val="center"/>
        <w:tblLayout w:type="autofit"/>
        <w:tblCellMar>
          <w:top w:w="0" w:type="dxa"/>
          <w:left w:w="108" w:type="dxa"/>
          <w:bottom w:w="0" w:type="dxa"/>
          <w:right w:w="108" w:type="dxa"/>
        </w:tblCellMar>
      </w:tblPr>
      <w:tblGrid>
        <w:gridCol w:w="426"/>
        <w:gridCol w:w="426"/>
        <w:gridCol w:w="555"/>
        <w:gridCol w:w="426"/>
        <w:gridCol w:w="636"/>
        <w:gridCol w:w="636"/>
        <w:gridCol w:w="426"/>
        <w:gridCol w:w="531"/>
        <w:gridCol w:w="345"/>
        <w:gridCol w:w="531"/>
        <w:gridCol w:w="531"/>
        <w:gridCol w:w="426"/>
        <w:gridCol w:w="531"/>
        <w:gridCol w:w="584"/>
        <w:gridCol w:w="584"/>
        <w:gridCol w:w="584"/>
        <w:gridCol w:w="584"/>
        <w:gridCol w:w="636"/>
        <w:gridCol w:w="788"/>
        <w:gridCol w:w="584"/>
        <w:gridCol w:w="584"/>
        <w:gridCol w:w="584"/>
        <w:gridCol w:w="584"/>
        <w:gridCol w:w="426"/>
      </w:tblGrid>
      <w:tr w14:paraId="050D3FD2">
        <w:tblPrEx>
          <w:tblCellMar>
            <w:top w:w="0" w:type="dxa"/>
            <w:left w:w="108" w:type="dxa"/>
            <w:bottom w:w="0" w:type="dxa"/>
            <w:right w:w="108" w:type="dxa"/>
          </w:tblCellMar>
        </w:tblPrEx>
        <w:trPr>
          <w:trHeight w:val="270" w:hRule="atLeast"/>
          <w:jc w:val="center"/>
        </w:trPr>
        <w:tc>
          <w:tcPr>
            <w:tcW w:w="4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19601E0">
            <w:pPr>
              <w:widowControl/>
              <w:jc w:val="center"/>
              <w:rPr>
                <w:kern w:val="0"/>
                <w:szCs w:val="21"/>
              </w:rPr>
            </w:pPr>
            <w:r>
              <w:rPr>
                <w:kern w:val="0"/>
                <w:szCs w:val="21"/>
              </w:rPr>
              <w:t>序号</w:t>
            </w:r>
          </w:p>
        </w:tc>
        <w:tc>
          <w:tcPr>
            <w:tcW w:w="4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98DA0F">
            <w:pPr>
              <w:widowControl/>
              <w:jc w:val="center"/>
              <w:rPr>
                <w:kern w:val="0"/>
                <w:szCs w:val="21"/>
              </w:rPr>
            </w:pPr>
            <w:r>
              <w:rPr>
                <w:kern w:val="0"/>
                <w:szCs w:val="21"/>
              </w:rPr>
              <w:t>建筑物</w:t>
            </w:r>
          </w:p>
        </w:tc>
        <w:tc>
          <w:tcPr>
            <w:tcW w:w="55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C4363E0">
            <w:pPr>
              <w:widowControl/>
              <w:jc w:val="center"/>
              <w:rPr>
                <w:kern w:val="0"/>
                <w:szCs w:val="21"/>
              </w:rPr>
            </w:pPr>
            <w:r>
              <w:rPr>
                <w:kern w:val="0"/>
                <w:szCs w:val="21"/>
              </w:rPr>
              <w:t>声源名称</w:t>
            </w:r>
          </w:p>
        </w:tc>
        <w:tc>
          <w:tcPr>
            <w:tcW w:w="4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707FA86">
            <w:pPr>
              <w:widowControl/>
              <w:jc w:val="center"/>
              <w:rPr>
                <w:kern w:val="0"/>
                <w:szCs w:val="21"/>
              </w:rPr>
            </w:pPr>
            <w:r>
              <w:rPr>
                <w:kern w:val="0"/>
                <w:szCs w:val="21"/>
              </w:rPr>
              <w:t>声源源强</w:t>
            </w:r>
          </w:p>
        </w:tc>
        <w:tc>
          <w:tcPr>
            <w:tcW w:w="6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ECF39F2">
            <w:pPr>
              <w:widowControl/>
              <w:jc w:val="center"/>
              <w:rPr>
                <w:kern w:val="0"/>
                <w:szCs w:val="21"/>
              </w:rPr>
            </w:pPr>
            <w:r>
              <w:rPr>
                <w:kern w:val="0"/>
                <w:szCs w:val="21"/>
              </w:rPr>
              <w:t>数量（台/套）</w:t>
            </w:r>
          </w:p>
        </w:tc>
        <w:tc>
          <w:tcPr>
            <w:tcW w:w="6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F0C6EAB">
            <w:pPr>
              <w:widowControl/>
              <w:jc w:val="center"/>
              <w:rPr>
                <w:kern w:val="0"/>
                <w:szCs w:val="21"/>
              </w:rPr>
            </w:pPr>
            <w:r>
              <w:rPr>
                <w:kern w:val="0"/>
                <w:szCs w:val="21"/>
              </w:rPr>
              <w:t>声源控制措施</w:t>
            </w:r>
          </w:p>
        </w:tc>
        <w:tc>
          <w:tcPr>
            <w:tcW w:w="1302" w:type="dxa"/>
            <w:gridSpan w:val="3"/>
            <w:tcBorders>
              <w:top w:val="single" w:color="auto" w:sz="4" w:space="0"/>
              <w:left w:val="nil"/>
              <w:bottom w:val="single" w:color="auto" w:sz="4" w:space="0"/>
              <w:right w:val="single" w:color="auto" w:sz="4" w:space="0"/>
            </w:tcBorders>
            <w:shd w:val="clear" w:color="auto" w:fill="auto"/>
            <w:vAlign w:val="center"/>
          </w:tcPr>
          <w:p w14:paraId="54695464">
            <w:pPr>
              <w:widowControl/>
              <w:jc w:val="center"/>
              <w:rPr>
                <w:kern w:val="0"/>
                <w:szCs w:val="21"/>
              </w:rPr>
            </w:pPr>
            <w:r>
              <w:rPr>
                <w:kern w:val="0"/>
                <w:szCs w:val="21"/>
              </w:rPr>
              <w:t>空间相对位置</w:t>
            </w:r>
          </w:p>
        </w:tc>
        <w:tc>
          <w:tcPr>
            <w:tcW w:w="2019" w:type="dxa"/>
            <w:gridSpan w:val="4"/>
            <w:tcBorders>
              <w:top w:val="single" w:color="auto" w:sz="4" w:space="0"/>
              <w:left w:val="nil"/>
              <w:bottom w:val="single" w:color="auto" w:sz="4" w:space="0"/>
              <w:right w:val="single" w:color="auto" w:sz="4" w:space="0"/>
            </w:tcBorders>
            <w:shd w:val="clear" w:color="auto" w:fill="auto"/>
            <w:vAlign w:val="center"/>
          </w:tcPr>
          <w:p w14:paraId="75FFF41C">
            <w:pPr>
              <w:widowControl/>
              <w:jc w:val="center"/>
              <w:rPr>
                <w:kern w:val="0"/>
                <w:szCs w:val="21"/>
              </w:rPr>
            </w:pPr>
            <w:r>
              <w:rPr>
                <w:kern w:val="0"/>
                <w:szCs w:val="21"/>
              </w:rPr>
              <w:t>距室内边界距离/m</w:t>
            </w:r>
          </w:p>
        </w:tc>
        <w:tc>
          <w:tcPr>
            <w:tcW w:w="2336" w:type="dxa"/>
            <w:gridSpan w:val="4"/>
            <w:tcBorders>
              <w:top w:val="single" w:color="auto" w:sz="4" w:space="0"/>
              <w:left w:val="nil"/>
              <w:bottom w:val="single" w:color="auto" w:sz="4" w:space="0"/>
              <w:right w:val="single" w:color="auto" w:sz="4" w:space="0"/>
            </w:tcBorders>
            <w:shd w:val="clear" w:color="auto" w:fill="auto"/>
            <w:vAlign w:val="center"/>
          </w:tcPr>
          <w:p w14:paraId="3709BF0E">
            <w:pPr>
              <w:widowControl/>
              <w:jc w:val="center"/>
              <w:rPr>
                <w:kern w:val="0"/>
                <w:szCs w:val="21"/>
              </w:rPr>
            </w:pPr>
            <w:r>
              <w:rPr>
                <w:kern w:val="0"/>
                <w:szCs w:val="21"/>
              </w:rPr>
              <w:t>室内边界声级/dB（A）</w:t>
            </w:r>
          </w:p>
        </w:tc>
        <w:tc>
          <w:tcPr>
            <w:tcW w:w="6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E699A0D">
            <w:pPr>
              <w:widowControl/>
              <w:jc w:val="center"/>
              <w:rPr>
                <w:kern w:val="0"/>
                <w:szCs w:val="21"/>
              </w:rPr>
            </w:pPr>
            <w:r>
              <w:rPr>
                <w:kern w:val="0"/>
                <w:szCs w:val="21"/>
              </w:rPr>
              <w:t>运行时间/h</w:t>
            </w:r>
          </w:p>
        </w:tc>
        <w:tc>
          <w:tcPr>
            <w:tcW w:w="78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5E295AB">
            <w:pPr>
              <w:widowControl/>
              <w:jc w:val="center"/>
              <w:rPr>
                <w:kern w:val="0"/>
                <w:szCs w:val="21"/>
              </w:rPr>
            </w:pPr>
            <w:r>
              <w:rPr>
                <w:kern w:val="0"/>
                <w:szCs w:val="21"/>
              </w:rPr>
              <w:t>综合降噪损失dB（A）</w:t>
            </w:r>
          </w:p>
        </w:tc>
        <w:tc>
          <w:tcPr>
            <w:tcW w:w="2762" w:type="dxa"/>
            <w:gridSpan w:val="5"/>
            <w:tcBorders>
              <w:top w:val="single" w:color="auto" w:sz="4" w:space="0"/>
              <w:left w:val="nil"/>
              <w:bottom w:val="single" w:color="auto" w:sz="4" w:space="0"/>
              <w:right w:val="single" w:color="auto" w:sz="4" w:space="0"/>
            </w:tcBorders>
            <w:shd w:val="clear" w:color="auto" w:fill="auto"/>
            <w:vAlign w:val="center"/>
          </w:tcPr>
          <w:p w14:paraId="141368DE">
            <w:pPr>
              <w:widowControl/>
              <w:jc w:val="center"/>
              <w:rPr>
                <w:kern w:val="0"/>
                <w:szCs w:val="21"/>
              </w:rPr>
            </w:pPr>
            <w:r>
              <w:rPr>
                <w:kern w:val="0"/>
                <w:szCs w:val="21"/>
              </w:rPr>
              <w:t>建筑物外噪声</w:t>
            </w:r>
          </w:p>
        </w:tc>
      </w:tr>
      <w:tr w14:paraId="5D2F8480">
        <w:tblPrEx>
          <w:tblCellMar>
            <w:top w:w="0" w:type="dxa"/>
            <w:left w:w="108" w:type="dxa"/>
            <w:bottom w:w="0" w:type="dxa"/>
            <w:right w:w="108" w:type="dxa"/>
          </w:tblCellMar>
        </w:tblPrEx>
        <w:trPr>
          <w:trHeight w:val="270" w:hRule="atLeast"/>
          <w:jc w:val="center"/>
        </w:trPr>
        <w:tc>
          <w:tcPr>
            <w:tcW w:w="426" w:type="dxa"/>
            <w:vMerge w:val="continue"/>
            <w:tcBorders>
              <w:top w:val="single" w:color="auto" w:sz="4" w:space="0"/>
              <w:left w:val="single" w:color="auto" w:sz="4" w:space="0"/>
              <w:bottom w:val="single" w:color="auto" w:sz="4" w:space="0"/>
              <w:right w:val="single" w:color="auto" w:sz="4" w:space="0"/>
            </w:tcBorders>
            <w:vAlign w:val="center"/>
          </w:tcPr>
          <w:p w14:paraId="5D245A9B">
            <w:pPr>
              <w:widowControl/>
              <w:jc w:val="left"/>
              <w:rPr>
                <w:kern w:val="0"/>
                <w:szCs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12CB6551">
            <w:pPr>
              <w:widowControl/>
              <w:jc w:val="left"/>
              <w:rPr>
                <w:kern w:val="0"/>
                <w:szCs w:val="21"/>
              </w:rPr>
            </w:pPr>
          </w:p>
        </w:tc>
        <w:tc>
          <w:tcPr>
            <w:tcW w:w="555" w:type="dxa"/>
            <w:vMerge w:val="continue"/>
            <w:tcBorders>
              <w:top w:val="single" w:color="auto" w:sz="4" w:space="0"/>
              <w:left w:val="single" w:color="auto" w:sz="4" w:space="0"/>
              <w:bottom w:val="single" w:color="auto" w:sz="4" w:space="0"/>
              <w:right w:val="single" w:color="auto" w:sz="4" w:space="0"/>
            </w:tcBorders>
            <w:vAlign w:val="center"/>
          </w:tcPr>
          <w:p w14:paraId="699F3518">
            <w:pPr>
              <w:widowControl/>
              <w:jc w:val="left"/>
              <w:rPr>
                <w:kern w:val="0"/>
                <w:szCs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788580D1">
            <w:pPr>
              <w:widowControl/>
              <w:jc w:val="left"/>
              <w:rPr>
                <w:kern w:val="0"/>
                <w:szCs w:val="21"/>
              </w:rPr>
            </w:pP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0D10538F">
            <w:pPr>
              <w:widowControl/>
              <w:jc w:val="left"/>
              <w:rPr>
                <w:kern w:val="0"/>
                <w:szCs w:val="21"/>
              </w:rPr>
            </w:pP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7550958B">
            <w:pPr>
              <w:widowControl/>
              <w:jc w:val="left"/>
              <w:rPr>
                <w:kern w:val="0"/>
                <w:szCs w:val="21"/>
              </w:rPr>
            </w:pPr>
          </w:p>
        </w:tc>
        <w:tc>
          <w:tcPr>
            <w:tcW w:w="426" w:type="dxa"/>
            <w:vMerge w:val="restart"/>
            <w:tcBorders>
              <w:top w:val="nil"/>
              <w:left w:val="single" w:color="auto" w:sz="4" w:space="0"/>
              <w:bottom w:val="single" w:color="auto" w:sz="4" w:space="0"/>
              <w:right w:val="single" w:color="auto" w:sz="4" w:space="0"/>
            </w:tcBorders>
            <w:shd w:val="clear" w:color="auto" w:fill="auto"/>
            <w:vAlign w:val="center"/>
          </w:tcPr>
          <w:p w14:paraId="5C3E7E8F">
            <w:pPr>
              <w:widowControl/>
              <w:jc w:val="center"/>
              <w:rPr>
                <w:kern w:val="0"/>
                <w:szCs w:val="21"/>
              </w:rPr>
            </w:pPr>
            <w:r>
              <w:rPr>
                <w:kern w:val="0"/>
                <w:szCs w:val="21"/>
              </w:rPr>
              <w:t>X</w:t>
            </w:r>
          </w:p>
        </w:tc>
        <w:tc>
          <w:tcPr>
            <w:tcW w:w="531" w:type="dxa"/>
            <w:vMerge w:val="restart"/>
            <w:tcBorders>
              <w:top w:val="nil"/>
              <w:left w:val="single" w:color="auto" w:sz="4" w:space="0"/>
              <w:bottom w:val="single" w:color="auto" w:sz="4" w:space="0"/>
              <w:right w:val="single" w:color="auto" w:sz="4" w:space="0"/>
            </w:tcBorders>
            <w:shd w:val="clear" w:color="auto" w:fill="auto"/>
            <w:vAlign w:val="center"/>
          </w:tcPr>
          <w:p w14:paraId="00F9A990">
            <w:pPr>
              <w:widowControl/>
              <w:jc w:val="center"/>
              <w:rPr>
                <w:kern w:val="0"/>
                <w:szCs w:val="21"/>
              </w:rPr>
            </w:pPr>
            <w:r>
              <w:rPr>
                <w:kern w:val="0"/>
                <w:szCs w:val="21"/>
              </w:rPr>
              <w:t>Y</w:t>
            </w:r>
          </w:p>
        </w:tc>
        <w:tc>
          <w:tcPr>
            <w:tcW w:w="345" w:type="dxa"/>
            <w:vMerge w:val="restart"/>
            <w:tcBorders>
              <w:top w:val="nil"/>
              <w:left w:val="single" w:color="auto" w:sz="4" w:space="0"/>
              <w:bottom w:val="single" w:color="auto" w:sz="4" w:space="0"/>
              <w:right w:val="single" w:color="auto" w:sz="4" w:space="0"/>
            </w:tcBorders>
            <w:shd w:val="clear" w:color="auto" w:fill="auto"/>
            <w:vAlign w:val="center"/>
          </w:tcPr>
          <w:p w14:paraId="26B65133">
            <w:pPr>
              <w:widowControl/>
              <w:jc w:val="center"/>
              <w:rPr>
                <w:kern w:val="0"/>
                <w:szCs w:val="21"/>
              </w:rPr>
            </w:pPr>
            <w:r>
              <w:rPr>
                <w:kern w:val="0"/>
                <w:szCs w:val="21"/>
              </w:rPr>
              <w:t>Z</w:t>
            </w:r>
          </w:p>
        </w:tc>
        <w:tc>
          <w:tcPr>
            <w:tcW w:w="531" w:type="dxa"/>
            <w:vMerge w:val="restart"/>
            <w:tcBorders>
              <w:top w:val="nil"/>
              <w:left w:val="single" w:color="auto" w:sz="4" w:space="0"/>
              <w:bottom w:val="single" w:color="auto" w:sz="4" w:space="0"/>
              <w:right w:val="single" w:color="auto" w:sz="4" w:space="0"/>
            </w:tcBorders>
            <w:shd w:val="clear" w:color="auto" w:fill="auto"/>
            <w:vAlign w:val="center"/>
          </w:tcPr>
          <w:p w14:paraId="745197B4">
            <w:pPr>
              <w:widowControl/>
              <w:jc w:val="center"/>
              <w:rPr>
                <w:kern w:val="0"/>
                <w:szCs w:val="21"/>
              </w:rPr>
            </w:pPr>
            <w:r>
              <w:rPr>
                <w:kern w:val="0"/>
                <w:szCs w:val="21"/>
              </w:rPr>
              <w:t>东</w:t>
            </w:r>
          </w:p>
        </w:tc>
        <w:tc>
          <w:tcPr>
            <w:tcW w:w="531" w:type="dxa"/>
            <w:vMerge w:val="restart"/>
            <w:tcBorders>
              <w:top w:val="nil"/>
              <w:left w:val="single" w:color="auto" w:sz="4" w:space="0"/>
              <w:bottom w:val="single" w:color="auto" w:sz="4" w:space="0"/>
              <w:right w:val="single" w:color="auto" w:sz="4" w:space="0"/>
            </w:tcBorders>
            <w:shd w:val="clear" w:color="auto" w:fill="auto"/>
            <w:vAlign w:val="center"/>
          </w:tcPr>
          <w:p w14:paraId="32889F04">
            <w:pPr>
              <w:widowControl/>
              <w:jc w:val="center"/>
              <w:rPr>
                <w:kern w:val="0"/>
                <w:szCs w:val="21"/>
              </w:rPr>
            </w:pPr>
            <w:r>
              <w:rPr>
                <w:kern w:val="0"/>
                <w:szCs w:val="21"/>
              </w:rPr>
              <w:t>南</w:t>
            </w:r>
          </w:p>
        </w:tc>
        <w:tc>
          <w:tcPr>
            <w:tcW w:w="426" w:type="dxa"/>
            <w:vMerge w:val="restart"/>
            <w:tcBorders>
              <w:top w:val="nil"/>
              <w:left w:val="single" w:color="auto" w:sz="4" w:space="0"/>
              <w:bottom w:val="single" w:color="auto" w:sz="4" w:space="0"/>
              <w:right w:val="single" w:color="auto" w:sz="4" w:space="0"/>
            </w:tcBorders>
            <w:shd w:val="clear" w:color="auto" w:fill="auto"/>
            <w:vAlign w:val="center"/>
          </w:tcPr>
          <w:p w14:paraId="4281FA47">
            <w:pPr>
              <w:widowControl/>
              <w:jc w:val="center"/>
              <w:rPr>
                <w:kern w:val="0"/>
                <w:szCs w:val="21"/>
              </w:rPr>
            </w:pPr>
            <w:r>
              <w:rPr>
                <w:kern w:val="0"/>
                <w:szCs w:val="21"/>
              </w:rPr>
              <w:t>西</w:t>
            </w:r>
          </w:p>
        </w:tc>
        <w:tc>
          <w:tcPr>
            <w:tcW w:w="531" w:type="dxa"/>
            <w:vMerge w:val="restart"/>
            <w:tcBorders>
              <w:top w:val="nil"/>
              <w:left w:val="single" w:color="auto" w:sz="4" w:space="0"/>
              <w:bottom w:val="single" w:color="auto" w:sz="4" w:space="0"/>
              <w:right w:val="single" w:color="auto" w:sz="4" w:space="0"/>
            </w:tcBorders>
            <w:shd w:val="clear" w:color="auto" w:fill="auto"/>
            <w:vAlign w:val="center"/>
          </w:tcPr>
          <w:p w14:paraId="2584C3BB">
            <w:pPr>
              <w:widowControl/>
              <w:jc w:val="center"/>
              <w:rPr>
                <w:kern w:val="0"/>
                <w:szCs w:val="21"/>
              </w:rPr>
            </w:pPr>
            <w:r>
              <w:rPr>
                <w:kern w:val="0"/>
                <w:szCs w:val="21"/>
              </w:rPr>
              <w:t>北</w:t>
            </w:r>
          </w:p>
        </w:tc>
        <w:tc>
          <w:tcPr>
            <w:tcW w:w="584" w:type="dxa"/>
            <w:vMerge w:val="restart"/>
            <w:tcBorders>
              <w:top w:val="nil"/>
              <w:left w:val="single" w:color="auto" w:sz="4" w:space="0"/>
              <w:bottom w:val="single" w:color="auto" w:sz="4" w:space="0"/>
              <w:right w:val="single" w:color="auto" w:sz="4" w:space="0"/>
            </w:tcBorders>
            <w:shd w:val="clear" w:color="auto" w:fill="auto"/>
            <w:vAlign w:val="center"/>
          </w:tcPr>
          <w:p w14:paraId="09466BC5">
            <w:pPr>
              <w:widowControl/>
              <w:jc w:val="center"/>
              <w:rPr>
                <w:kern w:val="0"/>
                <w:szCs w:val="21"/>
              </w:rPr>
            </w:pPr>
            <w:r>
              <w:rPr>
                <w:kern w:val="0"/>
                <w:szCs w:val="21"/>
              </w:rPr>
              <w:t>东</w:t>
            </w:r>
          </w:p>
        </w:tc>
        <w:tc>
          <w:tcPr>
            <w:tcW w:w="584" w:type="dxa"/>
            <w:vMerge w:val="restart"/>
            <w:tcBorders>
              <w:top w:val="nil"/>
              <w:left w:val="single" w:color="auto" w:sz="4" w:space="0"/>
              <w:bottom w:val="single" w:color="auto" w:sz="4" w:space="0"/>
              <w:right w:val="single" w:color="auto" w:sz="4" w:space="0"/>
            </w:tcBorders>
            <w:shd w:val="clear" w:color="auto" w:fill="auto"/>
            <w:vAlign w:val="center"/>
          </w:tcPr>
          <w:p w14:paraId="656E004C">
            <w:pPr>
              <w:widowControl/>
              <w:jc w:val="center"/>
              <w:rPr>
                <w:kern w:val="0"/>
                <w:szCs w:val="21"/>
              </w:rPr>
            </w:pPr>
            <w:r>
              <w:rPr>
                <w:kern w:val="0"/>
                <w:szCs w:val="21"/>
              </w:rPr>
              <w:t>南</w:t>
            </w:r>
          </w:p>
        </w:tc>
        <w:tc>
          <w:tcPr>
            <w:tcW w:w="584" w:type="dxa"/>
            <w:vMerge w:val="restart"/>
            <w:tcBorders>
              <w:top w:val="nil"/>
              <w:left w:val="single" w:color="auto" w:sz="4" w:space="0"/>
              <w:bottom w:val="single" w:color="auto" w:sz="4" w:space="0"/>
              <w:right w:val="single" w:color="auto" w:sz="4" w:space="0"/>
            </w:tcBorders>
            <w:shd w:val="clear" w:color="auto" w:fill="auto"/>
            <w:vAlign w:val="center"/>
          </w:tcPr>
          <w:p w14:paraId="790EDB6E">
            <w:pPr>
              <w:widowControl/>
              <w:jc w:val="center"/>
              <w:rPr>
                <w:kern w:val="0"/>
                <w:szCs w:val="21"/>
              </w:rPr>
            </w:pPr>
            <w:r>
              <w:rPr>
                <w:kern w:val="0"/>
                <w:szCs w:val="21"/>
              </w:rPr>
              <w:t>西</w:t>
            </w:r>
          </w:p>
        </w:tc>
        <w:tc>
          <w:tcPr>
            <w:tcW w:w="584" w:type="dxa"/>
            <w:vMerge w:val="restart"/>
            <w:tcBorders>
              <w:top w:val="nil"/>
              <w:left w:val="single" w:color="auto" w:sz="4" w:space="0"/>
              <w:bottom w:val="single" w:color="auto" w:sz="4" w:space="0"/>
              <w:right w:val="single" w:color="auto" w:sz="4" w:space="0"/>
            </w:tcBorders>
            <w:shd w:val="clear" w:color="auto" w:fill="auto"/>
            <w:vAlign w:val="center"/>
          </w:tcPr>
          <w:p w14:paraId="36331FB8">
            <w:pPr>
              <w:widowControl/>
              <w:jc w:val="center"/>
              <w:rPr>
                <w:kern w:val="0"/>
                <w:szCs w:val="21"/>
              </w:rPr>
            </w:pPr>
            <w:r>
              <w:rPr>
                <w:kern w:val="0"/>
                <w:szCs w:val="21"/>
              </w:rPr>
              <w:t>北</w:t>
            </w: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0A37063F">
            <w:pPr>
              <w:widowControl/>
              <w:jc w:val="left"/>
              <w:rPr>
                <w:kern w:val="0"/>
                <w:szCs w:val="21"/>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236A18C7">
            <w:pPr>
              <w:widowControl/>
              <w:jc w:val="left"/>
              <w:rPr>
                <w:kern w:val="0"/>
                <w:szCs w:val="21"/>
              </w:rPr>
            </w:pPr>
          </w:p>
        </w:tc>
        <w:tc>
          <w:tcPr>
            <w:tcW w:w="2336" w:type="dxa"/>
            <w:gridSpan w:val="4"/>
            <w:tcBorders>
              <w:top w:val="single" w:color="auto" w:sz="4" w:space="0"/>
              <w:left w:val="nil"/>
              <w:bottom w:val="single" w:color="auto" w:sz="4" w:space="0"/>
              <w:right w:val="single" w:color="auto" w:sz="4" w:space="0"/>
            </w:tcBorders>
            <w:shd w:val="clear" w:color="auto" w:fill="auto"/>
            <w:vAlign w:val="center"/>
          </w:tcPr>
          <w:p w14:paraId="3D7B07B9">
            <w:pPr>
              <w:widowControl/>
              <w:jc w:val="center"/>
              <w:rPr>
                <w:kern w:val="0"/>
                <w:szCs w:val="21"/>
              </w:rPr>
            </w:pPr>
            <w:r>
              <w:rPr>
                <w:kern w:val="0"/>
                <w:szCs w:val="21"/>
              </w:rPr>
              <w:t>声压级/dB（A）</w:t>
            </w:r>
          </w:p>
        </w:tc>
        <w:tc>
          <w:tcPr>
            <w:tcW w:w="426" w:type="dxa"/>
            <w:vMerge w:val="restart"/>
            <w:tcBorders>
              <w:top w:val="nil"/>
              <w:left w:val="single" w:color="auto" w:sz="4" w:space="0"/>
              <w:bottom w:val="single" w:color="auto" w:sz="4" w:space="0"/>
              <w:right w:val="single" w:color="auto" w:sz="4" w:space="0"/>
            </w:tcBorders>
            <w:shd w:val="clear" w:color="auto" w:fill="auto"/>
            <w:vAlign w:val="center"/>
          </w:tcPr>
          <w:p w14:paraId="5B673351">
            <w:pPr>
              <w:widowControl/>
              <w:jc w:val="center"/>
              <w:rPr>
                <w:kern w:val="0"/>
                <w:szCs w:val="21"/>
              </w:rPr>
            </w:pPr>
            <w:r>
              <w:rPr>
                <w:kern w:val="0"/>
                <w:szCs w:val="21"/>
              </w:rPr>
              <w:t>建筑物外距离m</w:t>
            </w:r>
          </w:p>
        </w:tc>
      </w:tr>
      <w:tr w14:paraId="64164216">
        <w:tblPrEx>
          <w:tblCellMar>
            <w:top w:w="0" w:type="dxa"/>
            <w:left w:w="108" w:type="dxa"/>
            <w:bottom w:w="0" w:type="dxa"/>
            <w:right w:w="108" w:type="dxa"/>
          </w:tblCellMar>
        </w:tblPrEx>
        <w:trPr>
          <w:trHeight w:val="270" w:hRule="atLeast"/>
          <w:jc w:val="center"/>
        </w:trPr>
        <w:tc>
          <w:tcPr>
            <w:tcW w:w="426" w:type="dxa"/>
            <w:vMerge w:val="continue"/>
            <w:tcBorders>
              <w:top w:val="single" w:color="auto" w:sz="4" w:space="0"/>
              <w:left w:val="single" w:color="auto" w:sz="4" w:space="0"/>
              <w:bottom w:val="single" w:color="auto" w:sz="4" w:space="0"/>
              <w:right w:val="single" w:color="auto" w:sz="4" w:space="0"/>
            </w:tcBorders>
            <w:vAlign w:val="center"/>
          </w:tcPr>
          <w:p w14:paraId="156CE2BD">
            <w:pPr>
              <w:widowControl/>
              <w:jc w:val="left"/>
              <w:rPr>
                <w:kern w:val="0"/>
                <w:szCs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2481ABAD">
            <w:pPr>
              <w:widowControl/>
              <w:jc w:val="left"/>
              <w:rPr>
                <w:kern w:val="0"/>
                <w:szCs w:val="21"/>
              </w:rPr>
            </w:pPr>
          </w:p>
        </w:tc>
        <w:tc>
          <w:tcPr>
            <w:tcW w:w="555" w:type="dxa"/>
            <w:vMerge w:val="continue"/>
            <w:tcBorders>
              <w:top w:val="single" w:color="auto" w:sz="4" w:space="0"/>
              <w:left w:val="single" w:color="auto" w:sz="4" w:space="0"/>
              <w:bottom w:val="single" w:color="auto" w:sz="4" w:space="0"/>
              <w:right w:val="single" w:color="auto" w:sz="4" w:space="0"/>
            </w:tcBorders>
            <w:vAlign w:val="center"/>
          </w:tcPr>
          <w:p w14:paraId="43C7EBB7">
            <w:pPr>
              <w:widowControl/>
              <w:jc w:val="left"/>
              <w:rPr>
                <w:kern w:val="0"/>
                <w:szCs w:val="21"/>
              </w:rPr>
            </w:pPr>
          </w:p>
        </w:tc>
        <w:tc>
          <w:tcPr>
            <w:tcW w:w="426" w:type="dxa"/>
            <w:vMerge w:val="continue"/>
            <w:tcBorders>
              <w:top w:val="single" w:color="auto" w:sz="4" w:space="0"/>
              <w:left w:val="single" w:color="auto" w:sz="4" w:space="0"/>
              <w:bottom w:val="single" w:color="auto" w:sz="4" w:space="0"/>
              <w:right w:val="single" w:color="auto" w:sz="4" w:space="0"/>
            </w:tcBorders>
            <w:vAlign w:val="center"/>
          </w:tcPr>
          <w:p w14:paraId="2B545F0A">
            <w:pPr>
              <w:widowControl/>
              <w:jc w:val="left"/>
              <w:rPr>
                <w:kern w:val="0"/>
                <w:szCs w:val="21"/>
              </w:rPr>
            </w:pP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0225FF4B">
            <w:pPr>
              <w:widowControl/>
              <w:jc w:val="left"/>
              <w:rPr>
                <w:kern w:val="0"/>
                <w:szCs w:val="21"/>
              </w:rPr>
            </w:pP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28100806">
            <w:pPr>
              <w:widowControl/>
              <w:jc w:val="left"/>
              <w:rPr>
                <w:kern w:val="0"/>
                <w:szCs w:val="21"/>
              </w:rPr>
            </w:pPr>
          </w:p>
        </w:tc>
        <w:tc>
          <w:tcPr>
            <w:tcW w:w="426" w:type="dxa"/>
            <w:vMerge w:val="continue"/>
            <w:tcBorders>
              <w:top w:val="nil"/>
              <w:left w:val="single" w:color="auto" w:sz="4" w:space="0"/>
              <w:bottom w:val="single" w:color="auto" w:sz="4" w:space="0"/>
              <w:right w:val="single" w:color="auto" w:sz="4" w:space="0"/>
            </w:tcBorders>
            <w:vAlign w:val="center"/>
          </w:tcPr>
          <w:p w14:paraId="3EB066A1">
            <w:pPr>
              <w:widowControl/>
              <w:jc w:val="left"/>
              <w:rPr>
                <w:kern w:val="0"/>
                <w:szCs w:val="21"/>
              </w:rPr>
            </w:pPr>
          </w:p>
        </w:tc>
        <w:tc>
          <w:tcPr>
            <w:tcW w:w="531" w:type="dxa"/>
            <w:vMerge w:val="continue"/>
            <w:tcBorders>
              <w:top w:val="nil"/>
              <w:left w:val="single" w:color="auto" w:sz="4" w:space="0"/>
              <w:bottom w:val="single" w:color="auto" w:sz="4" w:space="0"/>
              <w:right w:val="single" w:color="auto" w:sz="4" w:space="0"/>
            </w:tcBorders>
            <w:vAlign w:val="center"/>
          </w:tcPr>
          <w:p w14:paraId="2A08A0B2">
            <w:pPr>
              <w:widowControl/>
              <w:jc w:val="left"/>
              <w:rPr>
                <w:kern w:val="0"/>
                <w:szCs w:val="21"/>
              </w:rPr>
            </w:pPr>
          </w:p>
        </w:tc>
        <w:tc>
          <w:tcPr>
            <w:tcW w:w="345" w:type="dxa"/>
            <w:vMerge w:val="continue"/>
            <w:tcBorders>
              <w:top w:val="nil"/>
              <w:left w:val="single" w:color="auto" w:sz="4" w:space="0"/>
              <w:bottom w:val="single" w:color="auto" w:sz="4" w:space="0"/>
              <w:right w:val="single" w:color="auto" w:sz="4" w:space="0"/>
            </w:tcBorders>
            <w:vAlign w:val="center"/>
          </w:tcPr>
          <w:p w14:paraId="0A5D3D7B">
            <w:pPr>
              <w:widowControl/>
              <w:jc w:val="left"/>
              <w:rPr>
                <w:kern w:val="0"/>
                <w:szCs w:val="21"/>
              </w:rPr>
            </w:pPr>
          </w:p>
        </w:tc>
        <w:tc>
          <w:tcPr>
            <w:tcW w:w="531" w:type="dxa"/>
            <w:vMerge w:val="continue"/>
            <w:tcBorders>
              <w:top w:val="nil"/>
              <w:left w:val="single" w:color="auto" w:sz="4" w:space="0"/>
              <w:bottom w:val="single" w:color="auto" w:sz="4" w:space="0"/>
              <w:right w:val="single" w:color="auto" w:sz="4" w:space="0"/>
            </w:tcBorders>
            <w:vAlign w:val="center"/>
          </w:tcPr>
          <w:p w14:paraId="34E5AC90">
            <w:pPr>
              <w:widowControl/>
              <w:jc w:val="left"/>
              <w:rPr>
                <w:kern w:val="0"/>
                <w:szCs w:val="21"/>
              </w:rPr>
            </w:pPr>
          </w:p>
        </w:tc>
        <w:tc>
          <w:tcPr>
            <w:tcW w:w="531" w:type="dxa"/>
            <w:vMerge w:val="continue"/>
            <w:tcBorders>
              <w:top w:val="nil"/>
              <w:left w:val="single" w:color="auto" w:sz="4" w:space="0"/>
              <w:bottom w:val="single" w:color="auto" w:sz="4" w:space="0"/>
              <w:right w:val="single" w:color="auto" w:sz="4" w:space="0"/>
            </w:tcBorders>
            <w:vAlign w:val="center"/>
          </w:tcPr>
          <w:p w14:paraId="42E9DC10">
            <w:pPr>
              <w:widowControl/>
              <w:jc w:val="left"/>
              <w:rPr>
                <w:kern w:val="0"/>
                <w:szCs w:val="21"/>
              </w:rPr>
            </w:pPr>
          </w:p>
        </w:tc>
        <w:tc>
          <w:tcPr>
            <w:tcW w:w="426" w:type="dxa"/>
            <w:vMerge w:val="continue"/>
            <w:tcBorders>
              <w:top w:val="nil"/>
              <w:left w:val="single" w:color="auto" w:sz="4" w:space="0"/>
              <w:bottom w:val="single" w:color="auto" w:sz="4" w:space="0"/>
              <w:right w:val="single" w:color="auto" w:sz="4" w:space="0"/>
            </w:tcBorders>
            <w:vAlign w:val="center"/>
          </w:tcPr>
          <w:p w14:paraId="4DD55D50">
            <w:pPr>
              <w:widowControl/>
              <w:jc w:val="left"/>
              <w:rPr>
                <w:kern w:val="0"/>
                <w:szCs w:val="21"/>
              </w:rPr>
            </w:pPr>
          </w:p>
        </w:tc>
        <w:tc>
          <w:tcPr>
            <w:tcW w:w="531" w:type="dxa"/>
            <w:vMerge w:val="continue"/>
            <w:tcBorders>
              <w:top w:val="nil"/>
              <w:left w:val="single" w:color="auto" w:sz="4" w:space="0"/>
              <w:bottom w:val="single" w:color="auto" w:sz="4" w:space="0"/>
              <w:right w:val="single" w:color="auto" w:sz="4" w:space="0"/>
            </w:tcBorders>
            <w:vAlign w:val="center"/>
          </w:tcPr>
          <w:p w14:paraId="0B0D1385">
            <w:pPr>
              <w:widowControl/>
              <w:jc w:val="left"/>
              <w:rPr>
                <w:kern w:val="0"/>
                <w:szCs w:val="21"/>
              </w:rPr>
            </w:pPr>
          </w:p>
        </w:tc>
        <w:tc>
          <w:tcPr>
            <w:tcW w:w="584" w:type="dxa"/>
            <w:vMerge w:val="continue"/>
            <w:tcBorders>
              <w:top w:val="nil"/>
              <w:left w:val="single" w:color="auto" w:sz="4" w:space="0"/>
              <w:bottom w:val="single" w:color="auto" w:sz="4" w:space="0"/>
              <w:right w:val="single" w:color="auto" w:sz="4" w:space="0"/>
            </w:tcBorders>
            <w:vAlign w:val="center"/>
          </w:tcPr>
          <w:p w14:paraId="2194B6FC">
            <w:pPr>
              <w:widowControl/>
              <w:jc w:val="left"/>
              <w:rPr>
                <w:kern w:val="0"/>
                <w:szCs w:val="21"/>
              </w:rPr>
            </w:pPr>
          </w:p>
        </w:tc>
        <w:tc>
          <w:tcPr>
            <w:tcW w:w="584" w:type="dxa"/>
            <w:vMerge w:val="continue"/>
            <w:tcBorders>
              <w:top w:val="nil"/>
              <w:left w:val="single" w:color="auto" w:sz="4" w:space="0"/>
              <w:bottom w:val="single" w:color="auto" w:sz="4" w:space="0"/>
              <w:right w:val="single" w:color="auto" w:sz="4" w:space="0"/>
            </w:tcBorders>
            <w:vAlign w:val="center"/>
          </w:tcPr>
          <w:p w14:paraId="1231A072">
            <w:pPr>
              <w:widowControl/>
              <w:jc w:val="left"/>
              <w:rPr>
                <w:kern w:val="0"/>
                <w:szCs w:val="21"/>
              </w:rPr>
            </w:pPr>
          </w:p>
        </w:tc>
        <w:tc>
          <w:tcPr>
            <w:tcW w:w="584" w:type="dxa"/>
            <w:vMerge w:val="continue"/>
            <w:tcBorders>
              <w:top w:val="nil"/>
              <w:left w:val="single" w:color="auto" w:sz="4" w:space="0"/>
              <w:bottom w:val="single" w:color="auto" w:sz="4" w:space="0"/>
              <w:right w:val="single" w:color="auto" w:sz="4" w:space="0"/>
            </w:tcBorders>
            <w:vAlign w:val="center"/>
          </w:tcPr>
          <w:p w14:paraId="15D6E2BA">
            <w:pPr>
              <w:widowControl/>
              <w:jc w:val="left"/>
              <w:rPr>
                <w:kern w:val="0"/>
                <w:szCs w:val="21"/>
              </w:rPr>
            </w:pPr>
          </w:p>
        </w:tc>
        <w:tc>
          <w:tcPr>
            <w:tcW w:w="584" w:type="dxa"/>
            <w:vMerge w:val="continue"/>
            <w:tcBorders>
              <w:top w:val="nil"/>
              <w:left w:val="single" w:color="auto" w:sz="4" w:space="0"/>
              <w:bottom w:val="single" w:color="auto" w:sz="4" w:space="0"/>
              <w:right w:val="single" w:color="auto" w:sz="4" w:space="0"/>
            </w:tcBorders>
            <w:vAlign w:val="center"/>
          </w:tcPr>
          <w:p w14:paraId="7AC200F3">
            <w:pPr>
              <w:widowControl/>
              <w:jc w:val="left"/>
              <w:rPr>
                <w:kern w:val="0"/>
                <w:szCs w:val="21"/>
              </w:rPr>
            </w:pPr>
          </w:p>
        </w:tc>
        <w:tc>
          <w:tcPr>
            <w:tcW w:w="636" w:type="dxa"/>
            <w:vMerge w:val="continue"/>
            <w:tcBorders>
              <w:top w:val="single" w:color="auto" w:sz="4" w:space="0"/>
              <w:left w:val="single" w:color="auto" w:sz="4" w:space="0"/>
              <w:bottom w:val="single" w:color="auto" w:sz="4" w:space="0"/>
              <w:right w:val="single" w:color="auto" w:sz="4" w:space="0"/>
            </w:tcBorders>
            <w:vAlign w:val="center"/>
          </w:tcPr>
          <w:p w14:paraId="3B731F8F">
            <w:pPr>
              <w:widowControl/>
              <w:jc w:val="left"/>
              <w:rPr>
                <w:kern w:val="0"/>
                <w:szCs w:val="21"/>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3AAE5D45">
            <w:pPr>
              <w:widowControl/>
              <w:jc w:val="left"/>
              <w:rPr>
                <w:kern w:val="0"/>
                <w:szCs w:val="21"/>
              </w:rPr>
            </w:pPr>
          </w:p>
        </w:tc>
        <w:tc>
          <w:tcPr>
            <w:tcW w:w="584" w:type="dxa"/>
            <w:tcBorders>
              <w:top w:val="nil"/>
              <w:left w:val="nil"/>
              <w:bottom w:val="single" w:color="auto" w:sz="4" w:space="0"/>
              <w:right w:val="single" w:color="auto" w:sz="4" w:space="0"/>
            </w:tcBorders>
            <w:shd w:val="clear" w:color="auto" w:fill="auto"/>
            <w:vAlign w:val="center"/>
          </w:tcPr>
          <w:p w14:paraId="44DC23AE">
            <w:pPr>
              <w:widowControl/>
              <w:jc w:val="center"/>
              <w:rPr>
                <w:kern w:val="0"/>
                <w:szCs w:val="21"/>
              </w:rPr>
            </w:pPr>
            <w:r>
              <w:rPr>
                <w:kern w:val="0"/>
                <w:szCs w:val="21"/>
              </w:rPr>
              <w:t>东</w:t>
            </w:r>
          </w:p>
        </w:tc>
        <w:tc>
          <w:tcPr>
            <w:tcW w:w="584" w:type="dxa"/>
            <w:tcBorders>
              <w:top w:val="nil"/>
              <w:left w:val="nil"/>
              <w:bottom w:val="single" w:color="auto" w:sz="4" w:space="0"/>
              <w:right w:val="single" w:color="auto" w:sz="4" w:space="0"/>
            </w:tcBorders>
            <w:shd w:val="clear" w:color="auto" w:fill="auto"/>
            <w:vAlign w:val="center"/>
          </w:tcPr>
          <w:p w14:paraId="2093E00E">
            <w:pPr>
              <w:widowControl/>
              <w:jc w:val="center"/>
              <w:rPr>
                <w:kern w:val="0"/>
                <w:szCs w:val="21"/>
              </w:rPr>
            </w:pPr>
            <w:r>
              <w:rPr>
                <w:kern w:val="0"/>
                <w:szCs w:val="21"/>
              </w:rPr>
              <w:t>南</w:t>
            </w:r>
          </w:p>
        </w:tc>
        <w:tc>
          <w:tcPr>
            <w:tcW w:w="584" w:type="dxa"/>
            <w:tcBorders>
              <w:top w:val="nil"/>
              <w:left w:val="nil"/>
              <w:bottom w:val="single" w:color="auto" w:sz="4" w:space="0"/>
              <w:right w:val="single" w:color="auto" w:sz="4" w:space="0"/>
            </w:tcBorders>
            <w:shd w:val="clear" w:color="auto" w:fill="auto"/>
            <w:vAlign w:val="center"/>
          </w:tcPr>
          <w:p w14:paraId="6B9B5BFB">
            <w:pPr>
              <w:widowControl/>
              <w:jc w:val="center"/>
              <w:rPr>
                <w:kern w:val="0"/>
                <w:szCs w:val="21"/>
              </w:rPr>
            </w:pPr>
            <w:r>
              <w:rPr>
                <w:kern w:val="0"/>
                <w:szCs w:val="21"/>
              </w:rPr>
              <w:t>西</w:t>
            </w:r>
          </w:p>
        </w:tc>
        <w:tc>
          <w:tcPr>
            <w:tcW w:w="584" w:type="dxa"/>
            <w:tcBorders>
              <w:top w:val="nil"/>
              <w:left w:val="nil"/>
              <w:bottom w:val="single" w:color="auto" w:sz="4" w:space="0"/>
              <w:right w:val="single" w:color="auto" w:sz="4" w:space="0"/>
            </w:tcBorders>
            <w:shd w:val="clear" w:color="auto" w:fill="auto"/>
            <w:vAlign w:val="center"/>
          </w:tcPr>
          <w:p w14:paraId="4DEB72AF">
            <w:pPr>
              <w:widowControl/>
              <w:jc w:val="center"/>
              <w:rPr>
                <w:kern w:val="0"/>
                <w:szCs w:val="21"/>
              </w:rPr>
            </w:pPr>
            <w:r>
              <w:rPr>
                <w:kern w:val="0"/>
                <w:szCs w:val="21"/>
              </w:rPr>
              <w:t>北</w:t>
            </w:r>
          </w:p>
        </w:tc>
        <w:tc>
          <w:tcPr>
            <w:tcW w:w="426" w:type="dxa"/>
            <w:vMerge w:val="continue"/>
            <w:tcBorders>
              <w:top w:val="nil"/>
              <w:left w:val="single" w:color="auto" w:sz="4" w:space="0"/>
              <w:bottom w:val="single" w:color="auto" w:sz="4" w:space="0"/>
              <w:right w:val="single" w:color="auto" w:sz="4" w:space="0"/>
            </w:tcBorders>
            <w:vAlign w:val="center"/>
          </w:tcPr>
          <w:p w14:paraId="7CA83715">
            <w:pPr>
              <w:widowControl/>
              <w:jc w:val="left"/>
              <w:rPr>
                <w:kern w:val="0"/>
                <w:szCs w:val="21"/>
              </w:rPr>
            </w:pPr>
          </w:p>
        </w:tc>
      </w:tr>
      <w:tr w14:paraId="14FC6795">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49884510">
            <w:pPr>
              <w:widowControl/>
              <w:jc w:val="center"/>
              <w:rPr>
                <w:kern w:val="0"/>
                <w:szCs w:val="21"/>
              </w:rPr>
            </w:pPr>
            <w:r>
              <w:rPr>
                <w:rFonts w:hint="eastAsia"/>
                <w:kern w:val="0"/>
                <w:szCs w:val="21"/>
              </w:rPr>
              <w:t>1</w:t>
            </w:r>
          </w:p>
        </w:tc>
        <w:tc>
          <w:tcPr>
            <w:tcW w:w="426" w:type="dxa"/>
            <w:vMerge w:val="continue"/>
            <w:tcBorders>
              <w:top w:val="nil"/>
              <w:left w:val="single" w:color="auto" w:sz="4" w:space="0"/>
              <w:bottom w:val="single" w:color="auto" w:sz="4" w:space="0"/>
              <w:right w:val="single" w:color="auto" w:sz="4" w:space="0"/>
            </w:tcBorders>
            <w:vAlign w:val="center"/>
          </w:tcPr>
          <w:p w14:paraId="460851AA">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448BE9EE">
            <w:pPr>
              <w:widowControl/>
              <w:jc w:val="center"/>
              <w:rPr>
                <w:kern w:val="0"/>
                <w:szCs w:val="21"/>
              </w:rPr>
            </w:pPr>
            <w:r>
              <w:rPr>
                <w:kern w:val="0"/>
                <w:szCs w:val="21"/>
              </w:rPr>
              <w:t>行吊</w:t>
            </w:r>
          </w:p>
        </w:tc>
        <w:tc>
          <w:tcPr>
            <w:tcW w:w="426" w:type="dxa"/>
            <w:tcBorders>
              <w:top w:val="nil"/>
              <w:left w:val="nil"/>
              <w:bottom w:val="single" w:color="auto" w:sz="4" w:space="0"/>
              <w:right w:val="single" w:color="auto" w:sz="4" w:space="0"/>
            </w:tcBorders>
            <w:shd w:val="clear" w:color="auto" w:fill="auto"/>
            <w:vAlign w:val="center"/>
          </w:tcPr>
          <w:p w14:paraId="3FA5EC43">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0D2DD965">
            <w:pPr>
              <w:widowControl/>
              <w:jc w:val="center"/>
              <w:rPr>
                <w:kern w:val="0"/>
                <w:szCs w:val="21"/>
              </w:rPr>
            </w:pPr>
            <w:r>
              <w:rPr>
                <w:kern w:val="0"/>
                <w:szCs w:val="21"/>
              </w:rPr>
              <w:t>10</w:t>
            </w:r>
          </w:p>
        </w:tc>
        <w:tc>
          <w:tcPr>
            <w:tcW w:w="636" w:type="dxa"/>
            <w:vMerge w:val="continue"/>
            <w:tcBorders>
              <w:left w:val="nil"/>
              <w:right w:val="single" w:color="auto" w:sz="4" w:space="0"/>
            </w:tcBorders>
            <w:shd w:val="clear" w:color="auto" w:fill="auto"/>
            <w:vAlign w:val="center"/>
          </w:tcPr>
          <w:p w14:paraId="238C44CA">
            <w:pPr>
              <w:jc w:val="center"/>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646438B3">
            <w:pPr>
              <w:widowControl/>
              <w:jc w:val="center"/>
              <w:rPr>
                <w:kern w:val="0"/>
                <w:szCs w:val="21"/>
              </w:rPr>
            </w:pPr>
            <w:r>
              <w:rPr>
                <w:kern w:val="0"/>
                <w:szCs w:val="21"/>
              </w:rPr>
              <w:t>26</w:t>
            </w:r>
          </w:p>
        </w:tc>
        <w:tc>
          <w:tcPr>
            <w:tcW w:w="531" w:type="dxa"/>
            <w:tcBorders>
              <w:top w:val="nil"/>
              <w:left w:val="nil"/>
              <w:bottom w:val="single" w:color="auto" w:sz="4" w:space="0"/>
              <w:right w:val="single" w:color="auto" w:sz="4" w:space="0"/>
            </w:tcBorders>
            <w:shd w:val="clear" w:color="auto" w:fill="auto"/>
            <w:vAlign w:val="center"/>
          </w:tcPr>
          <w:p w14:paraId="2E439F9F">
            <w:pPr>
              <w:widowControl/>
              <w:jc w:val="center"/>
              <w:rPr>
                <w:kern w:val="0"/>
                <w:szCs w:val="21"/>
              </w:rPr>
            </w:pPr>
            <w:r>
              <w:rPr>
                <w:kern w:val="0"/>
                <w:szCs w:val="21"/>
              </w:rPr>
              <w:t>264</w:t>
            </w:r>
          </w:p>
        </w:tc>
        <w:tc>
          <w:tcPr>
            <w:tcW w:w="345" w:type="dxa"/>
            <w:tcBorders>
              <w:top w:val="nil"/>
              <w:left w:val="nil"/>
              <w:bottom w:val="single" w:color="auto" w:sz="4" w:space="0"/>
              <w:right w:val="single" w:color="auto" w:sz="4" w:space="0"/>
            </w:tcBorders>
            <w:shd w:val="clear" w:color="auto" w:fill="auto"/>
            <w:vAlign w:val="center"/>
          </w:tcPr>
          <w:p w14:paraId="07937D0F">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5DBF99E5">
            <w:pPr>
              <w:widowControl/>
              <w:jc w:val="center"/>
              <w:rPr>
                <w:kern w:val="0"/>
                <w:szCs w:val="21"/>
              </w:rPr>
            </w:pPr>
            <w:r>
              <w:rPr>
                <w:kern w:val="0"/>
                <w:szCs w:val="21"/>
              </w:rPr>
              <w:t>98</w:t>
            </w:r>
          </w:p>
        </w:tc>
        <w:tc>
          <w:tcPr>
            <w:tcW w:w="531" w:type="dxa"/>
            <w:tcBorders>
              <w:top w:val="nil"/>
              <w:left w:val="nil"/>
              <w:bottom w:val="single" w:color="auto" w:sz="4" w:space="0"/>
              <w:right w:val="single" w:color="auto" w:sz="4" w:space="0"/>
            </w:tcBorders>
            <w:shd w:val="clear" w:color="auto" w:fill="auto"/>
            <w:vAlign w:val="center"/>
          </w:tcPr>
          <w:p w14:paraId="5E4F4357">
            <w:pPr>
              <w:widowControl/>
              <w:jc w:val="center"/>
              <w:rPr>
                <w:kern w:val="0"/>
                <w:szCs w:val="21"/>
              </w:rPr>
            </w:pPr>
            <w:r>
              <w:rPr>
                <w:kern w:val="0"/>
                <w:szCs w:val="21"/>
              </w:rPr>
              <w:t>264</w:t>
            </w:r>
          </w:p>
        </w:tc>
        <w:tc>
          <w:tcPr>
            <w:tcW w:w="426" w:type="dxa"/>
            <w:tcBorders>
              <w:top w:val="nil"/>
              <w:left w:val="nil"/>
              <w:bottom w:val="single" w:color="auto" w:sz="4" w:space="0"/>
              <w:right w:val="single" w:color="auto" w:sz="4" w:space="0"/>
            </w:tcBorders>
            <w:shd w:val="clear" w:color="auto" w:fill="auto"/>
            <w:vAlign w:val="center"/>
          </w:tcPr>
          <w:p w14:paraId="2933E516">
            <w:pPr>
              <w:widowControl/>
              <w:jc w:val="center"/>
              <w:rPr>
                <w:kern w:val="0"/>
                <w:szCs w:val="21"/>
              </w:rPr>
            </w:pPr>
            <w:r>
              <w:rPr>
                <w:kern w:val="0"/>
                <w:szCs w:val="21"/>
              </w:rPr>
              <w:t>26</w:t>
            </w:r>
          </w:p>
        </w:tc>
        <w:tc>
          <w:tcPr>
            <w:tcW w:w="531" w:type="dxa"/>
            <w:tcBorders>
              <w:top w:val="nil"/>
              <w:left w:val="nil"/>
              <w:bottom w:val="single" w:color="auto" w:sz="4" w:space="0"/>
              <w:right w:val="single" w:color="auto" w:sz="4" w:space="0"/>
            </w:tcBorders>
            <w:shd w:val="clear" w:color="auto" w:fill="auto"/>
            <w:vAlign w:val="center"/>
          </w:tcPr>
          <w:p w14:paraId="2B2F1F7D">
            <w:pPr>
              <w:widowControl/>
              <w:jc w:val="center"/>
              <w:rPr>
                <w:kern w:val="0"/>
                <w:szCs w:val="21"/>
              </w:rPr>
            </w:pPr>
            <w:r>
              <w:rPr>
                <w:kern w:val="0"/>
                <w:szCs w:val="21"/>
              </w:rPr>
              <w:t>177</w:t>
            </w:r>
          </w:p>
        </w:tc>
        <w:tc>
          <w:tcPr>
            <w:tcW w:w="584" w:type="dxa"/>
            <w:tcBorders>
              <w:top w:val="nil"/>
              <w:left w:val="nil"/>
              <w:bottom w:val="single" w:color="auto" w:sz="4" w:space="0"/>
              <w:right w:val="single" w:color="auto" w:sz="4" w:space="0"/>
            </w:tcBorders>
            <w:shd w:val="clear" w:color="auto" w:fill="auto"/>
            <w:vAlign w:val="center"/>
          </w:tcPr>
          <w:p w14:paraId="5DD23A39">
            <w:pPr>
              <w:widowControl/>
              <w:jc w:val="center"/>
              <w:rPr>
                <w:kern w:val="0"/>
                <w:szCs w:val="21"/>
              </w:rPr>
            </w:pPr>
            <w:r>
              <w:rPr>
                <w:kern w:val="0"/>
                <w:szCs w:val="21"/>
              </w:rPr>
              <w:t>60.6</w:t>
            </w:r>
          </w:p>
        </w:tc>
        <w:tc>
          <w:tcPr>
            <w:tcW w:w="584" w:type="dxa"/>
            <w:tcBorders>
              <w:top w:val="nil"/>
              <w:left w:val="nil"/>
              <w:bottom w:val="single" w:color="auto" w:sz="4" w:space="0"/>
              <w:right w:val="single" w:color="auto" w:sz="4" w:space="0"/>
            </w:tcBorders>
            <w:shd w:val="clear" w:color="auto" w:fill="auto"/>
            <w:vAlign w:val="center"/>
          </w:tcPr>
          <w:p w14:paraId="7C0C2E88">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17DAD6AF">
            <w:pPr>
              <w:widowControl/>
              <w:jc w:val="center"/>
              <w:rPr>
                <w:kern w:val="0"/>
                <w:szCs w:val="21"/>
              </w:rPr>
            </w:pPr>
            <w:r>
              <w:rPr>
                <w:kern w:val="0"/>
                <w:szCs w:val="21"/>
              </w:rPr>
              <w:t>63.7</w:t>
            </w:r>
          </w:p>
        </w:tc>
        <w:tc>
          <w:tcPr>
            <w:tcW w:w="584" w:type="dxa"/>
            <w:tcBorders>
              <w:top w:val="nil"/>
              <w:left w:val="nil"/>
              <w:bottom w:val="single" w:color="auto" w:sz="4" w:space="0"/>
              <w:right w:val="single" w:color="auto" w:sz="4" w:space="0"/>
            </w:tcBorders>
            <w:shd w:val="clear" w:color="auto" w:fill="auto"/>
            <w:vAlign w:val="center"/>
          </w:tcPr>
          <w:p w14:paraId="5D8CEF6C">
            <w:pPr>
              <w:widowControl/>
              <w:jc w:val="center"/>
              <w:rPr>
                <w:kern w:val="0"/>
                <w:szCs w:val="21"/>
              </w:rPr>
            </w:pPr>
            <w:r>
              <w:rPr>
                <w:kern w:val="0"/>
                <w:szCs w:val="21"/>
              </w:rPr>
              <w:t>61.1</w:t>
            </w:r>
          </w:p>
        </w:tc>
        <w:tc>
          <w:tcPr>
            <w:tcW w:w="636" w:type="dxa"/>
            <w:tcBorders>
              <w:top w:val="nil"/>
              <w:left w:val="nil"/>
              <w:bottom w:val="single" w:color="auto" w:sz="4" w:space="0"/>
              <w:right w:val="single" w:color="auto" w:sz="4" w:space="0"/>
            </w:tcBorders>
            <w:shd w:val="clear" w:color="auto" w:fill="auto"/>
            <w:vAlign w:val="center"/>
          </w:tcPr>
          <w:p w14:paraId="656B0F04">
            <w:pPr>
              <w:widowControl/>
              <w:jc w:val="center"/>
              <w:rPr>
                <w:kern w:val="0"/>
                <w:szCs w:val="21"/>
              </w:rPr>
            </w:pPr>
            <w:r>
              <w:rPr>
                <w:kern w:val="0"/>
                <w:szCs w:val="21"/>
              </w:rPr>
              <w:t>600</w:t>
            </w:r>
          </w:p>
        </w:tc>
        <w:tc>
          <w:tcPr>
            <w:tcW w:w="788" w:type="dxa"/>
            <w:tcBorders>
              <w:top w:val="nil"/>
              <w:left w:val="nil"/>
              <w:bottom w:val="single" w:color="auto" w:sz="4" w:space="0"/>
              <w:right w:val="single" w:color="auto" w:sz="4" w:space="0"/>
            </w:tcBorders>
            <w:shd w:val="clear" w:color="auto" w:fill="auto"/>
            <w:vAlign w:val="center"/>
          </w:tcPr>
          <w:p w14:paraId="5FE63E0B">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0C431D77">
            <w:pPr>
              <w:widowControl/>
              <w:jc w:val="center"/>
              <w:rPr>
                <w:kern w:val="0"/>
                <w:szCs w:val="21"/>
              </w:rPr>
            </w:pPr>
            <w:r>
              <w:rPr>
                <w:kern w:val="0"/>
                <w:szCs w:val="21"/>
              </w:rPr>
              <w:t>37.7</w:t>
            </w:r>
          </w:p>
        </w:tc>
        <w:tc>
          <w:tcPr>
            <w:tcW w:w="584" w:type="dxa"/>
            <w:tcBorders>
              <w:top w:val="nil"/>
              <w:left w:val="nil"/>
              <w:bottom w:val="single" w:color="auto" w:sz="4" w:space="0"/>
              <w:right w:val="single" w:color="auto" w:sz="4" w:space="0"/>
            </w:tcBorders>
            <w:shd w:val="clear" w:color="auto" w:fill="auto"/>
            <w:vAlign w:val="center"/>
          </w:tcPr>
          <w:p w14:paraId="04707263">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39ADA0CD">
            <w:pPr>
              <w:widowControl/>
              <w:jc w:val="center"/>
              <w:rPr>
                <w:kern w:val="0"/>
                <w:szCs w:val="21"/>
              </w:rPr>
            </w:pPr>
            <w:r>
              <w:rPr>
                <w:kern w:val="0"/>
                <w:szCs w:val="21"/>
              </w:rPr>
              <w:t>37.7</w:t>
            </w:r>
          </w:p>
        </w:tc>
        <w:tc>
          <w:tcPr>
            <w:tcW w:w="584" w:type="dxa"/>
            <w:tcBorders>
              <w:top w:val="nil"/>
              <w:left w:val="nil"/>
              <w:bottom w:val="single" w:color="auto" w:sz="4" w:space="0"/>
              <w:right w:val="single" w:color="auto" w:sz="4" w:space="0"/>
            </w:tcBorders>
            <w:shd w:val="clear" w:color="auto" w:fill="auto"/>
            <w:vAlign w:val="center"/>
          </w:tcPr>
          <w:p w14:paraId="4E707252">
            <w:pPr>
              <w:widowControl/>
              <w:jc w:val="center"/>
              <w:rPr>
                <w:kern w:val="0"/>
                <w:szCs w:val="21"/>
              </w:rPr>
            </w:pPr>
            <w:r>
              <w:rPr>
                <w:kern w:val="0"/>
                <w:szCs w:val="21"/>
              </w:rPr>
              <w:t>35.1</w:t>
            </w:r>
          </w:p>
        </w:tc>
        <w:tc>
          <w:tcPr>
            <w:tcW w:w="426" w:type="dxa"/>
            <w:tcBorders>
              <w:top w:val="nil"/>
              <w:left w:val="nil"/>
              <w:bottom w:val="single" w:color="auto" w:sz="4" w:space="0"/>
              <w:right w:val="single" w:color="auto" w:sz="4" w:space="0"/>
            </w:tcBorders>
            <w:shd w:val="clear" w:color="auto" w:fill="auto"/>
            <w:vAlign w:val="center"/>
          </w:tcPr>
          <w:p w14:paraId="0EC2DFAC">
            <w:pPr>
              <w:widowControl/>
              <w:jc w:val="center"/>
              <w:rPr>
                <w:kern w:val="0"/>
                <w:szCs w:val="21"/>
              </w:rPr>
            </w:pPr>
            <w:r>
              <w:rPr>
                <w:kern w:val="0"/>
                <w:szCs w:val="21"/>
              </w:rPr>
              <w:t>1</w:t>
            </w:r>
          </w:p>
        </w:tc>
      </w:tr>
      <w:tr w14:paraId="466249C1">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551FB0B9">
            <w:pPr>
              <w:widowControl/>
              <w:jc w:val="center"/>
              <w:rPr>
                <w:kern w:val="0"/>
                <w:szCs w:val="21"/>
              </w:rPr>
            </w:pPr>
            <w:r>
              <w:rPr>
                <w:rFonts w:hint="eastAsia"/>
                <w:kern w:val="0"/>
                <w:szCs w:val="21"/>
              </w:rPr>
              <w:t>2</w:t>
            </w:r>
          </w:p>
        </w:tc>
        <w:tc>
          <w:tcPr>
            <w:tcW w:w="426" w:type="dxa"/>
            <w:vMerge w:val="continue"/>
            <w:tcBorders>
              <w:top w:val="nil"/>
              <w:left w:val="single" w:color="auto" w:sz="4" w:space="0"/>
              <w:bottom w:val="single" w:color="auto" w:sz="4" w:space="0"/>
              <w:right w:val="single" w:color="auto" w:sz="4" w:space="0"/>
            </w:tcBorders>
            <w:vAlign w:val="center"/>
          </w:tcPr>
          <w:p w14:paraId="671204D1">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60818AA9">
            <w:pPr>
              <w:widowControl/>
              <w:jc w:val="center"/>
              <w:rPr>
                <w:kern w:val="0"/>
                <w:szCs w:val="21"/>
              </w:rPr>
            </w:pPr>
            <w:r>
              <w:rPr>
                <w:kern w:val="0"/>
                <w:szCs w:val="21"/>
              </w:rPr>
              <w:t>万能卷板机</w:t>
            </w:r>
          </w:p>
        </w:tc>
        <w:tc>
          <w:tcPr>
            <w:tcW w:w="426" w:type="dxa"/>
            <w:tcBorders>
              <w:top w:val="nil"/>
              <w:left w:val="nil"/>
              <w:bottom w:val="single" w:color="auto" w:sz="4" w:space="0"/>
              <w:right w:val="single" w:color="auto" w:sz="4" w:space="0"/>
            </w:tcBorders>
            <w:shd w:val="clear" w:color="auto" w:fill="auto"/>
            <w:vAlign w:val="center"/>
          </w:tcPr>
          <w:p w14:paraId="5FF30E06">
            <w:pPr>
              <w:widowControl/>
              <w:jc w:val="center"/>
              <w:rPr>
                <w:kern w:val="0"/>
                <w:szCs w:val="21"/>
              </w:rPr>
            </w:pPr>
            <w:r>
              <w:rPr>
                <w:kern w:val="0"/>
                <w:szCs w:val="21"/>
              </w:rPr>
              <w:t>80</w:t>
            </w:r>
          </w:p>
        </w:tc>
        <w:tc>
          <w:tcPr>
            <w:tcW w:w="636" w:type="dxa"/>
            <w:tcBorders>
              <w:top w:val="nil"/>
              <w:left w:val="nil"/>
              <w:bottom w:val="single" w:color="auto" w:sz="4" w:space="0"/>
              <w:right w:val="single" w:color="auto" w:sz="4" w:space="0"/>
            </w:tcBorders>
            <w:shd w:val="clear" w:color="auto" w:fill="auto"/>
            <w:vAlign w:val="center"/>
          </w:tcPr>
          <w:p w14:paraId="299CD635">
            <w:pPr>
              <w:widowControl/>
              <w:jc w:val="center"/>
              <w:rPr>
                <w:kern w:val="0"/>
                <w:szCs w:val="21"/>
              </w:rPr>
            </w:pPr>
            <w:r>
              <w:rPr>
                <w:kern w:val="0"/>
                <w:szCs w:val="21"/>
              </w:rPr>
              <w:t>3</w:t>
            </w:r>
          </w:p>
        </w:tc>
        <w:tc>
          <w:tcPr>
            <w:tcW w:w="636" w:type="dxa"/>
            <w:vMerge w:val="continue"/>
            <w:tcBorders>
              <w:left w:val="nil"/>
              <w:right w:val="single" w:color="auto" w:sz="4" w:space="0"/>
            </w:tcBorders>
            <w:shd w:val="clear" w:color="auto" w:fill="auto"/>
            <w:vAlign w:val="center"/>
          </w:tcPr>
          <w:p w14:paraId="5AE5E4AB">
            <w:pPr>
              <w:jc w:val="center"/>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49FA030A">
            <w:pPr>
              <w:widowControl/>
              <w:jc w:val="center"/>
              <w:rPr>
                <w:kern w:val="0"/>
                <w:szCs w:val="21"/>
              </w:rPr>
            </w:pPr>
            <w:r>
              <w:rPr>
                <w:kern w:val="0"/>
                <w:szCs w:val="21"/>
              </w:rPr>
              <w:t>30</w:t>
            </w:r>
          </w:p>
        </w:tc>
        <w:tc>
          <w:tcPr>
            <w:tcW w:w="531" w:type="dxa"/>
            <w:tcBorders>
              <w:top w:val="nil"/>
              <w:left w:val="nil"/>
              <w:bottom w:val="single" w:color="auto" w:sz="4" w:space="0"/>
              <w:right w:val="single" w:color="auto" w:sz="4" w:space="0"/>
            </w:tcBorders>
            <w:shd w:val="clear" w:color="auto" w:fill="auto"/>
            <w:vAlign w:val="center"/>
          </w:tcPr>
          <w:p w14:paraId="4ADBAB89">
            <w:pPr>
              <w:widowControl/>
              <w:jc w:val="center"/>
              <w:rPr>
                <w:kern w:val="0"/>
                <w:szCs w:val="21"/>
              </w:rPr>
            </w:pPr>
            <w:r>
              <w:rPr>
                <w:kern w:val="0"/>
                <w:szCs w:val="21"/>
              </w:rPr>
              <w:t>290</w:t>
            </w:r>
          </w:p>
        </w:tc>
        <w:tc>
          <w:tcPr>
            <w:tcW w:w="345" w:type="dxa"/>
            <w:tcBorders>
              <w:top w:val="nil"/>
              <w:left w:val="nil"/>
              <w:bottom w:val="single" w:color="auto" w:sz="4" w:space="0"/>
              <w:right w:val="single" w:color="auto" w:sz="4" w:space="0"/>
            </w:tcBorders>
            <w:shd w:val="clear" w:color="auto" w:fill="auto"/>
            <w:vAlign w:val="center"/>
          </w:tcPr>
          <w:p w14:paraId="601773EC">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77D46E65">
            <w:pPr>
              <w:widowControl/>
              <w:jc w:val="center"/>
              <w:rPr>
                <w:kern w:val="0"/>
                <w:szCs w:val="21"/>
              </w:rPr>
            </w:pPr>
            <w:r>
              <w:rPr>
                <w:kern w:val="0"/>
                <w:szCs w:val="21"/>
              </w:rPr>
              <w:t>94</w:t>
            </w:r>
          </w:p>
        </w:tc>
        <w:tc>
          <w:tcPr>
            <w:tcW w:w="531" w:type="dxa"/>
            <w:tcBorders>
              <w:top w:val="nil"/>
              <w:left w:val="nil"/>
              <w:bottom w:val="single" w:color="auto" w:sz="4" w:space="0"/>
              <w:right w:val="single" w:color="auto" w:sz="4" w:space="0"/>
            </w:tcBorders>
            <w:shd w:val="clear" w:color="auto" w:fill="auto"/>
            <w:vAlign w:val="center"/>
          </w:tcPr>
          <w:p w14:paraId="5D77B7CC">
            <w:pPr>
              <w:widowControl/>
              <w:jc w:val="center"/>
              <w:rPr>
                <w:kern w:val="0"/>
                <w:szCs w:val="21"/>
              </w:rPr>
            </w:pPr>
            <w:r>
              <w:rPr>
                <w:kern w:val="0"/>
                <w:szCs w:val="21"/>
              </w:rPr>
              <w:t>290</w:t>
            </w:r>
          </w:p>
        </w:tc>
        <w:tc>
          <w:tcPr>
            <w:tcW w:w="426" w:type="dxa"/>
            <w:tcBorders>
              <w:top w:val="nil"/>
              <w:left w:val="nil"/>
              <w:bottom w:val="single" w:color="auto" w:sz="4" w:space="0"/>
              <w:right w:val="single" w:color="auto" w:sz="4" w:space="0"/>
            </w:tcBorders>
            <w:shd w:val="clear" w:color="auto" w:fill="auto"/>
            <w:vAlign w:val="center"/>
          </w:tcPr>
          <w:p w14:paraId="123A0261">
            <w:pPr>
              <w:widowControl/>
              <w:jc w:val="center"/>
              <w:rPr>
                <w:kern w:val="0"/>
                <w:szCs w:val="21"/>
              </w:rPr>
            </w:pPr>
            <w:r>
              <w:rPr>
                <w:kern w:val="0"/>
                <w:szCs w:val="21"/>
              </w:rPr>
              <w:t>30</w:t>
            </w:r>
          </w:p>
        </w:tc>
        <w:tc>
          <w:tcPr>
            <w:tcW w:w="531" w:type="dxa"/>
            <w:tcBorders>
              <w:top w:val="nil"/>
              <w:left w:val="nil"/>
              <w:bottom w:val="single" w:color="auto" w:sz="4" w:space="0"/>
              <w:right w:val="single" w:color="auto" w:sz="4" w:space="0"/>
            </w:tcBorders>
            <w:shd w:val="clear" w:color="auto" w:fill="auto"/>
            <w:vAlign w:val="center"/>
          </w:tcPr>
          <w:p w14:paraId="23702A0B">
            <w:pPr>
              <w:widowControl/>
              <w:jc w:val="center"/>
              <w:rPr>
                <w:kern w:val="0"/>
                <w:szCs w:val="21"/>
              </w:rPr>
            </w:pPr>
            <w:r>
              <w:rPr>
                <w:kern w:val="0"/>
                <w:szCs w:val="21"/>
              </w:rPr>
              <w:t>151</w:t>
            </w:r>
          </w:p>
        </w:tc>
        <w:tc>
          <w:tcPr>
            <w:tcW w:w="584" w:type="dxa"/>
            <w:tcBorders>
              <w:top w:val="nil"/>
              <w:left w:val="nil"/>
              <w:bottom w:val="single" w:color="auto" w:sz="4" w:space="0"/>
              <w:right w:val="single" w:color="auto" w:sz="4" w:space="0"/>
            </w:tcBorders>
            <w:shd w:val="clear" w:color="auto" w:fill="auto"/>
            <w:vAlign w:val="center"/>
          </w:tcPr>
          <w:p w14:paraId="1090B767">
            <w:pPr>
              <w:widowControl/>
              <w:jc w:val="center"/>
              <w:rPr>
                <w:kern w:val="0"/>
                <w:szCs w:val="21"/>
              </w:rPr>
            </w:pPr>
            <w:r>
              <w:rPr>
                <w:kern w:val="0"/>
                <w:szCs w:val="21"/>
              </w:rPr>
              <w:t>60.8</w:t>
            </w:r>
          </w:p>
        </w:tc>
        <w:tc>
          <w:tcPr>
            <w:tcW w:w="584" w:type="dxa"/>
            <w:tcBorders>
              <w:top w:val="nil"/>
              <w:left w:val="nil"/>
              <w:bottom w:val="single" w:color="auto" w:sz="4" w:space="0"/>
              <w:right w:val="single" w:color="auto" w:sz="4" w:space="0"/>
            </w:tcBorders>
            <w:shd w:val="clear" w:color="auto" w:fill="auto"/>
            <w:vAlign w:val="center"/>
          </w:tcPr>
          <w:p w14:paraId="7A56365D">
            <w:pPr>
              <w:widowControl/>
              <w:jc w:val="center"/>
              <w:rPr>
                <w:kern w:val="0"/>
                <w:szCs w:val="21"/>
              </w:rPr>
            </w:pPr>
            <w:r>
              <w:rPr>
                <w:kern w:val="0"/>
                <w:szCs w:val="21"/>
              </w:rPr>
              <w:t>58.7</w:t>
            </w:r>
          </w:p>
        </w:tc>
        <w:tc>
          <w:tcPr>
            <w:tcW w:w="584" w:type="dxa"/>
            <w:tcBorders>
              <w:top w:val="nil"/>
              <w:left w:val="nil"/>
              <w:bottom w:val="single" w:color="auto" w:sz="4" w:space="0"/>
              <w:right w:val="single" w:color="auto" w:sz="4" w:space="0"/>
            </w:tcBorders>
            <w:shd w:val="clear" w:color="auto" w:fill="auto"/>
            <w:vAlign w:val="center"/>
          </w:tcPr>
          <w:p w14:paraId="3BED13FB">
            <w:pPr>
              <w:widowControl/>
              <w:jc w:val="center"/>
              <w:rPr>
                <w:kern w:val="0"/>
                <w:szCs w:val="21"/>
              </w:rPr>
            </w:pPr>
            <w:r>
              <w:rPr>
                <w:kern w:val="0"/>
                <w:szCs w:val="21"/>
              </w:rPr>
              <w:t>62.1</w:t>
            </w:r>
          </w:p>
        </w:tc>
        <w:tc>
          <w:tcPr>
            <w:tcW w:w="584" w:type="dxa"/>
            <w:tcBorders>
              <w:top w:val="nil"/>
              <w:left w:val="nil"/>
              <w:bottom w:val="single" w:color="auto" w:sz="4" w:space="0"/>
              <w:right w:val="single" w:color="auto" w:sz="4" w:space="0"/>
            </w:tcBorders>
            <w:shd w:val="clear" w:color="auto" w:fill="auto"/>
            <w:vAlign w:val="center"/>
          </w:tcPr>
          <w:p w14:paraId="054C22F7">
            <w:pPr>
              <w:widowControl/>
              <w:jc w:val="center"/>
              <w:rPr>
                <w:kern w:val="0"/>
                <w:szCs w:val="21"/>
              </w:rPr>
            </w:pPr>
            <w:r>
              <w:rPr>
                <w:kern w:val="0"/>
                <w:szCs w:val="21"/>
              </w:rPr>
              <w:t>61.5</w:t>
            </w:r>
          </w:p>
        </w:tc>
        <w:tc>
          <w:tcPr>
            <w:tcW w:w="636" w:type="dxa"/>
            <w:tcBorders>
              <w:top w:val="nil"/>
              <w:left w:val="nil"/>
              <w:bottom w:val="single" w:color="auto" w:sz="4" w:space="0"/>
              <w:right w:val="single" w:color="auto" w:sz="4" w:space="0"/>
            </w:tcBorders>
            <w:shd w:val="clear" w:color="auto" w:fill="auto"/>
            <w:vAlign w:val="center"/>
          </w:tcPr>
          <w:p w14:paraId="379FE0A5">
            <w:pPr>
              <w:widowControl/>
              <w:jc w:val="center"/>
              <w:rPr>
                <w:kern w:val="0"/>
                <w:szCs w:val="21"/>
              </w:rPr>
            </w:pPr>
            <w:r>
              <w:rPr>
                <w:kern w:val="0"/>
                <w:szCs w:val="21"/>
              </w:rPr>
              <w:t>1200</w:t>
            </w:r>
          </w:p>
        </w:tc>
        <w:tc>
          <w:tcPr>
            <w:tcW w:w="788" w:type="dxa"/>
            <w:tcBorders>
              <w:top w:val="nil"/>
              <w:left w:val="nil"/>
              <w:bottom w:val="single" w:color="auto" w:sz="4" w:space="0"/>
              <w:right w:val="single" w:color="auto" w:sz="4" w:space="0"/>
            </w:tcBorders>
            <w:shd w:val="clear" w:color="auto" w:fill="auto"/>
            <w:vAlign w:val="center"/>
          </w:tcPr>
          <w:p w14:paraId="5F547D55">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6346DE20">
            <w:pPr>
              <w:widowControl/>
              <w:jc w:val="center"/>
              <w:rPr>
                <w:kern w:val="0"/>
                <w:szCs w:val="21"/>
              </w:rPr>
            </w:pPr>
            <w:r>
              <w:rPr>
                <w:kern w:val="0"/>
                <w:szCs w:val="21"/>
              </w:rPr>
              <w:t>36.1</w:t>
            </w:r>
          </w:p>
        </w:tc>
        <w:tc>
          <w:tcPr>
            <w:tcW w:w="584" w:type="dxa"/>
            <w:tcBorders>
              <w:top w:val="nil"/>
              <w:left w:val="nil"/>
              <w:bottom w:val="single" w:color="auto" w:sz="4" w:space="0"/>
              <w:right w:val="single" w:color="auto" w:sz="4" w:space="0"/>
            </w:tcBorders>
            <w:shd w:val="clear" w:color="auto" w:fill="auto"/>
            <w:vAlign w:val="center"/>
          </w:tcPr>
          <w:p w14:paraId="15C59E07">
            <w:pPr>
              <w:widowControl/>
              <w:jc w:val="center"/>
              <w:rPr>
                <w:kern w:val="0"/>
                <w:szCs w:val="21"/>
              </w:rPr>
            </w:pPr>
            <w:r>
              <w:rPr>
                <w:kern w:val="0"/>
                <w:szCs w:val="21"/>
              </w:rPr>
              <w:t>32.7</w:t>
            </w:r>
          </w:p>
        </w:tc>
        <w:tc>
          <w:tcPr>
            <w:tcW w:w="584" w:type="dxa"/>
            <w:tcBorders>
              <w:top w:val="nil"/>
              <w:left w:val="nil"/>
              <w:bottom w:val="single" w:color="auto" w:sz="4" w:space="0"/>
              <w:right w:val="single" w:color="auto" w:sz="4" w:space="0"/>
            </w:tcBorders>
            <w:shd w:val="clear" w:color="auto" w:fill="auto"/>
            <w:vAlign w:val="center"/>
          </w:tcPr>
          <w:p w14:paraId="056E0CBF">
            <w:pPr>
              <w:widowControl/>
              <w:jc w:val="center"/>
              <w:rPr>
                <w:kern w:val="0"/>
                <w:szCs w:val="21"/>
              </w:rPr>
            </w:pPr>
            <w:r>
              <w:rPr>
                <w:kern w:val="0"/>
                <w:szCs w:val="21"/>
              </w:rPr>
              <w:t>36.1</w:t>
            </w:r>
          </w:p>
        </w:tc>
        <w:tc>
          <w:tcPr>
            <w:tcW w:w="584" w:type="dxa"/>
            <w:tcBorders>
              <w:top w:val="nil"/>
              <w:left w:val="nil"/>
              <w:bottom w:val="single" w:color="auto" w:sz="4" w:space="0"/>
              <w:right w:val="single" w:color="auto" w:sz="4" w:space="0"/>
            </w:tcBorders>
            <w:shd w:val="clear" w:color="auto" w:fill="auto"/>
            <w:vAlign w:val="center"/>
          </w:tcPr>
          <w:p w14:paraId="538BEBAD">
            <w:pPr>
              <w:widowControl/>
              <w:jc w:val="center"/>
              <w:rPr>
                <w:kern w:val="0"/>
                <w:szCs w:val="21"/>
              </w:rPr>
            </w:pPr>
            <w:r>
              <w:rPr>
                <w:kern w:val="0"/>
                <w:szCs w:val="21"/>
              </w:rPr>
              <w:t>35.5</w:t>
            </w:r>
          </w:p>
        </w:tc>
        <w:tc>
          <w:tcPr>
            <w:tcW w:w="426" w:type="dxa"/>
            <w:tcBorders>
              <w:top w:val="nil"/>
              <w:left w:val="nil"/>
              <w:bottom w:val="single" w:color="auto" w:sz="4" w:space="0"/>
              <w:right w:val="single" w:color="auto" w:sz="4" w:space="0"/>
            </w:tcBorders>
            <w:shd w:val="clear" w:color="auto" w:fill="auto"/>
            <w:vAlign w:val="center"/>
          </w:tcPr>
          <w:p w14:paraId="283BB95A">
            <w:pPr>
              <w:widowControl/>
              <w:jc w:val="center"/>
              <w:rPr>
                <w:kern w:val="0"/>
                <w:szCs w:val="21"/>
              </w:rPr>
            </w:pPr>
            <w:r>
              <w:rPr>
                <w:kern w:val="0"/>
                <w:szCs w:val="21"/>
              </w:rPr>
              <w:t>1</w:t>
            </w:r>
          </w:p>
        </w:tc>
      </w:tr>
      <w:tr w14:paraId="6B16AA9A">
        <w:tblPrEx>
          <w:tblCellMar>
            <w:top w:w="0" w:type="dxa"/>
            <w:left w:w="108" w:type="dxa"/>
            <w:bottom w:w="0" w:type="dxa"/>
            <w:right w:w="108" w:type="dxa"/>
          </w:tblCellMar>
        </w:tblPrEx>
        <w:trPr>
          <w:trHeight w:val="48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6C7985F">
            <w:pPr>
              <w:widowControl/>
              <w:jc w:val="center"/>
              <w:rPr>
                <w:kern w:val="0"/>
                <w:szCs w:val="21"/>
              </w:rPr>
            </w:pPr>
            <w:r>
              <w:rPr>
                <w:kern w:val="0"/>
                <w:szCs w:val="21"/>
              </w:rPr>
              <w:t>3</w:t>
            </w:r>
          </w:p>
        </w:tc>
        <w:tc>
          <w:tcPr>
            <w:tcW w:w="426" w:type="dxa"/>
            <w:vMerge w:val="continue"/>
            <w:tcBorders>
              <w:top w:val="nil"/>
              <w:left w:val="single" w:color="auto" w:sz="4" w:space="0"/>
              <w:bottom w:val="single" w:color="auto" w:sz="4" w:space="0"/>
              <w:right w:val="single" w:color="auto" w:sz="4" w:space="0"/>
            </w:tcBorders>
            <w:vAlign w:val="center"/>
          </w:tcPr>
          <w:p w14:paraId="40EFF269">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00BE2364">
            <w:pPr>
              <w:widowControl/>
              <w:jc w:val="center"/>
              <w:rPr>
                <w:kern w:val="0"/>
                <w:szCs w:val="21"/>
              </w:rPr>
            </w:pPr>
            <w:r>
              <w:rPr>
                <w:kern w:val="0"/>
                <w:szCs w:val="21"/>
              </w:rPr>
              <w:t>全自动四辊卷板机</w:t>
            </w:r>
          </w:p>
        </w:tc>
        <w:tc>
          <w:tcPr>
            <w:tcW w:w="426" w:type="dxa"/>
            <w:tcBorders>
              <w:top w:val="nil"/>
              <w:left w:val="nil"/>
              <w:bottom w:val="single" w:color="auto" w:sz="4" w:space="0"/>
              <w:right w:val="single" w:color="auto" w:sz="4" w:space="0"/>
            </w:tcBorders>
            <w:shd w:val="clear" w:color="auto" w:fill="auto"/>
            <w:vAlign w:val="center"/>
          </w:tcPr>
          <w:p w14:paraId="1FA9C54A">
            <w:pPr>
              <w:widowControl/>
              <w:jc w:val="center"/>
              <w:rPr>
                <w:kern w:val="0"/>
                <w:szCs w:val="21"/>
              </w:rPr>
            </w:pPr>
            <w:r>
              <w:rPr>
                <w:kern w:val="0"/>
                <w:szCs w:val="21"/>
              </w:rPr>
              <w:t>80</w:t>
            </w:r>
          </w:p>
        </w:tc>
        <w:tc>
          <w:tcPr>
            <w:tcW w:w="636" w:type="dxa"/>
            <w:tcBorders>
              <w:top w:val="nil"/>
              <w:left w:val="nil"/>
              <w:bottom w:val="single" w:color="auto" w:sz="4" w:space="0"/>
              <w:right w:val="single" w:color="auto" w:sz="4" w:space="0"/>
            </w:tcBorders>
            <w:shd w:val="clear" w:color="auto" w:fill="auto"/>
            <w:vAlign w:val="center"/>
          </w:tcPr>
          <w:p w14:paraId="31E24183">
            <w:pPr>
              <w:widowControl/>
              <w:jc w:val="center"/>
              <w:rPr>
                <w:kern w:val="0"/>
                <w:szCs w:val="21"/>
              </w:rPr>
            </w:pPr>
            <w:r>
              <w:rPr>
                <w:kern w:val="0"/>
                <w:szCs w:val="21"/>
              </w:rPr>
              <w:t>2</w:t>
            </w:r>
          </w:p>
        </w:tc>
        <w:tc>
          <w:tcPr>
            <w:tcW w:w="636" w:type="dxa"/>
            <w:vMerge w:val="continue"/>
            <w:tcBorders>
              <w:left w:val="nil"/>
              <w:right w:val="single" w:color="auto" w:sz="4" w:space="0"/>
            </w:tcBorders>
            <w:shd w:val="clear" w:color="auto" w:fill="auto"/>
            <w:vAlign w:val="center"/>
          </w:tcPr>
          <w:p w14:paraId="377CE82F">
            <w:pPr>
              <w:jc w:val="center"/>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4066F2D6">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45B51119">
            <w:pPr>
              <w:widowControl/>
              <w:jc w:val="center"/>
              <w:rPr>
                <w:kern w:val="0"/>
                <w:szCs w:val="21"/>
              </w:rPr>
            </w:pPr>
            <w:r>
              <w:rPr>
                <w:kern w:val="0"/>
                <w:szCs w:val="21"/>
              </w:rPr>
              <w:t>290</w:t>
            </w:r>
          </w:p>
        </w:tc>
        <w:tc>
          <w:tcPr>
            <w:tcW w:w="345" w:type="dxa"/>
            <w:tcBorders>
              <w:top w:val="nil"/>
              <w:left w:val="nil"/>
              <w:bottom w:val="single" w:color="auto" w:sz="4" w:space="0"/>
              <w:right w:val="single" w:color="auto" w:sz="4" w:space="0"/>
            </w:tcBorders>
            <w:shd w:val="clear" w:color="auto" w:fill="auto"/>
            <w:vAlign w:val="center"/>
          </w:tcPr>
          <w:p w14:paraId="17964299">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2778641D">
            <w:pPr>
              <w:widowControl/>
              <w:jc w:val="center"/>
              <w:rPr>
                <w:kern w:val="0"/>
                <w:szCs w:val="21"/>
              </w:rPr>
            </w:pPr>
            <w:r>
              <w:rPr>
                <w:kern w:val="0"/>
                <w:szCs w:val="21"/>
              </w:rPr>
              <w:t>92</w:t>
            </w:r>
          </w:p>
        </w:tc>
        <w:tc>
          <w:tcPr>
            <w:tcW w:w="531" w:type="dxa"/>
            <w:tcBorders>
              <w:top w:val="nil"/>
              <w:left w:val="nil"/>
              <w:bottom w:val="single" w:color="auto" w:sz="4" w:space="0"/>
              <w:right w:val="single" w:color="auto" w:sz="4" w:space="0"/>
            </w:tcBorders>
            <w:shd w:val="clear" w:color="auto" w:fill="auto"/>
            <w:vAlign w:val="center"/>
          </w:tcPr>
          <w:p w14:paraId="27BF893E">
            <w:pPr>
              <w:widowControl/>
              <w:jc w:val="center"/>
              <w:rPr>
                <w:kern w:val="0"/>
                <w:szCs w:val="21"/>
              </w:rPr>
            </w:pPr>
            <w:r>
              <w:rPr>
                <w:kern w:val="0"/>
                <w:szCs w:val="21"/>
              </w:rPr>
              <w:t>290</w:t>
            </w:r>
          </w:p>
        </w:tc>
        <w:tc>
          <w:tcPr>
            <w:tcW w:w="426" w:type="dxa"/>
            <w:tcBorders>
              <w:top w:val="nil"/>
              <w:left w:val="nil"/>
              <w:bottom w:val="single" w:color="auto" w:sz="4" w:space="0"/>
              <w:right w:val="single" w:color="auto" w:sz="4" w:space="0"/>
            </w:tcBorders>
            <w:shd w:val="clear" w:color="auto" w:fill="auto"/>
            <w:vAlign w:val="center"/>
          </w:tcPr>
          <w:p w14:paraId="4E7ED914">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0F26FE10">
            <w:pPr>
              <w:widowControl/>
              <w:jc w:val="center"/>
              <w:rPr>
                <w:kern w:val="0"/>
                <w:szCs w:val="21"/>
              </w:rPr>
            </w:pPr>
            <w:r>
              <w:rPr>
                <w:kern w:val="0"/>
                <w:szCs w:val="21"/>
              </w:rPr>
              <w:t>151</w:t>
            </w:r>
          </w:p>
        </w:tc>
        <w:tc>
          <w:tcPr>
            <w:tcW w:w="584" w:type="dxa"/>
            <w:tcBorders>
              <w:top w:val="nil"/>
              <w:left w:val="nil"/>
              <w:bottom w:val="single" w:color="auto" w:sz="4" w:space="0"/>
              <w:right w:val="single" w:color="auto" w:sz="4" w:space="0"/>
            </w:tcBorders>
            <w:shd w:val="clear" w:color="auto" w:fill="auto"/>
            <w:vAlign w:val="center"/>
          </w:tcPr>
          <w:p w14:paraId="0CCF5E6F">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1C3AC85C">
            <w:pPr>
              <w:widowControl/>
              <w:jc w:val="center"/>
              <w:rPr>
                <w:kern w:val="0"/>
                <w:szCs w:val="21"/>
              </w:rPr>
            </w:pPr>
            <w:r>
              <w:rPr>
                <w:kern w:val="0"/>
                <w:szCs w:val="21"/>
              </w:rPr>
              <w:t>58.7</w:t>
            </w:r>
          </w:p>
        </w:tc>
        <w:tc>
          <w:tcPr>
            <w:tcW w:w="584" w:type="dxa"/>
            <w:tcBorders>
              <w:top w:val="nil"/>
              <w:left w:val="nil"/>
              <w:bottom w:val="single" w:color="auto" w:sz="4" w:space="0"/>
              <w:right w:val="single" w:color="auto" w:sz="4" w:space="0"/>
            </w:tcBorders>
            <w:shd w:val="clear" w:color="auto" w:fill="auto"/>
            <w:vAlign w:val="center"/>
          </w:tcPr>
          <w:p w14:paraId="4E1E39F0">
            <w:pPr>
              <w:widowControl/>
              <w:jc w:val="center"/>
              <w:rPr>
                <w:kern w:val="0"/>
                <w:szCs w:val="21"/>
              </w:rPr>
            </w:pPr>
            <w:r>
              <w:rPr>
                <w:kern w:val="0"/>
                <w:szCs w:val="21"/>
              </w:rPr>
              <w:t>62</w:t>
            </w:r>
          </w:p>
        </w:tc>
        <w:tc>
          <w:tcPr>
            <w:tcW w:w="584" w:type="dxa"/>
            <w:tcBorders>
              <w:top w:val="nil"/>
              <w:left w:val="nil"/>
              <w:bottom w:val="single" w:color="auto" w:sz="4" w:space="0"/>
              <w:right w:val="single" w:color="auto" w:sz="4" w:space="0"/>
            </w:tcBorders>
            <w:shd w:val="clear" w:color="auto" w:fill="auto"/>
            <w:vAlign w:val="center"/>
          </w:tcPr>
          <w:p w14:paraId="33C5AF9C">
            <w:pPr>
              <w:widowControl/>
              <w:jc w:val="center"/>
              <w:rPr>
                <w:kern w:val="0"/>
                <w:szCs w:val="21"/>
              </w:rPr>
            </w:pPr>
            <w:r>
              <w:rPr>
                <w:kern w:val="0"/>
                <w:szCs w:val="21"/>
              </w:rPr>
              <w:t>61.5</w:t>
            </w:r>
          </w:p>
        </w:tc>
        <w:tc>
          <w:tcPr>
            <w:tcW w:w="636" w:type="dxa"/>
            <w:tcBorders>
              <w:top w:val="nil"/>
              <w:left w:val="nil"/>
              <w:bottom w:val="single" w:color="auto" w:sz="4" w:space="0"/>
              <w:right w:val="single" w:color="auto" w:sz="4" w:space="0"/>
            </w:tcBorders>
            <w:shd w:val="clear" w:color="auto" w:fill="auto"/>
            <w:vAlign w:val="center"/>
          </w:tcPr>
          <w:p w14:paraId="68ED77B9">
            <w:pPr>
              <w:widowControl/>
              <w:jc w:val="center"/>
              <w:rPr>
                <w:kern w:val="0"/>
                <w:szCs w:val="21"/>
              </w:rPr>
            </w:pPr>
            <w:r>
              <w:rPr>
                <w:kern w:val="0"/>
                <w:szCs w:val="21"/>
              </w:rPr>
              <w:t>1200</w:t>
            </w:r>
          </w:p>
        </w:tc>
        <w:tc>
          <w:tcPr>
            <w:tcW w:w="788" w:type="dxa"/>
            <w:tcBorders>
              <w:top w:val="nil"/>
              <w:left w:val="nil"/>
              <w:bottom w:val="single" w:color="auto" w:sz="4" w:space="0"/>
              <w:right w:val="single" w:color="auto" w:sz="4" w:space="0"/>
            </w:tcBorders>
            <w:shd w:val="clear" w:color="auto" w:fill="auto"/>
            <w:vAlign w:val="center"/>
          </w:tcPr>
          <w:p w14:paraId="02E21F77">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2957577A">
            <w:pPr>
              <w:widowControl/>
              <w:jc w:val="center"/>
              <w:rPr>
                <w:kern w:val="0"/>
                <w:szCs w:val="21"/>
              </w:rPr>
            </w:pPr>
            <w:r>
              <w:rPr>
                <w:kern w:val="0"/>
                <w:szCs w:val="21"/>
              </w:rPr>
              <w:t>36</w:t>
            </w:r>
          </w:p>
        </w:tc>
        <w:tc>
          <w:tcPr>
            <w:tcW w:w="584" w:type="dxa"/>
            <w:tcBorders>
              <w:top w:val="nil"/>
              <w:left w:val="nil"/>
              <w:bottom w:val="single" w:color="auto" w:sz="4" w:space="0"/>
              <w:right w:val="single" w:color="auto" w:sz="4" w:space="0"/>
            </w:tcBorders>
            <w:shd w:val="clear" w:color="auto" w:fill="auto"/>
            <w:vAlign w:val="center"/>
          </w:tcPr>
          <w:p w14:paraId="2249BBC5">
            <w:pPr>
              <w:widowControl/>
              <w:jc w:val="center"/>
              <w:rPr>
                <w:kern w:val="0"/>
                <w:szCs w:val="21"/>
              </w:rPr>
            </w:pPr>
            <w:r>
              <w:rPr>
                <w:kern w:val="0"/>
                <w:szCs w:val="21"/>
              </w:rPr>
              <w:t>32.7</w:t>
            </w:r>
          </w:p>
        </w:tc>
        <w:tc>
          <w:tcPr>
            <w:tcW w:w="584" w:type="dxa"/>
            <w:tcBorders>
              <w:top w:val="nil"/>
              <w:left w:val="nil"/>
              <w:bottom w:val="single" w:color="auto" w:sz="4" w:space="0"/>
              <w:right w:val="single" w:color="auto" w:sz="4" w:space="0"/>
            </w:tcBorders>
            <w:shd w:val="clear" w:color="auto" w:fill="auto"/>
            <w:vAlign w:val="center"/>
          </w:tcPr>
          <w:p w14:paraId="14F2E57F">
            <w:pPr>
              <w:widowControl/>
              <w:jc w:val="center"/>
              <w:rPr>
                <w:kern w:val="0"/>
                <w:szCs w:val="21"/>
              </w:rPr>
            </w:pPr>
            <w:r>
              <w:rPr>
                <w:kern w:val="0"/>
                <w:szCs w:val="21"/>
              </w:rPr>
              <w:t>36</w:t>
            </w:r>
          </w:p>
        </w:tc>
        <w:tc>
          <w:tcPr>
            <w:tcW w:w="584" w:type="dxa"/>
            <w:tcBorders>
              <w:top w:val="nil"/>
              <w:left w:val="nil"/>
              <w:bottom w:val="single" w:color="auto" w:sz="4" w:space="0"/>
              <w:right w:val="single" w:color="auto" w:sz="4" w:space="0"/>
            </w:tcBorders>
            <w:shd w:val="clear" w:color="auto" w:fill="auto"/>
            <w:vAlign w:val="center"/>
          </w:tcPr>
          <w:p w14:paraId="4E6C68BC">
            <w:pPr>
              <w:widowControl/>
              <w:jc w:val="center"/>
              <w:rPr>
                <w:kern w:val="0"/>
                <w:szCs w:val="21"/>
              </w:rPr>
            </w:pPr>
            <w:r>
              <w:rPr>
                <w:kern w:val="0"/>
                <w:szCs w:val="21"/>
              </w:rPr>
              <w:t>35.5</w:t>
            </w:r>
          </w:p>
        </w:tc>
        <w:tc>
          <w:tcPr>
            <w:tcW w:w="426" w:type="dxa"/>
            <w:tcBorders>
              <w:top w:val="nil"/>
              <w:left w:val="nil"/>
              <w:bottom w:val="single" w:color="auto" w:sz="4" w:space="0"/>
              <w:right w:val="single" w:color="auto" w:sz="4" w:space="0"/>
            </w:tcBorders>
            <w:shd w:val="clear" w:color="auto" w:fill="auto"/>
            <w:vAlign w:val="center"/>
          </w:tcPr>
          <w:p w14:paraId="0995CA1E">
            <w:pPr>
              <w:widowControl/>
              <w:jc w:val="center"/>
              <w:rPr>
                <w:kern w:val="0"/>
                <w:szCs w:val="21"/>
              </w:rPr>
            </w:pPr>
            <w:r>
              <w:rPr>
                <w:kern w:val="0"/>
                <w:szCs w:val="21"/>
              </w:rPr>
              <w:t>1</w:t>
            </w:r>
          </w:p>
        </w:tc>
      </w:tr>
      <w:tr w14:paraId="4A6A911F">
        <w:tblPrEx>
          <w:tblCellMar>
            <w:top w:w="0" w:type="dxa"/>
            <w:left w:w="108" w:type="dxa"/>
            <w:bottom w:w="0" w:type="dxa"/>
            <w:right w:w="108" w:type="dxa"/>
          </w:tblCellMar>
        </w:tblPrEx>
        <w:trPr>
          <w:trHeight w:val="48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723568B">
            <w:pPr>
              <w:widowControl/>
              <w:jc w:val="center"/>
              <w:rPr>
                <w:kern w:val="0"/>
                <w:szCs w:val="21"/>
              </w:rPr>
            </w:pPr>
            <w:r>
              <w:rPr>
                <w:kern w:val="0"/>
                <w:szCs w:val="21"/>
              </w:rPr>
              <w:t>4</w:t>
            </w:r>
          </w:p>
        </w:tc>
        <w:tc>
          <w:tcPr>
            <w:tcW w:w="426" w:type="dxa"/>
            <w:vMerge w:val="continue"/>
            <w:tcBorders>
              <w:top w:val="nil"/>
              <w:left w:val="single" w:color="auto" w:sz="4" w:space="0"/>
              <w:bottom w:val="single" w:color="auto" w:sz="4" w:space="0"/>
              <w:right w:val="single" w:color="auto" w:sz="4" w:space="0"/>
            </w:tcBorders>
            <w:vAlign w:val="center"/>
          </w:tcPr>
          <w:p w14:paraId="16DFAE9B">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2388AFD9">
            <w:pPr>
              <w:widowControl/>
              <w:jc w:val="center"/>
              <w:rPr>
                <w:kern w:val="0"/>
                <w:szCs w:val="21"/>
              </w:rPr>
            </w:pPr>
            <w:bookmarkStart w:id="190" w:name="RANGE!C9"/>
            <w:r>
              <w:rPr>
                <w:kern w:val="0"/>
                <w:szCs w:val="21"/>
              </w:rPr>
              <w:t>大型激光切割机</w:t>
            </w:r>
            <w:bookmarkEnd w:id="190"/>
          </w:p>
        </w:tc>
        <w:tc>
          <w:tcPr>
            <w:tcW w:w="426" w:type="dxa"/>
            <w:tcBorders>
              <w:top w:val="nil"/>
              <w:left w:val="nil"/>
              <w:bottom w:val="single" w:color="auto" w:sz="4" w:space="0"/>
              <w:right w:val="single" w:color="auto" w:sz="4" w:space="0"/>
            </w:tcBorders>
            <w:shd w:val="clear" w:color="auto" w:fill="auto"/>
            <w:vAlign w:val="center"/>
          </w:tcPr>
          <w:p w14:paraId="14A3FAF8">
            <w:pPr>
              <w:widowControl/>
              <w:jc w:val="center"/>
              <w:rPr>
                <w:kern w:val="0"/>
                <w:szCs w:val="21"/>
              </w:rPr>
            </w:pPr>
            <w:r>
              <w:rPr>
                <w:kern w:val="0"/>
                <w:szCs w:val="21"/>
              </w:rPr>
              <w:t>90</w:t>
            </w:r>
          </w:p>
        </w:tc>
        <w:tc>
          <w:tcPr>
            <w:tcW w:w="636" w:type="dxa"/>
            <w:tcBorders>
              <w:top w:val="nil"/>
              <w:left w:val="nil"/>
              <w:bottom w:val="single" w:color="auto" w:sz="4" w:space="0"/>
              <w:right w:val="single" w:color="auto" w:sz="4" w:space="0"/>
            </w:tcBorders>
            <w:shd w:val="clear" w:color="auto" w:fill="auto"/>
            <w:vAlign w:val="center"/>
          </w:tcPr>
          <w:p w14:paraId="63F9D1C2">
            <w:pPr>
              <w:widowControl/>
              <w:jc w:val="center"/>
              <w:rPr>
                <w:kern w:val="0"/>
                <w:szCs w:val="21"/>
              </w:rPr>
            </w:pPr>
            <w:r>
              <w:rPr>
                <w:kern w:val="0"/>
                <w:szCs w:val="21"/>
              </w:rPr>
              <w:t>1</w:t>
            </w:r>
          </w:p>
        </w:tc>
        <w:tc>
          <w:tcPr>
            <w:tcW w:w="636" w:type="dxa"/>
            <w:vMerge w:val="continue"/>
            <w:tcBorders>
              <w:left w:val="nil"/>
              <w:right w:val="single" w:color="auto" w:sz="4" w:space="0"/>
            </w:tcBorders>
            <w:shd w:val="clear" w:color="auto" w:fill="auto"/>
            <w:vAlign w:val="center"/>
          </w:tcPr>
          <w:p w14:paraId="7AFCFF7E">
            <w:pPr>
              <w:jc w:val="center"/>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44576D7A">
            <w:pPr>
              <w:widowControl/>
              <w:jc w:val="center"/>
              <w:rPr>
                <w:kern w:val="0"/>
                <w:szCs w:val="21"/>
              </w:rPr>
            </w:pPr>
            <w:r>
              <w:rPr>
                <w:kern w:val="0"/>
                <w:szCs w:val="21"/>
              </w:rPr>
              <w:t>25</w:t>
            </w:r>
          </w:p>
        </w:tc>
        <w:tc>
          <w:tcPr>
            <w:tcW w:w="531" w:type="dxa"/>
            <w:tcBorders>
              <w:top w:val="nil"/>
              <w:left w:val="nil"/>
              <w:bottom w:val="single" w:color="auto" w:sz="4" w:space="0"/>
              <w:right w:val="single" w:color="auto" w:sz="4" w:space="0"/>
            </w:tcBorders>
            <w:shd w:val="clear" w:color="auto" w:fill="auto"/>
            <w:vAlign w:val="center"/>
          </w:tcPr>
          <w:p w14:paraId="3109E906">
            <w:pPr>
              <w:widowControl/>
              <w:jc w:val="center"/>
              <w:rPr>
                <w:kern w:val="0"/>
                <w:szCs w:val="21"/>
              </w:rPr>
            </w:pPr>
            <w:r>
              <w:rPr>
                <w:kern w:val="0"/>
                <w:szCs w:val="21"/>
              </w:rPr>
              <w:t>274</w:t>
            </w:r>
          </w:p>
        </w:tc>
        <w:tc>
          <w:tcPr>
            <w:tcW w:w="345" w:type="dxa"/>
            <w:tcBorders>
              <w:top w:val="nil"/>
              <w:left w:val="nil"/>
              <w:bottom w:val="single" w:color="auto" w:sz="4" w:space="0"/>
              <w:right w:val="single" w:color="auto" w:sz="4" w:space="0"/>
            </w:tcBorders>
            <w:shd w:val="clear" w:color="auto" w:fill="auto"/>
            <w:vAlign w:val="center"/>
          </w:tcPr>
          <w:p w14:paraId="4D0AE32A">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3B6EBCE4">
            <w:pPr>
              <w:widowControl/>
              <w:jc w:val="center"/>
              <w:rPr>
                <w:kern w:val="0"/>
                <w:szCs w:val="21"/>
              </w:rPr>
            </w:pPr>
            <w:r>
              <w:rPr>
                <w:kern w:val="0"/>
                <w:szCs w:val="21"/>
              </w:rPr>
              <w:t>99</w:t>
            </w:r>
          </w:p>
        </w:tc>
        <w:tc>
          <w:tcPr>
            <w:tcW w:w="531" w:type="dxa"/>
            <w:tcBorders>
              <w:top w:val="nil"/>
              <w:left w:val="nil"/>
              <w:bottom w:val="single" w:color="auto" w:sz="4" w:space="0"/>
              <w:right w:val="single" w:color="auto" w:sz="4" w:space="0"/>
            </w:tcBorders>
            <w:shd w:val="clear" w:color="auto" w:fill="auto"/>
            <w:vAlign w:val="center"/>
          </w:tcPr>
          <w:p w14:paraId="1B912271">
            <w:pPr>
              <w:widowControl/>
              <w:jc w:val="center"/>
              <w:rPr>
                <w:kern w:val="0"/>
                <w:szCs w:val="21"/>
              </w:rPr>
            </w:pPr>
            <w:r>
              <w:rPr>
                <w:kern w:val="0"/>
                <w:szCs w:val="21"/>
              </w:rPr>
              <w:t>274</w:t>
            </w:r>
          </w:p>
        </w:tc>
        <w:tc>
          <w:tcPr>
            <w:tcW w:w="426" w:type="dxa"/>
            <w:tcBorders>
              <w:top w:val="nil"/>
              <w:left w:val="nil"/>
              <w:bottom w:val="single" w:color="auto" w:sz="4" w:space="0"/>
              <w:right w:val="single" w:color="auto" w:sz="4" w:space="0"/>
            </w:tcBorders>
            <w:shd w:val="clear" w:color="auto" w:fill="auto"/>
            <w:vAlign w:val="center"/>
          </w:tcPr>
          <w:p w14:paraId="5E4B58AF">
            <w:pPr>
              <w:widowControl/>
              <w:jc w:val="center"/>
              <w:rPr>
                <w:kern w:val="0"/>
                <w:szCs w:val="21"/>
              </w:rPr>
            </w:pPr>
            <w:r>
              <w:rPr>
                <w:kern w:val="0"/>
                <w:szCs w:val="21"/>
              </w:rPr>
              <w:t>25</w:t>
            </w:r>
          </w:p>
        </w:tc>
        <w:tc>
          <w:tcPr>
            <w:tcW w:w="531" w:type="dxa"/>
            <w:tcBorders>
              <w:top w:val="nil"/>
              <w:left w:val="nil"/>
              <w:bottom w:val="single" w:color="auto" w:sz="4" w:space="0"/>
              <w:right w:val="single" w:color="auto" w:sz="4" w:space="0"/>
            </w:tcBorders>
            <w:shd w:val="clear" w:color="auto" w:fill="auto"/>
            <w:vAlign w:val="center"/>
          </w:tcPr>
          <w:p w14:paraId="2AE3EF20">
            <w:pPr>
              <w:widowControl/>
              <w:jc w:val="center"/>
              <w:rPr>
                <w:kern w:val="0"/>
                <w:szCs w:val="21"/>
              </w:rPr>
            </w:pPr>
            <w:r>
              <w:rPr>
                <w:kern w:val="0"/>
                <w:szCs w:val="21"/>
              </w:rPr>
              <w:t>167</w:t>
            </w:r>
          </w:p>
        </w:tc>
        <w:tc>
          <w:tcPr>
            <w:tcW w:w="584" w:type="dxa"/>
            <w:tcBorders>
              <w:top w:val="nil"/>
              <w:left w:val="nil"/>
              <w:bottom w:val="single" w:color="auto" w:sz="4" w:space="0"/>
              <w:right w:val="single" w:color="auto" w:sz="4" w:space="0"/>
            </w:tcBorders>
            <w:shd w:val="clear" w:color="auto" w:fill="auto"/>
            <w:vAlign w:val="center"/>
          </w:tcPr>
          <w:p w14:paraId="0E73995C">
            <w:pPr>
              <w:widowControl/>
              <w:jc w:val="center"/>
              <w:rPr>
                <w:kern w:val="0"/>
                <w:szCs w:val="21"/>
              </w:rPr>
            </w:pPr>
            <w:r>
              <w:rPr>
                <w:kern w:val="0"/>
                <w:szCs w:val="21"/>
              </w:rPr>
              <w:t>60.5</w:t>
            </w:r>
          </w:p>
        </w:tc>
        <w:tc>
          <w:tcPr>
            <w:tcW w:w="584" w:type="dxa"/>
            <w:tcBorders>
              <w:top w:val="nil"/>
              <w:left w:val="nil"/>
              <w:bottom w:val="single" w:color="auto" w:sz="4" w:space="0"/>
              <w:right w:val="single" w:color="auto" w:sz="4" w:space="0"/>
            </w:tcBorders>
            <w:shd w:val="clear" w:color="auto" w:fill="auto"/>
            <w:vAlign w:val="center"/>
          </w:tcPr>
          <w:p w14:paraId="567DD6D0">
            <w:pPr>
              <w:widowControl/>
              <w:jc w:val="center"/>
              <w:rPr>
                <w:kern w:val="0"/>
                <w:szCs w:val="21"/>
              </w:rPr>
            </w:pPr>
            <w:r>
              <w:rPr>
                <w:kern w:val="0"/>
                <w:szCs w:val="21"/>
              </w:rPr>
              <w:t>58.9</w:t>
            </w:r>
          </w:p>
        </w:tc>
        <w:tc>
          <w:tcPr>
            <w:tcW w:w="584" w:type="dxa"/>
            <w:tcBorders>
              <w:top w:val="nil"/>
              <w:left w:val="nil"/>
              <w:bottom w:val="single" w:color="auto" w:sz="4" w:space="0"/>
              <w:right w:val="single" w:color="auto" w:sz="4" w:space="0"/>
            </w:tcBorders>
            <w:shd w:val="clear" w:color="auto" w:fill="auto"/>
            <w:vAlign w:val="center"/>
          </w:tcPr>
          <w:p w14:paraId="1908B79C">
            <w:pPr>
              <w:widowControl/>
              <w:jc w:val="center"/>
              <w:rPr>
                <w:kern w:val="0"/>
                <w:szCs w:val="21"/>
              </w:rPr>
            </w:pPr>
            <w:r>
              <w:rPr>
                <w:kern w:val="0"/>
                <w:szCs w:val="21"/>
              </w:rPr>
              <w:t>68.4</w:t>
            </w:r>
          </w:p>
        </w:tc>
        <w:tc>
          <w:tcPr>
            <w:tcW w:w="584" w:type="dxa"/>
            <w:tcBorders>
              <w:top w:val="nil"/>
              <w:left w:val="nil"/>
              <w:bottom w:val="single" w:color="auto" w:sz="4" w:space="0"/>
              <w:right w:val="single" w:color="auto" w:sz="4" w:space="0"/>
            </w:tcBorders>
            <w:shd w:val="clear" w:color="auto" w:fill="auto"/>
            <w:vAlign w:val="center"/>
          </w:tcPr>
          <w:p w14:paraId="090ADE08">
            <w:pPr>
              <w:widowControl/>
              <w:jc w:val="center"/>
              <w:rPr>
                <w:kern w:val="0"/>
                <w:szCs w:val="21"/>
              </w:rPr>
            </w:pPr>
            <w:r>
              <w:rPr>
                <w:kern w:val="0"/>
                <w:szCs w:val="21"/>
              </w:rPr>
              <w:t>61.2</w:t>
            </w:r>
          </w:p>
        </w:tc>
        <w:tc>
          <w:tcPr>
            <w:tcW w:w="636" w:type="dxa"/>
            <w:tcBorders>
              <w:top w:val="nil"/>
              <w:left w:val="nil"/>
              <w:bottom w:val="single" w:color="auto" w:sz="4" w:space="0"/>
              <w:right w:val="single" w:color="auto" w:sz="4" w:space="0"/>
            </w:tcBorders>
            <w:shd w:val="clear" w:color="auto" w:fill="auto"/>
            <w:vAlign w:val="center"/>
          </w:tcPr>
          <w:p w14:paraId="7B1E169A">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4413F930">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036D9CDC">
            <w:pPr>
              <w:widowControl/>
              <w:jc w:val="center"/>
              <w:rPr>
                <w:kern w:val="0"/>
                <w:szCs w:val="21"/>
              </w:rPr>
            </w:pPr>
            <w:r>
              <w:rPr>
                <w:kern w:val="0"/>
                <w:szCs w:val="21"/>
              </w:rPr>
              <w:t>42.4</w:t>
            </w:r>
          </w:p>
        </w:tc>
        <w:tc>
          <w:tcPr>
            <w:tcW w:w="584" w:type="dxa"/>
            <w:tcBorders>
              <w:top w:val="nil"/>
              <w:left w:val="nil"/>
              <w:bottom w:val="single" w:color="auto" w:sz="4" w:space="0"/>
              <w:right w:val="single" w:color="auto" w:sz="4" w:space="0"/>
            </w:tcBorders>
            <w:shd w:val="clear" w:color="auto" w:fill="auto"/>
            <w:vAlign w:val="center"/>
          </w:tcPr>
          <w:p w14:paraId="06349669">
            <w:pPr>
              <w:widowControl/>
              <w:jc w:val="center"/>
              <w:rPr>
                <w:kern w:val="0"/>
                <w:szCs w:val="21"/>
              </w:rPr>
            </w:pPr>
            <w:r>
              <w:rPr>
                <w:kern w:val="0"/>
                <w:szCs w:val="21"/>
              </w:rPr>
              <w:t>32.9</w:t>
            </w:r>
          </w:p>
        </w:tc>
        <w:tc>
          <w:tcPr>
            <w:tcW w:w="584" w:type="dxa"/>
            <w:tcBorders>
              <w:top w:val="nil"/>
              <w:left w:val="nil"/>
              <w:bottom w:val="single" w:color="auto" w:sz="4" w:space="0"/>
              <w:right w:val="single" w:color="auto" w:sz="4" w:space="0"/>
            </w:tcBorders>
            <w:shd w:val="clear" w:color="auto" w:fill="auto"/>
            <w:vAlign w:val="center"/>
          </w:tcPr>
          <w:p w14:paraId="522D3C74">
            <w:pPr>
              <w:widowControl/>
              <w:jc w:val="center"/>
              <w:rPr>
                <w:kern w:val="0"/>
                <w:szCs w:val="21"/>
              </w:rPr>
            </w:pPr>
            <w:r>
              <w:rPr>
                <w:kern w:val="0"/>
                <w:szCs w:val="21"/>
              </w:rPr>
              <w:t>42.4</w:t>
            </w:r>
          </w:p>
        </w:tc>
        <w:tc>
          <w:tcPr>
            <w:tcW w:w="584" w:type="dxa"/>
            <w:tcBorders>
              <w:top w:val="nil"/>
              <w:left w:val="nil"/>
              <w:bottom w:val="single" w:color="auto" w:sz="4" w:space="0"/>
              <w:right w:val="single" w:color="auto" w:sz="4" w:space="0"/>
            </w:tcBorders>
            <w:shd w:val="clear" w:color="auto" w:fill="auto"/>
            <w:vAlign w:val="center"/>
          </w:tcPr>
          <w:p w14:paraId="4078C2BC">
            <w:pPr>
              <w:widowControl/>
              <w:jc w:val="center"/>
              <w:rPr>
                <w:kern w:val="0"/>
                <w:szCs w:val="21"/>
              </w:rPr>
            </w:pPr>
            <w:r>
              <w:rPr>
                <w:kern w:val="0"/>
                <w:szCs w:val="21"/>
              </w:rPr>
              <w:t>35.2</w:t>
            </w:r>
          </w:p>
        </w:tc>
        <w:tc>
          <w:tcPr>
            <w:tcW w:w="426" w:type="dxa"/>
            <w:tcBorders>
              <w:top w:val="nil"/>
              <w:left w:val="nil"/>
              <w:bottom w:val="single" w:color="auto" w:sz="4" w:space="0"/>
              <w:right w:val="single" w:color="auto" w:sz="4" w:space="0"/>
            </w:tcBorders>
            <w:shd w:val="clear" w:color="auto" w:fill="auto"/>
            <w:vAlign w:val="center"/>
          </w:tcPr>
          <w:p w14:paraId="1FC865D3">
            <w:pPr>
              <w:widowControl/>
              <w:jc w:val="center"/>
              <w:rPr>
                <w:kern w:val="0"/>
                <w:szCs w:val="21"/>
              </w:rPr>
            </w:pPr>
            <w:r>
              <w:rPr>
                <w:kern w:val="0"/>
                <w:szCs w:val="21"/>
              </w:rPr>
              <w:t>1</w:t>
            </w:r>
          </w:p>
        </w:tc>
      </w:tr>
      <w:tr w14:paraId="7561BC24">
        <w:tblPrEx>
          <w:tblCellMar>
            <w:top w:w="0" w:type="dxa"/>
            <w:left w:w="108" w:type="dxa"/>
            <w:bottom w:w="0" w:type="dxa"/>
            <w:right w:w="108" w:type="dxa"/>
          </w:tblCellMar>
        </w:tblPrEx>
        <w:trPr>
          <w:trHeight w:val="48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776DD4AB">
            <w:pPr>
              <w:widowControl/>
              <w:jc w:val="center"/>
              <w:rPr>
                <w:kern w:val="0"/>
                <w:szCs w:val="21"/>
              </w:rPr>
            </w:pPr>
            <w:r>
              <w:rPr>
                <w:kern w:val="0"/>
                <w:szCs w:val="21"/>
              </w:rPr>
              <w:t>5</w:t>
            </w:r>
          </w:p>
        </w:tc>
        <w:tc>
          <w:tcPr>
            <w:tcW w:w="426" w:type="dxa"/>
            <w:vMerge w:val="continue"/>
            <w:tcBorders>
              <w:top w:val="nil"/>
              <w:left w:val="single" w:color="auto" w:sz="4" w:space="0"/>
              <w:bottom w:val="single" w:color="auto" w:sz="4" w:space="0"/>
              <w:right w:val="single" w:color="auto" w:sz="4" w:space="0"/>
            </w:tcBorders>
            <w:vAlign w:val="center"/>
          </w:tcPr>
          <w:p w14:paraId="7DB6C2A6">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33F3DF52">
            <w:pPr>
              <w:widowControl/>
              <w:jc w:val="center"/>
              <w:rPr>
                <w:kern w:val="0"/>
                <w:szCs w:val="21"/>
              </w:rPr>
            </w:pPr>
            <w:r>
              <w:rPr>
                <w:kern w:val="0"/>
                <w:szCs w:val="21"/>
              </w:rPr>
              <w:t>中型激光切割机</w:t>
            </w:r>
          </w:p>
        </w:tc>
        <w:tc>
          <w:tcPr>
            <w:tcW w:w="426" w:type="dxa"/>
            <w:tcBorders>
              <w:top w:val="nil"/>
              <w:left w:val="nil"/>
              <w:bottom w:val="single" w:color="auto" w:sz="4" w:space="0"/>
              <w:right w:val="single" w:color="auto" w:sz="4" w:space="0"/>
            </w:tcBorders>
            <w:shd w:val="clear" w:color="auto" w:fill="auto"/>
            <w:vAlign w:val="center"/>
          </w:tcPr>
          <w:p w14:paraId="722EFC7D">
            <w:pPr>
              <w:widowControl/>
              <w:jc w:val="center"/>
              <w:rPr>
                <w:kern w:val="0"/>
                <w:szCs w:val="21"/>
              </w:rPr>
            </w:pPr>
            <w:r>
              <w:rPr>
                <w:kern w:val="0"/>
                <w:szCs w:val="21"/>
              </w:rPr>
              <w:t>90</w:t>
            </w:r>
          </w:p>
        </w:tc>
        <w:tc>
          <w:tcPr>
            <w:tcW w:w="636" w:type="dxa"/>
            <w:tcBorders>
              <w:top w:val="nil"/>
              <w:left w:val="nil"/>
              <w:bottom w:val="single" w:color="auto" w:sz="4" w:space="0"/>
              <w:right w:val="single" w:color="auto" w:sz="4" w:space="0"/>
            </w:tcBorders>
            <w:shd w:val="clear" w:color="auto" w:fill="auto"/>
            <w:vAlign w:val="center"/>
          </w:tcPr>
          <w:p w14:paraId="38043C35">
            <w:pPr>
              <w:widowControl/>
              <w:jc w:val="center"/>
              <w:rPr>
                <w:kern w:val="0"/>
                <w:szCs w:val="21"/>
              </w:rPr>
            </w:pPr>
            <w:r>
              <w:rPr>
                <w:kern w:val="0"/>
                <w:szCs w:val="21"/>
              </w:rPr>
              <w:t>1</w:t>
            </w:r>
          </w:p>
        </w:tc>
        <w:tc>
          <w:tcPr>
            <w:tcW w:w="636" w:type="dxa"/>
            <w:vMerge w:val="continue"/>
            <w:tcBorders>
              <w:left w:val="single" w:color="auto" w:sz="4" w:space="0"/>
              <w:right w:val="single" w:color="auto" w:sz="4" w:space="0"/>
            </w:tcBorders>
            <w:shd w:val="clear" w:color="auto" w:fill="auto"/>
            <w:vAlign w:val="center"/>
          </w:tcPr>
          <w:p w14:paraId="501B271B">
            <w:pPr>
              <w:widowControl/>
              <w:jc w:val="center"/>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01B8945E">
            <w:pPr>
              <w:widowControl/>
              <w:jc w:val="center"/>
              <w:rPr>
                <w:kern w:val="0"/>
                <w:szCs w:val="21"/>
              </w:rPr>
            </w:pPr>
            <w:r>
              <w:rPr>
                <w:kern w:val="0"/>
                <w:szCs w:val="21"/>
              </w:rPr>
              <w:t>23</w:t>
            </w:r>
          </w:p>
        </w:tc>
        <w:tc>
          <w:tcPr>
            <w:tcW w:w="531" w:type="dxa"/>
            <w:tcBorders>
              <w:top w:val="nil"/>
              <w:left w:val="nil"/>
              <w:bottom w:val="single" w:color="auto" w:sz="4" w:space="0"/>
              <w:right w:val="single" w:color="auto" w:sz="4" w:space="0"/>
            </w:tcBorders>
            <w:shd w:val="clear" w:color="auto" w:fill="auto"/>
            <w:vAlign w:val="center"/>
          </w:tcPr>
          <w:p w14:paraId="37E6AFB0">
            <w:pPr>
              <w:widowControl/>
              <w:jc w:val="center"/>
              <w:rPr>
                <w:kern w:val="0"/>
                <w:szCs w:val="21"/>
              </w:rPr>
            </w:pPr>
            <w:r>
              <w:rPr>
                <w:kern w:val="0"/>
                <w:szCs w:val="21"/>
              </w:rPr>
              <w:t>277</w:t>
            </w:r>
          </w:p>
        </w:tc>
        <w:tc>
          <w:tcPr>
            <w:tcW w:w="345" w:type="dxa"/>
            <w:tcBorders>
              <w:top w:val="nil"/>
              <w:left w:val="nil"/>
              <w:bottom w:val="single" w:color="auto" w:sz="4" w:space="0"/>
              <w:right w:val="single" w:color="auto" w:sz="4" w:space="0"/>
            </w:tcBorders>
            <w:shd w:val="clear" w:color="auto" w:fill="auto"/>
            <w:vAlign w:val="center"/>
          </w:tcPr>
          <w:p w14:paraId="6F4D1EFF">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2A854DD1">
            <w:pPr>
              <w:widowControl/>
              <w:jc w:val="center"/>
              <w:rPr>
                <w:kern w:val="0"/>
                <w:szCs w:val="21"/>
              </w:rPr>
            </w:pPr>
            <w:r>
              <w:rPr>
                <w:kern w:val="0"/>
                <w:szCs w:val="21"/>
              </w:rPr>
              <w:t>101</w:t>
            </w:r>
          </w:p>
        </w:tc>
        <w:tc>
          <w:tcPr>
            <w:tcW w:w="531" w:type="dxa"/>
            <w:tcBorders>
              <w:top w:val="nil"/>
              <w:left w:val="nil"/>
              <w:bottom w:val="single" w:color="auto" w:sz="4" w:space="0"/>
              <w:right w:val="single" w:color="auto" w:sz="4" w:space="0"/>
            </w:tcBorders>
            <w:shd w:val="clear" w:color="auto" w:fill="auto"/>
            <w:vAlign w:val="center"/>
          </w:tcPr>
          <w:p w14:paraId="021C95B3">
            <w:pPr>
              <w:widowControl/>
              <w:jc w:val="center"/>
              <w:rPr>
                <w:kern w:val="0"/>
                <w:szCs w:val="21"/>
              </w:rPr>
            </w:pPr>
            <w:r>
              <w:rPr>
                <w:kern w:val="0"/>
                <w:szCs w:val="21"/>
              </w:rPr>
              <w:t>277</w:t>
            </w:r>
          </w:p>
        </w:tc>
        <w:tc>
          <w:tcPr>
            <w:tcW w:w="426" w:type="dxa"/>
            <w:tcBorders>
              <w:top w:val="nil"/>
              <w:left w:val="nil"/>
              <w:bottom w:val="single" w:color="auto" w:sz="4" w:space="0"/>
              <w:right w:val="single" w:color="auto" w:sz="4" w:space="0"/>
            </w:tcBorders>
            <w:shd w:val="clear" w:color="auto" w:fill="auto"/>
            <w:vAlign w:val="center"/>
          </w:tcPr>
          <w:p w14:paraId="5A18989D">
            <w:pPr>
              <w:widowControl/>
              <w:jc w:val="center"/>
              <w:rPr>
                <w:kern w:val="0"/>
                <w:szCs w:val="21"/>
              </w:rPr>
            </w:pPr>
            <w:r>
              <w:rPr>
                <w:kern w:val="0"/>
                <w:szCs w:val="21"/>
              </w:rPr>
              <w:t>23</w:t>
            </w:r>
          </w:p>
        </w:tc>
        <w:tc>
          <w:tcPr>
            <w:tcW w:w="531" w:type="dxa"/>
            <w:tcBorders>
              <w:top w:val="nil"/>
              <w:left w:val="nil"/>
              <w:bottom w:val="single" w:color="auto" w:sz="4" w:space="0"/>
              <w:right w:val="single" w:color="auto" w:sz="4" w:space="0"/>
            </w:tcBorders>
            <w:shd w:val="clear" w:color="auto" w:fill="auto"/>
            <w:vAlign w:val="center"/>
          </w:tcPr>
          <w:p w14:paraId="54A1B6F6">
            <w:pPr>
              <w:widowControl/>
              <w:jc w:val="center"/>
              <w:rPr>
                <w:kern w:val="0"/>
                <w:szCs w:val="21"/>
              </w:rPr>
            </w:pPr>
            <w:r>
              <w:rPr>
                <w:kern w:val="0"/>
                <w:szCs w:val="21"/>
              </w:rPr>
              <w:t>164</w:t>
            </w:r>
          </w:p>
        </w:tc>
        <w:tc>
          <w:tcPr>
            <w:tcW w:w="584" w:type="dxa"/>
            <w:tcBorders>
              <w:top w:val="nil"/>
              <w:left w:val="nil"/>
              <w:bottom w:val="single" w:color="auto" w:sz="4" w:space="0"/>
              <w:right w:val="single" w:color="auto" w:sz="4" w:space="0"/>
            </w:tcBorders>
            <w:shd w:val="clear" w:color="auto" w:fill="auto"/>
            <w:vAlign w:val="center"/>
          </w:tcPr>
          <w:p w14:paraId="198B6636">
            <w:pPr>
              <w:widowControl/>
              <w:jc w:val="center"/>
              <w:rPr>
                <w:kern w:val="0"/>
                <w:szCs w:val="21"/>
              </w:rPr>
            </w:pPr>
            <w:r>
              <w:rPr>
                <w:kern w:val="0"/>
                <w:szCs w:val="21"/>
              </w:rPr>
              <w:t>60.2</w:t>
            </w:r>
          </w:p>
        </w:tc>
        <w:tc>
          <w:tcPr>
            <w:tcW w:w="584" w:type="dxa"/>
            <w:tcBorders>
              <w:top w:val="nil"/>
              <w:left w:val="nil"/>
              <w:bottom w:val="single" w:color="auto" w:sz="4" w:space="0"/>
              <w:right w:val="single" w:color="auto" w:sz="4" w:space="0"/>
            </w:tcBorders>
            <w:shd w:val="clear" w:color="auto" w:fill="auto"/>
            <w:vAlign w:val="center"/>
          </w:tcPr>
          <w:p w14:paraId="4DE23503">
            <w:pPr>
              <w:widowControl/>
              <w:jc w:val="center"/>
              <w:rPr>
                <w:kern w:val="0"/>
                <w:szCs w:val="21"/>
              </w:rPr>
            </w:pPr>
            <w:r>
              <w:rPr>
                <w:kern w:val="0"/>
                <w:szCs w:val="21"/>
              </w:rPr>
              <w:t>58.9</w:t>
            </w:r>
          </w:p>
        </w:tc>
        <w:tc>
          <w:tcPr>
            <w:tcW w:w="584" w:type="dxa"/>
            <w:tcBorders>
              <w:top w:val="nil"/>
              <w:left w:val="nil"/>
              <w:bottom w:val="single" w:color="auto" w:sz="4" w:space="0"/>
              <w:right w:val="single" w:color="auto" w:sz="4" w:space="0"/>
            </w:tcBorders>
            <w:shd w:val="clear" w:color="auto" w:fill="auto"/>
            <w:vAlign w:val="center"/>
          </w:tcPr>
          <w:p w14:paraId="1BFF2361">
            <w:pPr>
              <w:widowControl/>
              <w:jc w:val="center"/>
              <w:rPr>
                <w:kern w:val="0"/>
                <w:szCs w:val="21"/>
              </w:rPr>
            </w:pPr>
            <w:r>
              <w:rPr>
                <w:kern w:val="0"/>
                <w:szCs w:val="21"/>
              </w:rPr>
              <w:t>67.2</w:t>
            </w:r>
          </w:p>
        </w:tc>
        <w:tc>
          <w:tcPr>
            <w:tcW w:w="584" w:type="dxa"/>
            <w:tcBorders>
              <w:top w:val="nil"/>
              <w:left w:val="nil"/>
              <w:bottom w:val="single" w:color="auto" w:sz="4" w:space="0"/>
              <w:right w:val="single" w:color="auto" w:sz="4" w:space="0"/>
            </w:tcBorders>
            <w:shd w:val="clear" w:color="auto" w:fill="auto"/>
            <w:vAlign w:val="center"/>
          </w:tcPr>
          <w:p w14:paraId="027CBE86">
            <w:pPr>
              <w:widowControl/>
              <w:jc w:val="center"/>
              <w:rPr>
                <w:kern w:val="0"/>
                <w:szCs w:val="21"/>
              </w:rPr>
            </w:pPr>
            <w:r>
              <w:rPr>
                <w:kern w:val="0"/>
                <w:szCs w:val="21"/>
              </w:rPr>
              <w:t>61.2</w:t>
            </w:r>
          </w:p>
        </w:tc>
        <w:tc>
          <w:tcPr>
            <w:tcW w:w="636" w:type="dxa"/>
            <w:tcBorders>
              <w:top w:val="nil"/>
              <w:left w:val="nil"/>
              <w:bottom w:val="single" w:color="auto" w:sz="4" w:space="0"/>
              <w:right w:val="single" w:color="auto" w:sz="4" w:space="0"/>
            </w:tcBorders>
            <w:shd w:val="clear" w:color="auto" w:fill="auto"/>
            <w:vAlign w:val="center"/>
          </w:tcPr>
          <w:p w14:paraId="59A98CD1">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389AF082">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6FD44E97">
            <w:pPr>
              <w:widowControl/>
              <w:jc w:val="center"/>
              <w:rPr>
                <w:kern w:val="0"/>
                <w:szCs w:val="21"/>
              </w:rPr>
            </w:pPr>
            <w:r>
              <w:rPr>
                <w:kern w:val="0"/>
                <w:szCs w:val="21"/>
              </w:rPr>
              <w:t>41.2</w:t>
            </w:r>
          </w:p>
        </w:tc>
        <w:tc>
          <w:tcPr>
            <w:tcW w:w="584" w:type="dxa"/>
            <w:tcBorders>
              <w:top w:val="nil"/>
              <w:left w:val="nil"/>
              <w:bottom w:val="single" w:color="auto" w:sz="4" w:space="0"/>
              <w:right w:val="single" w:color="auto" w:sz="4" w:space="0"/>
            </w:tcBorders>
            <w:shd w:val="clear" w:color="auto" w:fill="auto"/>
            <w:vAlign w:val="center"/>
          </w:tcPr>
          <w:p w14:paraId="7B5F3687">
            <w:pPr>
              <w:widowControl/>
              <w:jc w:val="center"/>
              <w:rPr>
                <w:kern w:val="0"/>
                <w:szCs w:val="21"/>
              </w:rPr>
            </w:pPr>
            <w:r>
              <w:rPr>
                <w:kern w:val="0"/>
                <w:szCs w:val="21"/>
              </w:rPr>
              <w:t>32.9</w:t>
            </w:r>
          </w:p>
        </w:tc>
        <w:tc>
          <w:tcPr>
            <w:tcW w:w="584" w:type="dxa"/>
            <w:tcBorders>
              <w:top w:val="nil"/>
              <w:left w:val="nil"/>
              <w:bottom w:val="single" w:color="auto" w:sz="4" w:space="0"/>
              <w:right w:val="single" w:color="auto" w:sz="4" w:space="0"/>
            </w:tcBorders>
            <w:shd w:val="clear" w:color="auto" w:fill="auto"/>
            <w:vAlign w:val="center"/>
          </w:tcPr>
          <w:p w14:paraId="02CA4E5B">
            <w:pPr>
              <w:widowControl/>
              <w:jc w:val="center"/>
              <w:rPr>
                <w:kern w:val="0"/>
                <w:szCs w:val="21"/>
              </w:rPr>
            </w:pPr>
            <w:r>
              <w:rPr>
                <w:kern w:val="0"/>
                <w:szCs w:val="21"/>
              </w:rPr>
              <w:t>41.2</w:t>
            </w:r>
          </w:p>
        </w:tc>
        <w:tc>
          <w:tcPr>
            <w:tcW w:w="584" w:type="dxa"/>
            <w:tcBorders>
              <w:top w:val="nil"/>
              <w:left w:val="nil"/>
              <w:bottom w:val="single" w:color="auto" w:sz="4" w:space="0"/>
              <w:right w:val="single" w:color="auto" w:sz="4" w:space="0"/>
            </w:tcBorders>
            <w:shd w:val="clear" w:color="auto" w:fill="auto"/>
            <w:vAlign w:val="center"/>
          </w:tcPr>
          <w:p w14:paraId="1A8EC27D">
            <w:pPr>
              <w:widowControl/>
              <w:jc w:val="center"/>
              <w:rPr>
                <w:kern w:val="0"/>
                <w:szCs w:val="21"/>
              </w:rPr>
            </w:pPr>
            <w:r>
              <w:rPr>
                <w:kern w:val="0"/>
                <w:szCs w:val="21"/>
              </w:rPr>
              <w:t>35.2</w:t>
            </w:r>
          </w:p>
        </w:tc>
        <w:tc>
          <w:tcPr>
            <w:tcW w:w="426" w:type="dxa"/>
            <w:tcBorders>
              <w:top w:val="nil"/>
              <w:left w:val="nil"/>
              <w:bottom w:val="single" w:color="auto" w:sz="4" w:space="0"/>
              <w:right w:val="single" w:color="auto" w:sz="4" w:space="0"/>
            </w:tcBorders>
            <w:shd w:val="clear" w:color="auto" w:fill="auto"/>
            <w:vAlign w:val="center"/>
          </w:tcPr>
          <w:p w14:paraId="3A61F407">
            <w:pPr>
              <w:widowControl/>
              <w:jc w:val="center"/>
              <w:rPr>
                <w:kern w:val="0"/>
                <w:szCs w:val="21"/>
              </w:rPr>
            </w:pPr>
            <w:r>
              <w:rPr>
                <w:kern w:val="0"/>
                <w:szCs w:val="21"/>
              </w:rPr>
              <w:t>1</w:t>
            </w:r>
          </w:p>
        </w:tc>
      </w:tr>
      <w:tr w14:paraId="57049495">
        <w:tblPrEx>
          <w:tblCellMar>
            <w:top w:w="0" w:type="dxa"/>
            <w:left w:w="108" w:type="dxa"/>
            <w:bottom w:w="0" w:type="dxa"/>
            <w:right w:w="108" w:type="dxa"/>
          </w:tblCellMar>
        </w:tblPrEx>
        <w:trPr>
          <w:trHeight w:val="48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31F4783E">
            <w:pPr>
              <w:widowControl/>
              <w:jc w:val="center"/>
              <w:rPr>
                <w:kern w:val="0"/>
                <w:szCs w:val="21"/>
              </w:rPr>
            </w:pPr>
            <w:r>
              <w:rPr>
                <w:kern w:val="0"/>
                <w:szCs w:val="21"/>
              </w:rPr>
              <w:t>6</w:t>
            </w:r>
          </w:p>
        </w:tc>
        <w:tc>
          <w:tcPr>
            <w:tcW w:w="426" w:type="dxa"/>
            <w:vMerge w:val="continue"/>
            <w:tcBorders>
              <w:top w:val="nil"/>
              <w:left w:val="single" w:color="auto" w:sz="4" w:space="0"/>
              <w:bottom w:val="single" w:color="auto" w:sz="4" w:space="0"/>
              <w:right w:val="single" w:color="auto" w:sz="4" w:space="0"/>
            </w:tcBorders>
            <w:vAlign w:val="center"/>
          </w:tcPr>
          <w:p w14:paraId="5D85F21E">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5F858BA5">
            <w:pPr>
              <w:widowControl/>
              <w:jc w:val="center"/>
              <w:rPr>
                <w:kern w:val="0"/>
                <w:szCs w:val="21"/>
              </w:rPr>
            </w:pPr>
            <w:r>
              <w:rPr>
                <w:kern w:val="0"/>
                <w:szCs w:val="21"/>
              </w:rPr>
              <w:t>等离子切割机</w:t>
            </w:r>
          </w:p>
        </w:tc>
        <w:tc>
          <w:tcPr>
            <w:tcW w:w="426" w:type="dxa"/>
            <w:tcBorders>
              <w:top w:val="nil"/>
              <w:left w:val="nil"/>
              <w:bottom w:val="single" w:color="auto" w:sz="4" w:space="0"/>
              <w:right w:val="single" w:color="auto" w:sz="4" w:space="0"/>
            </w:tcBorders>
            <w:shd w:val="clear" w:color="auto" w:fill="auto"/>
            <w:vAlign w:val="center"/>
          </w:tcPr>
          <w:p w14:paraId="72470B31">
            <w:pPr>
              <w:widowControl/>
              <w:jc w:val="center"/>
              <w:rPr>
                <w:kern w:val="0"/>
                <w:szCs w:val="21"/>
              </w:rPr>
            </w:pPr>
            <w:r>
              <w:rPr>
                <w:kern w:val="0"/>
                <w:szCs w:val="21"/>
              </w:rPr>
              <w:t>90</w:t>
            </w:r>
          </w:p>
        </w:tc>
        <w:tc>
          <w:tcPr>
            <w:tcW w:w="636" w:type="dxa"/>
            <w:tcBorders>
              <w:top w:val="nil"/>
              <w:left w:val="nil"/>
              <w:bottom w:val="single" w:color="auto" w:sz="4" w:space="0"/>
              <w:right w:val="single" w:color="auto" w:sz="4" w:space="0"/>
            </w:tcBorders>
            <w:shd w:val="clear" w:color="auto" w:fill="auto"/>
            <w:vAlign w:val="center"/>
          </w:tcPr>
          <w:p w14:paraId="7DF8E11E">
            <w:pPr>
              <w:widowControl/>
              <w:jc w:val="center"/>
              <w:rPr>
                <w:kern w:val="0"/>
                <w:szCs w:val="21"/>
              </w:rPr>
            </w:pPr>
            <w:r>
              <w:rPr>
                <w:kern w:val="0"/>
                <w:szCs w:val="21"/>
              </w:rPr>
              <w:t>1</w:t>
            </w:r>
          </w:p>
        </w:tc>
        <w:tc>
          <w:tcPr>
            <w:tcW w:w="636" w:type="dxa"/>
            <w:vMerge w:val="continue"/>
            <w:tcBorders>
              <w:left w:val="single" w:color="auto" w:sz="4" w:space="0"/>
              <w:right w:val="single" w:color="auto" w:sz="4" w:space="0"/>
            </w:tcBorders>
            <w:vAlign w:val="center"/>
          </w:tcPr>
          <w:p w14:paraId="46AEBA96">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0FE4E01C">
            <w:pPr>
              <w:widowControl/>
              <w:jc w:val="center"/>
              <w:rPr>
                <w:kern w:val="0"/>
                <w:szCs w:val="21"/>
              </w:rPr>
            </w:pPr>
            <w:r>
              <w:rPr>
                <w:kern w:val="0"/>
                <w:szCs w:val="21"/>
              </w:rPr>
              <w:t>24</w:t>
            </w:r>
          </w:p>
        </w:tc>
        <w:tc>
          <w:tcPr>
            <w:tcW w:w="531" w:type="dxa"/>
            <w:tcBorders>
              <w:top w:val="nil"/>
              <w:left w:val="nil"/>
              <w:bottom w:val="single" w:color="auto" w:sz="4" w:space="0"/>
              <w:right w:val="single" w:color="auto" w:sz="4" w:space="0"/>
            </w:tcBorders>
            <w:shd w:val="clear" w:color="auto" w:fill="auto"/>
            <w:vAlign w:val="center"/>
          </w:tcPr>
          <w:p w14:paraId="0E1BE5E6">
            <w:pPr>
              <w:widowControl/>
              <w:jc w:val="center"/>
              <w:rPr>
                <w:kern w:val="0"/>
                <w:szCs w:val="21"/>
              </w:rPr>
            </w:pPr>
            <w:r>
              <w:rPr>
                <w:kern w:val="0"/>
                <w:szCs w:val="21"/>
              </w:rPr>
              <w:t>278</w:t>
            </w:r>
          </w:p>
        </w:tc>
        <w:tc>
          <w:tcPr>
            <w:tcW w:w="345" w:type="dxa"/>
            <w:tcBorders>
              <w:top w:val="nil"/>
              <w:left w:val="nil"/>
              <w:bottom w:val="single" w:color="auto" w:sz="4" w:space="0"/>
              <w:right w:val="single" w:color="auto" w:sz="4" w:space="0"/>
            </w:tcBorders>
            <w:shd w:val="clear" w:color="auto" w:fill="auto"/>
            <w:vAlign w:val="center"/>
          </w:tcPr>
          <w:p w14:paraId="3B6C2D6F">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0F0DA78A">
            <w:pPr>
              <w:widowControl/>
              <w:jc w:val="center"/>
              <w:rPr>
                <w:kern w:val="0"/>
                <w:szCs w:val="21"/>
              </w:rPr>
            </w:pPr>
            <w:r>
              <w:rPr>
                <w:kern w:val="0"/>
                <w:szCs w:val="21"/>
              </w:rPr>
              <w:t>100</w:t>
            </w:r>
          </w:p>
        </w:tc>
        <w:tc>
          <w:tcPr>
            <w:tcW w:w="531" w:type="dxa"/>
            <w:tcBorders>
              <w:top w:val="nil"/>
              <w:left w:val="nil"/>
              <w:bottom w:val="single" w:color="auto" w:sz="4" w:space="0"/>
              <w:right w:val="single" w:color="auto" w:sz="4" w:space="0"/>
            </w:tcBorders>
            <w:shd w:val="clear" w:color="auto" w:fill="auto"/>
            <w:vAlign w:val="center"/>
          </w:tcPr>
          <w:p w14:paraId="612C939E">
            <w:pPr>
              <w:widowControl/>
              <w:jc w:val="center"/>
              <w:rPr>
                <w:kern w:val="0"/>
                <w:szCs w:val="21"/>
              </w:rPr>
            </w:pPr>
            <w:r>
              <w:rPr>
                <w:kern w:val="0"/>
                <w:szCs w:val="21"/>
              </w:rPr>
              <w:t>278</w:t>
            </w:r>
          </w:p>
        </w:tc>
        <w:tc>
          <w:tcPr>
            <w:tcW w:w="426" w:type="dxa"/>
            <w:tcBorders>
              <w:top w:val="nil"/>
              <w:left w:val="nil"/>
              <w:bottom w:val="single" w:color="auto" w:sz="4" w:space="0"/>
              <w:right w:val="single" w:color="auto" w:sz="4" w:space="0"/>
            </w:tcBorders>
            <w:shd w:val="clear" w:color="auto" w:fill="auto"/>
            <w:vAlign w:val="center"/>
          </w:tcPr>
          <w:p w14:paraId="40E39F77">
            <w:pPr>
              <w:widowControl/>
              <w:jc w:val="center"/>
              <w:rPr>
                <w:kern w:val="0"/>
                <w:szCs w:val="21"/>
              </w:rPr>
            </w:pPr>
            <w:r>
              <w:rPr>
                <w:kern w:val="0"/>
                <w:szCs w:val="21"/>
              </w:rPr>
              <w:t>24</w:t>
            </w:r>
          </w:p>
        </w:tc>
        <w:tc>
          <w:tcPr>
            <w:tcW w:w="531" w:type="dxa"/>
            <w:tcBorders>
              <w:top w:val="nil"/>
              <w:left w:val="nil"/>
              <w:bottom w:val="single" w:color="auto" w:sz="4" w:space="0"/>
              <w:right w:val="single" w:color="auto" w:sz="4" w:space="0"/>
            </w:tcBorders>
            <w:shd w:val="clear" w:color="auto" w:fill="auto"/>
            <w:vAlign w:val="center"/>
          </w:tcPr>
          <w:p w14:paraId="6C13BB3A">
            <w:pPr>
              <w:widowControl/>
              <w:jc w:val="center"/>
              <w:rPr>
                <w:kern w:val="0"/>
                <w:szCs w:val="21"/>
              </w:rPr>
            </w:pPr>
            <w:r>
              <w:rPr>
                <w:kern w:val="0"/>
                <w:szCs w:val="21"/>
              </w:rPr>
              <w:t>163</w:t>
            </w:r>
          </w:p>
        </w:tc>
        <w:tc>
          <w:tcPr>
            <w:tcW w:w="584" w:type="dxa"/>
            <w:tcBorders>
              <w:top w:val="nil"/>
              <w:left w:val="nil"/>
              <w:bottom w:val="single" w:color="auto" w:sz="4" w:space="0"/>
              <w:right w:val="single" w:color="auto" w:sz="4" w:space="0"/>
            </w:tcBorders>
            <w:shd w:val="clear" w:color="auto" w:fill="auto"/>
            <w:vAlign w:val="center"/>
          </w:tcPr>
          <w:p w14:paraId="344C2793">
            <w:pPr>
              <w:widowControl/>
              <w:jc w:val="center"/>
              <w:rPr>
                <w:kern w:val="0"/>
                <w:szCs w:val="21"/>
              </w:rPr>
            </w:pPr>
            <w:r>
              <w:rPr>
                <w:kern w:val="0"/>
                <w:szCs w:val="21"/>
              </w:rPr>
              <w:t>60.3</w:t>
            </w:r>
          </w:p>
        </w:tc>
        <w:tc>
          <w:tcPr>
            <w:tcW w:w="584" w:type="dxa"/>
            <w:tcBorders>
              <w:top w:val="nil"/>
              <w:left w:val="nil"/>
              <w:bottom w:val="single" w:color="auto" w:sz="4" w:space="0"/>
              <w:right w:val="single" w:color="auto" w:sz="4" w:space="0"/>
            </w:tcBorders>
            <w:shd w:val="clear" w:color="auto" w:fill="auto"/>
            <w:vAlign w:val="center"/>
          </w:tcPr>
          <w:p w14:paraId="564B3415">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5EB3AEA3">
            <w:pPr>
              <w:widowControl/>
              <w:jc w:val="center"/>
              <w:rPr>
                <w:kern w:val="0"/>
                <w:szCs w:val="21"/>
              </w:rPr>
            </w:pPr>
            <w:r>
              <w:rPr>
                <w:kern w:val="0"/>
                <w:szCs w:val="21"/>
              </w:rPr>
              <w:t>67.8</w:t>
            </w:r>
          </w:p>
        </w:tc>
        <w:tc>
          <w:tcPr>
            <w:tcW w:w="584" w:type="dxa"/>
            <w:tcBorders>
              <w:top w:val="nil"/>
              <w:left w:val="nil"/>
              <w:bottom w:val="single" w:color="auto" w:sz="4" w:space="0"/>
              <w:right w:val="single" w:color="auto" w:sz="4" w:space="0"/>
            </w:tcBorders>
            <w:shd w:val="clear" w:color="auto" w:fill="auto"/>
            <w:vAlign w:val="center"/>
          </w:tcPr>
          <w:p w14:paraId="62F6297E">
            <w:pPr>
              <w:widowControl/>
              <w:jc w:val="center"/>
              <w:rPr>
                <w:kern w:val="0"/>
                <w:szCs w:val="21"/>
              </w:rPr>
            </w:pPr>
            <w:r>
              <w:rPr>
                <w:kern w:val="0"/>
                <w:szCs w:val="21"/>
              </w:rPr>
              <w:t>61.3</w:t>
            </w:r>
          </w:p>
        </w:tc>
        <w:tc>
          <w:tcPr>
            <w:tcW w:w="636" w:type="dxa"/>
            <w:tcBorders>
              <w:top w:val="nil"/>
              <w:left w:val="nil"/>
              <w:bottom w:val="single" w:color="auto" w:sz="4" w:space="0"/>
              <w:right w:val="single" w:color="auto" w:sz="4" w:space="0"/>
            </w:tcBorders>
            <w:shd w:val="clear" w:color="auto" w:fill="auto"/>
            <w:vAlign w:val="center"/>
          </w:tcPr>
          <w:p w14:paraId="75836B4D">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3758CD83">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3DA0C813">
            <w:pPr>
              <w:widowControl/>
              <w:jc w:val="center"/>
              <w:rPr>
                <w:kern w:val="0"/>
                <w:szCs w:val="21"/>
              </w:rPr>
            </w:pPr>
            <w:r>
              <w:rPr>
                <w:kern w:val="0"/>
                <w:szCs w:val="21"/>
              </w:rPr>
              <w:t>41.8</w:t>
            </w:r>
          </w:p>
        </w:tc>
        <w:tc>
          <w:tcPr>
            <w:tcW w:w="584" w:type="dxa"/>
            <w:tcBorders>
              <w:top w:val="nil"/>
              <w:left w:val="nil"/>
              <w:bottom w:val="single" w:color="auto" w:sz="4" w:space="0"/>
              <w:right w:val="single" w:color="auto" w:sz="4" w:space="0"/>
            </w:tcBorders>
            <w:shd w:val="clear" w:color="auto" w:fill="auto"/>
            <w:vAlign w:val="center"/>
          </w:tcPr>
          <w:p w14:paraId="2557C540">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247E9E4A">
            <w:pPr>
              <w:widowControl/>
              <w:jc w:val="center"/>
              <w:rPr>
                <w:kern w:val="0"/>
                <w:szCs w:val="21"/>
              </w:rPr>
            </w:pPr>
            <w:r>
              <w:rPr>
                <w:kern w:val="0"/>
                <w:szCs w:val="21"/>
              </w:rPr>
              <w:t>41.8</w:t>
            </w:r>
          </w:p>
        </w:tc>
        <w:tc>
          <w:tcPr>
            <w:tcW w:w="584" w:type="dxa"/>
            <w:tcBorders>
              <w:top w:val="nil"/>
              <w:left w:val="nil"/>
              <w:bottom w:val="single" w:color="auto" w:sz="4" w:space="0"/>
              <w:right w:val="single" w:color="auto" w:sz="4" w:space="0"/>
            </w:tcBorders>
            <w:shd w:val="clear" w:color="auto" w:fill="auto"/>
            <w:vAlign w:val="center"/>
          </w:tcPr>
          <w:p w14:paraId="61D2F4FC">
            <w:pPr>
              <w:widowControl/>
              <w:jc w:val="center"/>
              <w:rPr>
                <w:kern w:val="0"/>
                <w:szCs w:val="21"/>
              </w:rPr>
            </w:pPr>
            <w:r>
              <w:rPr>
                <w:kern w:val="0"/>
                <w:szCs w:val="21"/>
              </w:rPr>
              <w:t>35.3</w:t>
            </w:r>
          </w:p>
        </w:tc>
        <w:tc>
          <w:tcPr>
            <w:tcW w:w="426" w:type="dxa"/>
            <w:tcBorders>
              <w:top w:val="nil"/>
              <w:left w:val="nil"/>
              <w:bottom w:val="single" w:color="auto" w:sz="4" w:space="0"/>
              <w:right w:val="single" w:color="auto" w:sz="4" w:space="0"/>
            </w:tcBorders>
            <w:shd w:val="clear" w:color="auto" w:fill="auto"/>
            <w:vAlign w:val="center"/>
          </w:tcPr>
          <w:p w14:paraId="181831B0">
            <w:pPr>
              <w:widowControl/>
              <w:jc w:val="center"/>
              <w:rPr>
                <w:kern w:val="0"/>
                <w:szCs w:val="21"/>
              </w:rPr>
            </w:pPr>
            <w:r>
              <w:rPr>
                <w:kern w:val="0"/>
                <w:szCs w:val="21"/>
              </w:rPr>
              <w:t>1</w:t>
            </w:r>
          </w:p>
        </w:tc>
      </w:tr>
      <w:tr w14:paraId="26A1316D">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730DA75E">
            <w:pPr>
              <w:widowControl/>
              <w:jc w:val="center"/>
              <w:rPr>
                <w:kern w:val="0"/>
                <w:szCs w:val="21"/>
              </w:rPr>
            </w:pPr>
            <w:r>
              <w:rPr>
                <w:kern w:val="0"/>
                <w:szCs w:val="21"/>
              </w:rPr>
              <w:t>7</w:t>
            </w:r>
          </w:p>
        </w:tc>
        <w:tc>
          <w:tcPr>
            <w:tcW w:w="426" w:type="dxa"/>
            <w:vMerge w:val="continue"/>
            <w:tcBorders>
              <w:top w:val="nil"/>
              <w:left w:val="single" w:color="auto" w:sz="4" w:space="0"/>
              <w:bottom w:val="single" w:color="auto" w:sz="4" w:space="0"/>
              <w:right w:val="single" w:color="auto" w:sz="4" w:space="0"/>
            </w:tcBorders>
            <w:vAlign w:val="center"/>
          </w:tcPr>
          <w:p w14:paraId="7EA53673">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0C6A3D1A">
            <w:pPr>
              <w:widowControl/>
              <w:jc w:val="center"/>
              <w:rPr>
                <w:kern w:val="0"/>
                <w:szCs w:val="21"/>
              </w:rPr>
            </w:pPr>
            <w:bookmarkStart w:id="191" w:name="RANGE!C12"/>
            <w:r>
              <w:rPr>
                <w:kern w:val="0"/>
                <w:szCs w:val="21"/>
              </w:rPr>
              <w:t>松下氩弧焊</w:t>
            </w:r>
            <w:bookmarkEnd w:id="191"/>
          </w:p>
        </w:tc>
        <w:tc>
          <w:tcPr>
            <w:tcW w:w="426" w:type="dxa"/>
            <w:tcBorders>
              <w:top w:val="nil"/>
              <w:left w:val="nil"/>
              <w:bottom w:val="single" w:color="auto" w:sz="4" w:space="0"/>
              <w:right w:val="single" w:color="auto" w:sz="4" w:space="0"/>
            </w:tcBorders>
            <w:shd w:val="clear" w:color="auto" w:fill="auto"/>
            <w:vAlign w:val="center"/>
          </w:tcPr>
          <w:p w14:paraId="796EB8C4">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1415CAA0">
            <w:pPr>
              <w:widowControl/>
              <w:jc w:val="center"/>
              <w:rPr>
                <w:kern w:val="0"/>
                <w:szCs w:val="21"/>
              </w:rPr>
            </w:pPr>
            <w:r>
              <w:rPr>
                <w:kern w:val="0"/>
                <w:szCs w:val="21"/>
              </w:rPr>
              <w:t>40</w:t>
            </w:r>
          </w:p>
        </w:tc>
        <w:tc>
          <w:tcPr>
            <w:tcW w:w="636" w:type="dxa"/>
            <w:vMerge w:val="continue"/>
            <w:tcBorders>
              <w:left w:val="single" w:color="auto" w:sz="4" w:space="0"/>
              <w:right w:val="single" w:color="auto" w:sz="4" w:space="0"/>
            </w:tcBorders>
            <w:vAlign w:val="center"/>
          </w:tcPr>
          <w:p w14:paraId="554226E7">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495ED7AC">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33C08DF8">
            <w:pPr>
              <w:widowControl/>
              <w:jc w:val="center"/>
              <w:rPr>
                <w:kern w:val="0"/>
                <w:szCs w:val="21"/>
              </w:rPr>
            </w:pPr>
            <w:r>
              <w:rPr>
                <w:kern w:val="0"/>
                <w:szCs w:val="21"/>
              </w:rPr>
              <w:t>235</w:t>
            </w:r>
          </w:p>
        </w:tc>
        <w:tc>
          <w:tcPr>
            <w:tcW w:w="345" w:type="dxa"/>
            <w:tcBorders>
              <w:top w:val="nil"/>
              <w:left w:val="nil"/>
              <w:bottom w:val="single" w:color="auto" w:sz="4" w:space="0"/>
              <w:right w:val="single" w:color="auto" w:sz="4" w:space="0"/>
            </w:tcBorders>
            <w:shd w:val="clear" w:color="auto" w:fill="auto"/>
            <w:vAlign w:val="center"/>
          </w:tcPr>
          <w:p w14:paraId="1ED7F117">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44FF60D0">
            <w:pPr>
              <w:widowControl/>
              <w:jc w:val="center"/>
              <w:rPr>
                <w:kern w:val="0"/>
                <w:szCs w:val="21"/>
              </w:rPr>
            </w:pPr>
            <w:r>
              <w:rPr>
                <w:kern w:val="0"/>
                <w:szCs w:val="21"/>
              </w:rPr>
              <w:t>92</w:t>
            </w:r>
          </w:p>
        </w:tc>
        <w:tc>
          <w:tcPr>
            <w:tcW w:w="531" w:type="dxa"/>
            <w:tcBorders>
              <w:top w:val="nil"/>
              <w:left w:val="nil"/>
              <w:bottom w:val="single" w:color="auto" w:sz="4" w:space="0"/>
              <w:right w:val="single" w:color="auto" w:sz="4" w:space="0"/>
            </w:tcBorders>
            <w:shd w:val="clear" w:color="auto" w:fill="auto"/>
            <w:vAlign w:val="center"/>
          </w:tcPr>
          <w:p w14:paraId="2F6E62FD">
            <w:pPr>
              <w:widowControl/>
              <w:jc w:val="center"/>
              <w:rPr>
                <w:kern w:val="0"/>
                <w:szCs w:val="21"/>
              </w:rPr>
            </w:pPr>
            <w:r>
              <w:rPr>
                <w:kern w:val="0"/>
                <w:szCs w:val="21"/>
              </w:rPr>
              <w:t>235</w:t>
            </w:r>
          </w:p>
        </w:tc>
        <w:tc>
          <w:tcPr>
            <w:tcW w:w="426" w:type="dxa"/>
            <w:tcBorders>
              <w:top w:val="nil"/>
              <w:left w:val="nil"/>
              <w:bottom w:val="single" w:color="auto" w:sz="4" w:space="0"/>
              <w:right w:val="single" w:color="auto" w:sz="4" w:space="0"/>
            </w:tcBorders>
            <w:shd w:val="clear" w:color="auto" w:fill="auto"/>
            <w:vAlign w:val="center"/>
          </w:tcPr>
          <w:p w14:paraId="273B5F86">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35BD355D">
            <w:pPr>
              <w:widowControl/>
              <w:jc w:val="center"/>
              <w:rPr>
                <w:kern w:val="0"/>
                <w:szCs w:val="21"/>
              </w:rPr>
            </w:pPr>
            <w:r>
              <w:rPr>
                <w:kern w:val="0"/>
                <w:szCs w:val="21"/>
              </w:rPr>
              <w:t>206</w:t>
            </w:r>
          </w:p>
        </w:tc>
        <w:tc>
          <w:tcPr>
            <w:tcW w:w="584" w:type="dxa"/>
            <w:tcBorders>
              <w:top w:val="nil"/>
              <w:left w:val="nil"/>
              <w:bottom w:val="single" w:color="auto" w:sz="4" w:space="0"/>
              <w:right w:val="single" w:color="auto" w:sz="4" w:space="0"/>
            </w:tcBorders>
            <w:shd w:val="clear" w:color="auto" w:fill="auto"/>
            <w:vAlign w:val="center"/>
          </w:tcPr>
          <w:p w14:paraId="25827F67">
            <w:pPr>
              <w:widowControl/>
              <w:jc w:val="center"/>
              <w:rPr>
                <w:kern w:val="0"/>
                <w:szCs w:val="21"/>
              </w:rPr>
            </w:pPr>
            <w:r>
              <w:rPr>
                <w:kern w:val="0"/>
                <w:szCs w:val="21"/>
              </w:rPr>
              <w:t>60.8</w:t>
            </w:r>
          </w:p>
        </w:tc>
        <w:tc>
          <w:tcPr>
            <w:tcW w:w="584" w:type="dxa"/>
            <w:tcBorders>
              <w:top w:val="nil"/>
              <w:left w:val="nil"/>
              <w:bottom w:val="single" w:color="auto" w:sz="4" w:space="0"/>
              <w:right w:val="single" w:color="auto" w:sz="4" w:space="0"/>
            </w:tcBorders>
            <w:shd w:val="clear" w:color="auto" w:fill="auto"/>
            <w:vAlign w:val="center"/>
          </w:tcPr>
          <w:p w14:paraId="00830334">
            <w:pPr>
              <w:widowControl/>
              <w:jc w:val="center"/>
              <w:rPr>
                <w:kern w:val="0"/>
                <w:szCs w:val="21"/>
              </w:rPr>
            </w:pPr>
            <w:r>
              <w:rPr>
                <w:kern w:val="0"/>
                <w:szCs w:val="21"/>
              </w:rPr>
              <w:t>58.9</w:t>
            </w:r>
          </w:p>
        </w:tc>
        <w:tc>
          <w:tcPr>
            <w:tcW w:w="584" w:type="dxa"/>
            <w:tcBorders>
              <w:top w:val="nil"/>
              <w:left w:val="nil"/>
              <w:bottom w:val="single" w:color="auto" w:sz="4" w:space="0"/>
              <w:right w:val="single" w:color="auto" w:sz="4" w:space="0"/>
            </w:tcBorders>
            <w:shd w:val="clear" w:color="auto" w:fill="auto"/>
            <w:vAlign w:val="center"/>
          </w:tcPr>
          <w:p w14:paraId="6FE3CF78">
            <w:pPr>
              <w:widowControl/>
              <w:jc w:val="center"/>
              <w:rPr>
                <w:kern w:val="0"/>
                <w:szCs w:val="21"/>
              </w:rPr>
            </w:pPr>
            <w:r>
              <w:rPr>
                <w:kern w:val="0"/>
                <w:szCs w:val="21"/>
              </w:rPr>
              <w:t>62.8</w:t>
            </w:r>
          </w:p>
        </w:tc>
        <w:tc>
          <w:tcPr>
            <w:tcW w:w="584" w:type="dxa"/>
            <w:tcBorders>
              <w:top w:val="nil"/>
              <w:left w:val="nil"/>
              <w:bottom w:val="single" w:color="auto" w:sz="4" w:space="0"/>
              <w:right w:val="single" w:color="auto" w:sz="4" w:space="0"/>
            </w:tcBorders>
            <w:shd w:val="clear" w:color="auto" w:fill="auto"/>
            <w:vAlign w:val="center"/>
          </w:tcPr>
          <w:p w14:paraId="409441D1">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5AAEEEE4">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4CF393E4">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102A75C6">
            <w:pPr>
              <w:widowControl/>
              <w:jc w:val="center"/>
              <w:rPr>
                <w:kern w:val="0"/>
                <w:szCs w:val="21"/>
              </w:rPr>
            </w:pPr>
            <w:r>
              <w:rPr>
                <w:kern w:val="0"/>
                <w:szCs w:val="21"/>
              </w:rPr>
              <w:t>36.8</w:t>
            </w:r>
          </w:p>
        </w:tc>
        <w:tc>
          <w:tcPr>
            <w:tcW w:w="584" w:type="dxa"/>
            <w:tcBorders>
              <w:top w:val="nil"/>
              <w:left w:val="nil"/>
              <w:bottom w:val="single" w:color="auto" w:sz="4" w:space="0"/>
              <w:right w:val="single" w:color="auto" w:sz="4" w:space="0"/>
            </w:tcBorders>
            <w:shd w:val="clear" w:color="auto" w:fill="auto"/>
            <w:vAlign w:val="center"/>
          </w:tcPr>
          <w:p w14:paraId="4E45D591">
            <w:pPr>
              <w:widowControl/>
              <w:jc w:val="center"/>
              <w:rPr>
                <w:kern w:val="0"/>
                <w:szCs w:val="21"/>
              </w:rPr>
            </w:pPr>
            <w:r>
              <w:rPr>
                <w:kern w:val="0"/>
                <w:szCs w:val="21"/>
              </w:rPr>
              <w:t>32.9</w:t>
            </w:r>
          </w:p>
        </w:tc>
        <w:tc>
          <w:tcPr>
            <w:tcW w:w="584" w:type="dxa"/>
            <w:tcBorders>
              <w:top w:val="nil"/>
              <w:left w:val="nil"/>
              <w:bottom w:val="single" w:color="auto" w:sz="4" w:space="0"/>
              <w:right w:val="single" w:color="auto" w:sz="4" w:space="0"/>
            </w:tcBorders>
            <w:shd w:val="clear" w:color="auto" w:fill="auto"/>
            <w:vAlign w:val="center"/>
          </w:tcPr>
          <w:p w14:paraId="61E60128">
            <w:pPr>
              <w:widowControl/>
              <w:jc w:val="center"/>
              <w:rPr>
                <w:kern w:val="0"/>
                <w:szCs w:val="21"/>
              </w:rPr>
            </w:pPr>
            <w:r>
              <w:rPr>
                <w:kern w:val="0"/>
                <w:szCs w:val="21"/>
              </w:rPr>
              <w:t>36.8</w:t>
            </w:r>
          </w:p>
        </w:tc>
        <w:tc>
          <w:tcPr>
            <w:tcW w:w="584" w:type="dxa"/>
            <w:tcBorders>
              <w:top w:val="nil"/>
              <w:left w:val="nil"/>
              <w:bottom w:val="single" w:color="auto" w:sz="4" w:space="0"/>
              <w:right w:val="single" w:color="auto" w:sz="4" w:space="0"/>
            </w:tcBorders>
            <w:shd w:val="clear" w:color="auto" w:fill="auto"/>
            <w:vAlign w:val="center"/>
          </w:tcPr>
          <w:p w14:paraId="61D7716B">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54444909">
            <w:pPr>
              <w:widowControl/>
              <w:jc w:val="center"/>
              <w:rPr>
                <w:kern w:val="0"/>
                <w:szCs w:val="21"/>
              </w:rPr>
            </w:pPr>
            <w:r>
              <w:rPr>
                <w:kern w:val="0"/>
                <w:szCs w:val="21"/>
              </w:rPr>
              <w:t>1</w:t>
            </w:r>
          </w:p>
        </w:tc>
      </w:tr>
      <w:tr w14:paraId="030FE8E5">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7A6B69E2">
            <w:pPr>
              <w:widowControl/>
              <w:jc w:val="center"/>
              <w:rPr>
                <w:kern w:val="0"/>
                <w:szCs w:val="21"/>
              </w:rPr>
            </w:pPr>
            <w:r>
              <w:rPr>
                <w:kern w:val="0"/>
                <w:szCs w:val="21"/>
              </w:rPr>
              <w:t>8</w:t>
            </w:r>
          </w:p>
        </w:tc>
        <w:tc>
          <w:tcPr>
            <w:tcW w:w="426" w:type="dxa"/>
            <w:vMerge w:val="continue"/>
            <w:tcBorders>
              <w:top w:val="nil"/>
              <w:left w:val="single" w:color="auto" w:sz="4" w:space="0"/>
              <w:bottom w:val="single" w:color="auto" w:sz="4" w:space="0"/>
              <w:right w:val="single" w:color="auto" w:sz="4" w:space="0"/>
            </w:tcBorders>
            <w:vAlign w:val="center"/>
          </w:tcPr>
          <w:p w14:paraId="1367CB4C">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23B1861A">
            <w:pPr>
              <w:widowControl/>
              <w:jc w:val="center"/>
              <w:rPr>
                <w:kern w:val="0"/>
                <w:szCs w:val="21"/>
              </w:rPr>
            </w:pPr>
            <w:bookmarkStart w:id="192" w:name="RANGE!C13"/>
            <w:r>
              <w:rPr>
                <w:kern w:val="0"/>
                <w:szCs w:val="21"/>
              </w:rPr>
              <w:t>松下气保焊</w:t>
            </w:r>
            <w:bookmarkEnd w:id="192"/>
          </w:p>
        </w:tc>
        <w:tc>
          <w:tcPr>
            <w:tcW w:w="426" w:type="dxa"/>
            <w:tcBorders>
              <w:top w:val="nil"/>
              <w:left w:val="nil"/>
              <w:bottom w:val="single" w:color="auto" w:sz="4" w:space="0"/>
              <w:right w:val="single" w:color="auto" w:sz="4" w:space="0"/>
            </w:tcBorders>
            <w:shd w:val="clear" w:color="auto" w:fill="auto"/>
            <w:vAlign w:val="center"/>
          </w:tcPr>
          <w:p w14:paraId="371ECEB0">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0C2DFF34">
            <w:pPr>
              <w:widowControl/>
              <w:jc w:val="center"/>
              <w:rPr>
                <w:kern w:val="0"/>
                <w:szCs w:val="21"/>
              </w:rPr>
            </w:pPr>
            <w:r>
              <w:rPr>
                <w:kern w:val="0"/>
                <w:szCs w:val="21"/>
              </w:rPr>
              <w:t>30</w:t>
            </w:r>
          </w:p>
        </w:tc>
        <w:tc>
          <w:tcPr>
            <w:tcW w:w="636" w:type="dxa"/>
            <w:vMerge w:val="continue"/>
            <w:tcBorders>
              <w:left w:val="single" w:color="auto" w:sz="4" w:space="0"/>
              <w:right w:val="single" w:color="auto" w:sz="4" w:space="0"/>
            </w:tcBorders>
            <w:vAlign w:val="center"/>
          </w:tcPr>
          <w:p w14:paraId="03DC7E8C">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26AACF46">
            <w:pPr>
              <w:widowControl/>
              <w:jc w:val="center"/>
              <w:rPr>
                <w:kern w:val="0"/>
                <w:szCs w:val="21"/>
              </w:rPr>
            </w:pPr>
            <w:r>
              <w:rPr>
                <w:kern w:val="0"/>
                <w:szCs w:val="21"/>
              </w:rPr>
              <w:t>31</w:t>
            </w:r>
          </w:p>
        </w:tc>
        <w:tc>
          <w:tcPr>
            <w:tcW w:w="531" w:type="dxa"/>
            <w:tcBorders>
              <w:top w:val="nil"/>
              <w:left w:val="nil"/>
              <w:bottom w:val="single" w:color="auto" w:sz="4" w:space="0"/>
              <w:right w:val="single" w:color="auto" w:sz="4" w:space="0"/>
            </w:tcBorders>
            <w:shd w:val="clear" w:color="auto" w:fill="auto"/>
            <w:vAlign w:val="center"/>
          </w:tcPr>
          <w:p w14:paraId="4B160F64">
            <w:pPr>
              <w:widowControl/>
              <w:jc w:val="center"/>
              <w:rPr>
                <w:kern w:val="0"/>
                <w:szCs w:val="21"/>
              </w:rPr>
            </w:pPr>
            <w:r>
              <w:rPr>
                <w:kern w:val="0"/>
                <w:szCs w:val="21"/>
              </w:rPr>
              <w:t>237</w:t>
            </w:r>
          </w:p>
        </w:tc>
        <w:tc>
          <w:tcPr>
            <w:tcW w:w="345" w:type="dxa"/>
            <w:tcBorders>
              <w:top w:val="nil"/>
              <w:left w:val="nil"/>
              <w:bottom w:val="single" w:color="auto" w:sz="4" w:space="0"/>
              <w:right w:val="single" w:color="auto" w:sz="4" w:space="0"/>
            </w:tcBorders>
            <w:shd w:val="clear" w:color="auto" w:fill="auto"/>
            <w:vAlign w:val="center"/>
          </w:tcPr>
          <w:p w14:paraId="342D1763">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259F3D14">
            <w:pPr>
              <w:widowControl/>
              <w:jc w:val="center"/>
              <w:rPr>
                <w:kern w:val="0"/>
                <w:szCs w:val="21"/>
              </w:rPr>
            </w:pPr>
            <w:r>
              <w:rPr>
                <w:kern w:val="0"/>
                <w:szCs w:val="21"/>
              </w:rPr>
              <w:t>93</w:t>
            </w:r>
          </w:p>
        </w:tc>
        <w:tc>
          <w:tcPr>
            <w:tcW w:w="531" w:type="dxa"/>
            <w:tcBorders>
              <w:top w:val="nil"/>
              <w:left w:val="nil"/>
              <w:bottom w:val="single" w:color="auto" w:sz="4" w:space="0"/>
              <w:right w:val="single" w:color="auto" w:sz="4" w:space="0"/>
            </w:tcBorders>
            <w:shd w:val="clear" w:color="auto" w:fill="auto"/>
            <w:vAlign w:val="center"/>
          </w:tcPr>
          <w:p w14:paraId="617A5BEC">
            <w:pPr>
              <w:widowControl/>
              <w:jc w:val="center"/>
              <w:rPr>
                <w:kern w:val="0"/>
                <w:szCs w:val="21"/>
              </w:rPr>
            </w:pPr>
            <w:r>
              <w:rPr>
                <w:kern w:val="0"/>
                <w:szCs w:val="21"/>
              </w:rPr>
              <w:t>237</w:t>
            </w:r>
          </w:p>
        </w:tc>
        <w:tc>
          <w:tcPr>
            <w:tcW w:w="426" w:type="dxa"/>
            <w:tcBorders>
              <w:top w:val="nil"/>
              <w:left w:val="nil"/>
              <w:bottom w:val="single" w:color="auto" w:sz="4" w:space="0"/>
              <w:right w:val="single" w:color="auto" w:sz="4" w:space="0"/>
            </w:tcBorders>
            <w:shd w:val="clear" w:color="auto" w:fill="auto"/>
            <w:vAlign w:val="center"/>
          </w:tcPr>
          <w:p w14:paraId="017614C5">
            <w:pPr>
              <w:widowControl/>
              <w:jc w:val="center"/>
              <w:rPr>
                <w:kern w:val="0"/>
                <w:szCs w:val="21"/>
              </w:rPr>
            </w:pPr>
            <w:r>
              <w:rPr>
                <w:kern w:val="0"/>
                <w:szCs w:val="21"/>
              </w:rPr>
              <w:t>31</w:t>
            </w:r>
          </w:p>
        </w:tc>
        <w:tc>
          <w:tcPr>
            <w:tcW w:w="531" w:type="dxa"/>
            <w:tcBorders>
              <w:top w:val="nil"/>
              <w:left w:val="nil"/>
              <w:bottom w:val="single" w:color="auto" w:sz="4" w:space="0"/>
              <w:right w:val="single" w:color="auto" w:sz="4" w:space="0"/>
            </w:tcBorders>
            <w:shd w:val="clear" w:color="auto" w:fill="auto"/>
            <w:vAlign w:val="center"/>
          </w:tcPr>
          <w:p w14:paraId="375B0208">
            <w:pPr>
              <w:widowControl/>
              <w:jc w:val="center"/>
              <w:rPr>
                <w:kern w:val="0"/>
                <w:szCs w:val="21"/>
              </w:rPr>
            </w:pPr>
            <w:r>
              <w:rPr>
                <w:kern w:val="0"/>
                <w:szCs w:val="21"/>
              </w:rPr>
              <w:t>204</w:t>
            </w:r>
          </w:p>
        </w:tc>
        <w:tc>
          <w:tcPr>
            <w:tcW w:w="584" w:type="dxa"/>
            <w:tcBorders>
              <w:top w:val="nil"/>
              <w:left w:val="nil"/>
              <w:bottom w:val="single" w:color="auto" w:sz="4" w:space="0"/>
              <w:right w:val="single" w:color="auto" w:sz="4" w:space="0"/>
            </w:tcBorders>
            <w:shd w:val="clear" w:color="auto" w:fill="auto"/>
            <w:vAlign w:val="center"/>
          </w:tcPr>
          <w:p w14:paraId="30B2A2C5">
            <w:pPr>
              <w:widowControl/>
              <w:jc w:val="center"/>
              <w:rPr>
                <w:kern w:val="0"/>
                <w:szCs w:val="21"/>
              </w:rPr>
            </w:pPr>
            <w:r>
              <w:rPr>
                <w:kern w:val="0"/>
                <w:szCs w:val="21"/>
              </w:rPr>
              <w:t>60.7</w:t>
            </w:r>
          </w:p>
        </w:tc>
        <w:tc>
          <w:tcPr>
            <w:tcW w:w="584" w:type="dxa"/>
            <w:tcBorders>
              <w:top w:val="nil"/>
              <w:left w:val="nil"/>
              <w:bottom w:val="single" w:color="auto" w:sz="4" w:space="0"/>
              <w:right w:val="single" w:color="auto" w:sz="4" w:space="0"/>
            </w:tcBorders>
            <w:shd w:val="clear" w:color="auto" w:fill="auto"/>
            <w:vAlign w:val="center"/>
          </w:tcPr>
          <w:p w14:paraId="68646C56">
            <w:pPr>
              <w:widowControl/>
              <w:jc w:val="center"/>
              <w:rPr>
                <w:kern w:val="0"/>
                <w:szCs w:val="21"/>
              </w:rPr>
            </w:pPr>
            <w:r>
              <w:rPr>
                <w:kern w:val="0"/>
                <w:szCs w:val="21"/>
              </w:rPr>
              <w:t>58.9</w:t>
            </w:r>
          </w:p>
        </w:tc>
        <w:tc>
          <w:tcPr>
            <w:tcW w:w="584" w:type="dxa"/>
            <w:tcBorders>
              <w:top w:val="nil"/>
              <w:left w:val="nil"/>
              <w:bottom w:val="single" w:color="auto" w:sz="4" w:space="0"/>
              <w:right w:val="single" w:color="auto" w:sz="4" w:space="0"/>
            </w:tcBorders>
            <w:shd w:val="clear" w:color="auto" w:fill="auto"/>
            <w:vAlign w:val="center"/>
          </w:tcPr>
          <w:p w14:paraId="0F415D24">
            <w:pPr>
              <w:widowControl/>
              <w:jc w:val="center"/>
              <w:rPr>
                <w:kern w:val="0"/>
                <w:szCs w:val="21"/>
              </w:rPr>
            </w:pPr>
            <w:r>
              <w:rPr>
                <w:kern w:val="0"/>
                <w:szCs w:val="21"/>
              </w:rPr>
              <w:t>62.7</w:t>
            </w:r>
          </w:p>
        </w:tc>
        <w:tc>
          <w:tcPr>
            <w:tcW w:w="584" w:type="dxa"/>
            <w:tcBorders>
              <w:top w:val="nil"/>
              <w:left w:val="nil"/>
              <w:bottom w:val="single" w:color="auto" w:sz="4" w:space="0"/>
              <w:right w:val="single" w:color="auto" w:sz="4" w:space="0"/>
            </w:tcBorders>
            <w:shd w:val="clear" w:color="auto" w:fill="auto"/>
            <w:vAlign w:val="center"/>
          </w:tcPr>
          <w:p w14:paraId="2E61CCA4">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64A733E4">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37F87832">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747792E7">
            <w:pPr>
              <w:widowControl/>
              <w:jc w:val="center"/>
              <w:rPr>
                <w:kern w:val="0"/>
                <w:szCs w:val="21"/>
              </w:rPr>
            </w:pPr>
            <w:r>
              <w:rPr>
                <w:kern w:val="0"/>
                <w:szCs w:val="21"/>
              </w:rPr>
              <w:t>36.7</w:t>
            </w:r>
          </w:p>
        </w:tc>
        <w:tc>
          <w:tcPr>
            <w:tcW w:w="584" w:type="dxa"/>
            <w:tcBorders>
              <w:top w:val="nil"/>
              <w:left w:val="nil"/>
              <w:bottom w:val="single" w:color="auto" w:sz="4" w:space="0"/>
              <w:right w:val="single" w:color="auto" w:sz="4" w:space="0"/>
            </w:tcBorders>
            <w:shd w:val="clear" w:color="auto" w:fill="auto"/>
            <w:vAlign w:val="center"/>
          </w:tcPr>
          <w:p w14:paraId="56F51174">
            <w:pPr>
              <w:widowControl/>
              <w:jc w:val="center"/>
              <w:rPr>
                <w:kern w:val="0"/>
                <w:szCs w:val="21"/>
              </w:rPr>
            </w:pPr>
            <w:r>
              <w:rPr>
                <w:kern w:val="0"/>
                <w:szCs w:val="21"/>
              </w:rPr>
              <w:t>32.9</w:t>
            </w:r>
          </w:p>
        </w:tc>
        <w:tc>
          <w:tcPr>
            <w:tcW w:w="584" w:type="dxa"/>
            <w:tcBorders>
              <w:top w:val="nil"/>
              <w:left w:val="nil"/>
              <w:bottom w:val="single" w:color="auto" w:sz="4" w:space="0"/>
              <w:right w:val="single" w:color="auto" w:sz="4" w:space="0"/>
            </w:tcBorders>
            <w:shd w:val="clear" w:color="auto" w:fill="auto"/>
            <w:vAlign w:val="center"/>
          </w:tcPr>
          <w:p w14:paraId="44289FAE">
            <w:pPr>
              <w:widowControl/>
              <w:jc w:val="center"/>
              <w:rPr>
                <w:kern w:val="0"/>
                <w:szCs w:val="21"/>
              </w:rPr>
            </w:pPr>
            <w:r>
              <w:rPr>
                <w:kern w:val="0"/>
                <w:szCs w:val="21"/>
              </w:rPr>
              <w:t>36.7</w:t>
            </w:r>
          </w:p>
        </w:tc>
        <w:tc>
          <w:tcPr>
            <w:tcW w:w="584" w:type="dxa"/>
            <w:tcBorders>
              <w:top w:val="nil"/>
              <w:left w:val="nil"/>
              <w:bottom w:val="single" w:color="auto" w:sz="4" w:space="0"/>
              <w:right w:val="single" w:color="auto" w:sz="4" w:space="0"/>
            </w:tcBorders>
            <w:shd w:val="clear" w:color="auto" w:fill="auto"/>
            <w:vAlign w:val="center"/>
          </w:tcPr>
          <w:p w14:paraId="799B6503">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0805049D">
            <w:pPr>
              <w:widowControl/>
              <w:jc w:val="center"/>
              <w:rPr>
                <w:kern w:val="0"/>
                <w:szCs w:val="21"/>
              </w:rPr>
            </w:pPr>
            <w:r>
              <w:rPr>
                <w:kern w:val="0"/>
                <w:szCs w:val="21"/>
              </w:rPr>
              <w:t>1</w:t>
            </w:r>
          </w:p>
        </w:tc>
      </w:tr>
      <w:tr w14:paraId="687BF3FD">
        <w:tblPrEx>
          <w:tblCellMar>
            <w:top w:w="0" w:type="dxa"/>
            <w:left w:w="108" w:type="dxa"/>
            <w:bottom w:w="0" w:type="dxa"/>
            <w:right w:w="108" w:type="dxa"/>
          </w:tblCellMar>
        </w:tblPrEx>
        <w:trPr>
          <w:trHeight w:val="48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68D31DEA">
            <w:pPr>
              <w:widowControl/>
              <w:jc w:val="center"/>
              <w:rPr>
                <w:kern w:val="0"/>
                <w:szCs w:val="21"/>
              </w:rPr>
            </w:pPr>
            <w:r>
              <w:rPr>
                <w:kern w:val="0"/>
                <w:szCs w:val="21"/>
              </w:rPr>
              <w:t>9</w:t>
            </w:r>
          </w:p>
        </w:tc>
        <w:tc>
          <w:tcPr>
            <w:tcW w:w="426" w:type="dxa"/>
            <w:vMerge w:val="continue"/>
            <w:tcBorders>
              <w:top w:val="nil"/>
              <w:left w:val="single" w:color="auto" w:sz="4" w:space="0"/>
              <w:bottom w:val="single" w:color="auto" w:sz="4" w:space="0"/>
              <w:right w:val="single" w:color="auto" w:sz="4" w:space="0"/>
            </w:tcBorders>
            <w:vAlign w:val="center"/>
          </w:tcPr>
          <w:p w14:paraId="466382FD">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702D898F">
            <w:pPr>
              <w:widowControl/>
              <w:jc w:val="center"/>
              <w:rPr>
                <w:kern w:val="0"/>
                <w:szCs w:val="21"/>
              </w:rPr>
            </w:pPr>
            <w:r>
              <w:rPr>
                <w:kern w:val="0"/>
                <w:szCs w:val="21"/>
              </w:rPr>
              <w:t>等离子自动焊</w:t>
            </w:r>
          </w:p>
        </w:tc>
        <w:tc>
          <w:tcPr>
            <w:tcW w:w="426" w:type="dxa"/>
            <w:tcBorders>
              <w:top w:val="nil"/>
              <w:left w:val="nil"/>
              <w:bottom w:val="single" w:color="auto" w:sz="4" w:space="0"/>
              <w:right w:val="single" w:color="auto" w:sz="4" w:space="0"/>
            </w:tcBorders>
            <w:shd w:val="clear" w:color="auto" w:fill="auto"/>
            <w:vAlign w:val="center"/>
          </w:tcPr>
          <w:p w14:paraId="65BDF00F">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4E013C63">
            <w:pPr>
              <w:widowControl/>
              <w:jc w:val="center"/>
              <w:rPr>
                <w:kern w:val="0"/>
                <w:szCs w:val="21"/>
              </w:rPr>
            </w:pPr>
            <w:r>
              <w:rPr>
                <w:kern w:val="0"/>
                <w:szCs w:val="21"/>
              </w:rPr>
              <w:t>4</w:t>
            </w:r>
          </w:p>
        </w:tc>
        <w:tc>
          <w:tcPr>
            <w:tcW w:w="636" w:type="dxa"/>
            <w:vMerge w:val="continue"/>
            <w:tcBorders>
              <w:left w:val="single" w:color="auto" w:sz="4" w:space="0"/>
              <w:right w:val="single" w:color="auto" w:sz="4" w:space="0"/>
            </w:tcBorders>
            <w:vAlign w:val="center"/>
          </w:tcPr>
          <w:p w14:paraId="30F858A2">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2E45A98E">
            <w:pPr>
              <w:widowControl/>
              <w:jc w:val="center"/>
              <w:rPr>
                <w:kern w:val="0"/>
                <w:szCs w:val="21"/>
              </w:rPr>
            </w:pPr>
            <w:r>
              <w:rPr>
                <w:kern w:val="0"/>
                <w:szCs w:val="21"/>
              </w:rPr>
              <w:t>35</w:t>
            </w:r>
          </w:p>
        </w:tc>
        <w:tc>
          <w:tcPr>
            <w:tcW w:w="531" w:type="dxa"/>
            <w:tcBorders>
              <w:top w:val="nil"/>
              <w:left w:val="nil"/>
              <w:bottom w:val="single" w:color="auto" w:sz="4" w:space="0"/>
              <w:right w:val="single" w:color="auto" w:sz="4" w:space="0"/>
            </w:tcBorders>
            <w:shd w:val="clear" w:color="auto" w:fill="auto"/>
            <w:vAlign w:val="center"/>
          </w:tcPr>
          <w:p w14:paraId="77833CAB">
            <w:pPr>
              <w:widowControl/>
              <w:jc w:val="center"/>
              <w:rPr>
                <w:kern w:val="0"/>
                <w:szCs w:val="21"/>
              </w:rPr>
            </w:pPr>
            <w:r>
              <w:rPr>
                <w:kern w:val="0"/>
                <w:szCs w:val="21"/>
              </w:rPr>
              <w:t>225</w:t>
            </w:r>
          </w:p>
        </w:tc>
        <w:tc>
          <w:tcPr>
            <w:tcW w:w="345" w:type="dxa"/>
            <w:tcBorders>
              <w:top w:val="nil"/>
              <w:left w:val="nil"/>
              <w:bottom w:val="single" w:color="auto" w:sz="4" w:space="0"/>
              <w:right w:val="single" w:color="auto" w:sz="4" w:space="0"/>
            </w:tcBorders>
            <w:shd w:val="clear" w:color="auto" w:fill="auto"/>
            <w:vAlign w:val="center"/>
          </w:tcPr>
          <w:p w14:paraId="24942752">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384CB9D2">
            <w:pPr>
              <w:widowControl/>
              <w:jc w:val="center"/>
              <w:rPr>
                <w:kern w:val="0"/>
                <w:szCs w:val="21"/>
              </w:rPr>
            </w:pPr>
            <w:r>
              <w:rPr>
                <w:kern w:val="0"/>
                <w:szCs w:val="21"/>
              </w:rPr>
              <w:t>89</w:t>
            </w:r>
          </w:p>
        </w:tc>
        <w:tc>
          <w:tcPr>
            <w:tcW w:w="531" w:type="dxa"/>
            <w:tcBorders>
              <w:top w:val="nil"/>
              <w:left w:val="nil"/>
              <w:bottom w:val="single" w:color="auto" w:sz="4" w:space="0"/>
              <w:right w:val="single" w:color="auto" w:sz="4" w:space="0"/>
            </w:tcBorders>
            <w:shd w:val="clear" w:color="auto" w:fill="auto"/>
            <w:vAlign w:val="center"/>
          </w:tcPr>
          <w:p w14:paraId="3638EAED">
            <w:pPr>
              <w:widowControl/>
              <w:jc w:val="center"/>
              <w:rPr>
                <w:kern w:val="0"/>
                <w:szCs w:val="21"/>
              </w:rPr>
            </w:pPr>
            <w:r>
              <w:rPr>
                <w:kern w:val="0"/>
                <w:szCs w:val="21"/>
              </w:rPr>
              <w:t>225</w:t>
            </w:r>
          </w:p>
        </w:tc>
        <w:tc>
          <w:tcPr>
            <w:tcW w:w="426" w:type="dxa"/>
            <w:tcBorders>
              <w:top w:val="nil"/>
              <w:left w:val="nil"/>
              <w:bottom w:val="single" w:color="auto" w:sz="4" w:space="0"/>
              <w:right w:val="single" w:color="auto" w:sz="4" w:space="0"/>
            </w:tcBorders>
            <w:shd w:val="clear" w:color="auto" w:fill="auto"/>
            <w:vAlign w:val="center"/>
          </w:tcPr>
          <w:p w14:paraId="0BC7A4CC">
            <w:pPr>
              <w:widowControl/>
              <w:jc w:val="center"/>
              <w:rPr>
                <w:kern w:val="0"/>
                <w:szCs w:val="21"/>
              </w:rPr>
            </w:pPr>
            <w:r>
              <w:rPr>
                <w:kern w:val="0"/>
                <w:szCs w:val="21"/>
              </w:rPr>
              <w:t>35</w:t>
            </w:r>
          </w:p>
        </w:tc>
        <w:tc>
          <w:tcPr>
            <w:tcW w:w="531" w:type="dxa"/>
            <w:tcBorders>
              <w:top w:val="nil"/>
              <w:left w:val="nil"/>
              <w:bottom w:val="single" w:color="auto" w:sz="4" w:space="0"/>
              <w:right w:val="single" w:color="auto" w:sz="4" w:space="0"/>
            </w:tcBorders>
            <w:shd w:val="clear" w:color="auto" w:fill="auto"/>
            <w:vAlign w:val="center"/>
          </w:tcPr>
          <w:p w14:paraId="0E21F9E2">
            <w:pPr>
              <w:widowControl/>
              <w:jc w:val="center"/>
              <w:rPr>
                <w:kern w:val="0"/>
                <w:szCs w:val="21"/>
              </w:rPr>
            </w:pPr>
            <w:r>
              <w:rPr>
                <w:kern w:val="0"/>
                <w:szCs w:val="21"/>
              </w:rPr>
              <w:t>216</w:t>
            </w:r>
          </w:p>
        </w:tc>
        <w:tc>
          <w:tcPr>
            <w:tcW w:w="584" w:type="dxa"/>
            <w:tcBorders>
              <w:top w:val="nil"/>
              <w:left w:val="nil"/>
              <w:bottom w:val="single" w:color="auto" w:sz="4" w:space="0"/>
              <w:right w:val="single" w:color="auto" w:sz="4" w:space="0"/>
            </w:tcBorders>
            <w:shd w:val="clear" w:color="auto" w:fill="auto"/>
            <w:vAlign w:val="center"/>
          </w:tcPr>
          <w:p w14:paraId="6B75BBB1">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1FDFBE7E">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51DE29B6">
            <w:pPr>
              <w:widowControl/>
              <w:jc w:val="center"/>
              <w:rPr>
                <w:kern w:val="0"/>
                <w:szCs w:val="21"/>
              </w:rPr>
            </w:pPr>
            <w:r>
              <w:rPr>
                <w:kern w:val="0"/>
                <w:szCs w:val="21"/>
              </w:rPr>
              <w:t>62.3</w:t>
            </w:r>
          </w:p>
        </w:tc>
        <w:tc>
          <w:tcPr>
            <w:tcW w:w="584" w:type="dxa"/>
            <w:tcBorders>
              <w:top w:val="nil"/>
              <w:left w:val="nil"/>
              <w:bottom w:val="single" w:color="auto" w:sz="4" w:space="0"/>
              <w:right w:val="single" w:color="auto" w:sz="4" w:space="0"/>
            </w:tcBorders>
            <w:shd w:val="clear" w:color="auto" w:fill="auto"/>
            <w:vAlign w:val="center"/>
          </w:tcPr>
          <w:p w14:paraId="1F421883">
            <w:pPr>
              <w:widowControl/>
              <w:jc w:val="center"/>
              <w:rPr>
                <w:kern w:val="0"/>
                <w:szCs w:val="21"/>
              </w:rPr>
            </w:pPr>
            <w:r>
              <w:rPr>
                <w:kern w:val="0"/>
                <w:szCs w:val="21"/>
              </w:rPr>
              <w:t>58.8</w:t>
            </w:r>
          </w:p>
        </w:tc>
        <w:tc>
          <w:tcPr>
            <w:tcW w:w="636" w:type="dxa"/>
            <w:tcBorders>
              <w:top w:val="nil"/>
              <w:left w:val="nil"/>
              <w:bottom w:val="single" w:color="auto" w:sz="4" w:space="0"/>
              <w:right w:val="single" w:color="auto" w:sz="4" w:space="0"/>
            </w:tcBorders>
            <w:shd w:val="clear" w:color="auto" w:fill="auto"/>
            <w:vAlign w:val="center"/>
          </w:tcPr>
          <w:p w14:paraId="4AB93C42">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322CEE4A">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29E7569D">
            <w:pPr>
              <w:widowControl/>
              <w:jc w:val="center"/>
              <w:rPr>
                <w:kern w:val="0"/>
                <w:szCs w:val="21"/>
              </w:rPr>
            </w:pPr>
            <w:r>
              <w:rPr>
                <w:kern w:val="0"/>
                <w:szCs w:val="21"/>
              </w:rPr>
              <w:t>36.3</w:t>
            </w:r>
          </w:p>
        </w:tc>
        <w:tc>
          <w:tcPr>
            <w:tcW w:w="584" w:type="dxa"/>
            <w:tcBorders>
              <w:top w:val="nil"/>
              <w:left w:val="nil"/>
              <w:bottom w:val="single" w:color="auto" w:sz="4" w:space="0"/>
              <w:right w:val="single" w:color="auto" w:sz="4" w:space="0"/>
            </w:tcBorders>
            <w:shd w:val="clear" w:color="auto" w:fill="auto"/>
            <w:vAlign w:val="center"/>
          </w:tcPr>
          <w:p w14:paraId="771ADEAB">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4624890B">
            <w:pPr>
              <w:widowControl/>
              <w:jc w:val="center"/>
              <w:rPr>
                <w:kern w:val="0"/>
                <w:szCs w:val="21"/>
              </w:rPr>
            </w:pPr>
            <w:r>
              <w:rPr>
                <w:kern w:val="0"/>
                <w:szCs w:val="21"/>
              </w:rPr>
              <w:t>36.3</w:t>
            </w:r>
          </w:p>
        </w:tc>
        <w:tc>
          <w:tcPr>
            <w:tcW w:w="584" w:type="dxa"/>
            <w:tcBorders>
              <w:top w:val="nil"/>
              <w:left w:val="nil"/>
              <w:bottom w:val="single" w:color="auto" w:sz="4" w:space="0"/>
              <w:right w:val="single" w:color="auto" w:sz="4" w:space="0"/>
            </w:tcBorders>
            <w:shd w:val="clear" w:color="auto" w:fill="auto"/>
            <w:vAlign w:val="center"/>
          </w:tcPr>
          <w:p w14:paraId="0F592BCF">
            <w:pPr>
              <w:widowControl/>
              <w:jc w:val="center"/>
              <w:rPr>
                <w:kern w:val="0"/>
                <w:szCs w:val="21"/>
              </w:rPr>
            </w:pPr>
            <w:r>
              <w:rPr>
                <w:kern w:val="0"/>
                <w:szCs w:val="21"/>
              </w:rPr>
              <w:t>32.8</w:t>
            </w:r>
          </w:p>
        </w:tc>
        <w:tc>
          <w:tcPr>
            <w:tcW w:w="426" w:type="dxa"/>
            <w:tcBorders>
              <w:top w:val="nil"/>
              <w:left w:val="nil"/>
              <w:bottom w:val="single" w:color="auto" w:sz="4" w:space="0"/>
              <w:right w:val="single" w:color="auto" w:sz="4" w:space="0"/>
            </w:tcBorders>
            <w:shd w:val="clear" w:color="auto" w:fill="auto"/>
            <w:vAlign w:val="center"/>
          </w:tcPr>
          <w:p w14:paraId="453DF5C9">
            <w:pPr>
              <w:widowControl/>
              <w:jc w:val="center"/>
              <w:rPr>
                <w:kern w:val="0"/>
                <w:szCs w:val="21"/>
              </w:rPr>
            </w:pPr>
            <w:r>
              <w:rPr>
                <w:kern w:val="0"/>
                <w:szCs w:val="21"/>
              </w:rPr>
              <w:t>1</w:t>
            </w:r>
          </w:p>
        </w:tc>
      </w:tr>
      <w:tr w14:paraId="3ED33010">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5F21C6D">
            <w:pPr>
              <w:widowControl/>
              <w:jc w:val="center"/>
              <w:rPr>
                <w:kern w:val="0"/>
                <w:szCs w:val="21"/>
              </w:rPr>
            </w:pPr>
            <w:r>
              <w:rPr>
                <w:kern w:val="0"/>
                <w:szCs w:val="21"/>
              </w:rPr>
              <w:t>10</w:t>
            </w:r>
          </w:p>
        </w:tc>
        <w:tc>
          <w:tcPr>
            <w:tcW w:w="426" w:type="dxa"/>
            <w:vMerge w:val="continue"/>
            <w:tcBorders>
              <w:top w:val="nil"/>
              <w:left w:val="single" w:color="auto" w:sz="4" w:space="0"/>
              <w:bottom w:val="single" w:color="auto" w:sz="4" w:space="0"/>
              <w:right w:val="single" w:color="auto" w:sz="4" w:space="0"/>
            </w:tcBorders>
            <w:vAlign w:val="center"/>
          </w:tcPr>
          <w:p w14:paraId="74094FDF">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091B4765">
            <w:pPr>
              <w:widowControl/>
              <w:jc w:val="center"/>
              <w:rPr>
                <w:kern w:val="0"/>
                <w:szCs w:val="21"/>
              </w:rPr>
            </w:pPr>
            <w:r>
              <w:rPr>
                <w:kern w:val="0"/>
                <w:szCs w:val="21"/>
              </w:rPr>
              <w:t>氩弧自动焊</w:t>
            </w:r>
          </w:p>
        </w:tc>
        <w:tc>
          <w:tcPr>
            <w:tcW w:w="426" w:type="dxa"/>
            <w:tcBorders>
              <w:top w:val="nil"/>
              <w:left w:val="nil"/>
              <w:bottom w:val="single" w:color="auto" w:sz="4" w:space="0"/>
              <w:right w:val="single" w:color="auto" w:sz="4" w:space="0"/>
            </w:tcBorders>
            <w:shd w:val="clear" w:color="auto" w:fill="auto"/>
            <w:vAlign w:val="center"/>
          </w:tcPr>
          <w:p w14:paraId="164B2011">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7063C8A6">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3417C6F3">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0B840F52">
            <w:pPr>
              <w:widowControl/>
              <w:jc w:val="center"/>
              <w:rPr>
                <w:kern w:val="0"/>
                <w:szCs w:val="21"/>
              </w:rPr>
            </w:pPr>
            <w:r>
              <w:rPr>
                <w:kern w:val="0"/>
                <w:szCs w:val="21"/>
              </w:rPr>
              <w:t>35</w:t>
            </w:r>
          </w:p>
        </w:tc>
        <w:tc>
          <w:tcPr>
            <w:tcW w:w="531" w:type="dxa"/>
            <w:tcBorders>
              <w:top w:val="nil"/>
              <w:left w:val="nil"/>
              <w:bottom w:val="single" w:color="auto" w:sz="4" w:space="0"/>
              <w:right w:val="single" w:color="auto" w:sz="4" w:space="0"/>
            </w:tcBorders>
            <w:shd w:val="clear" w:color="auto" w:fill="auto"/>
            <w:vAlign w:val="center"/>
          </w:tcPr>
          <w:p w14:paraId="111B9D6A">
            <w:pPr>
              <w:widowControl/>
              <w:jc w:val="center"/>
              <w:rPr>
                <w:kern w:val="0"/>
                <w:szCs w:val="21"/>
              </w:rPr>
            </w:pPr>
            <w:r>
              <w:rPr>
                <w:kern w:val="0"/>
                <w:szCs w:val="21"/>
              </w:rPr>
              <w:t>227</w:t>
            </w:r>
          </w:p>
        </w:tc>
        <w:tc>
          <w:tcPr>
            <w:tcW w:w="345" w:type="dxa"/>
            <w:tcBorders>
              <w:top w:val="nil"/>
              <w:left w:val="nil"/>
              <w:bottom w:val="single" w:color="auto" w:sz="4" w:space="0"/>
              <w:right w:val="single" w:color="auto" w:sz="4" w:space="0"/>
            </w:tcBorders>
            <w:shd w:val="clear" w:color="auto" w:fill="auto"/>
            <w:vAlign w:val="center"/>
          </w:tcPr>
          <w:p w14:paraId="2BD07300">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780D49A7">
            <w:pPr>
              <w:widowControl/>
              <w:jc w:val="center"/>
              <w:rPr>
                <w:kern w:val="0"/>
                <w:szCs w:val="21"/>
              </w:rPr>
            </w:pPr>
            <w:r>
              <w:rPr>
                <w:kern w:val="0"/>
                <w:szCs w:val="21"/>
              </w:rPr>
              <w:t>89</w:t>
            </w:r>
          </w:p>
        </w:tc>
        <w:tc>
          <w:tcPr>
            <w:tcW w:w="531" w:type="dxa"/>
            <w:tcBorders>
              <w:top w:val="nil"/>
              <w:left w:val="nil"/>
              <w:bottom w:val="single" w:color="auto" w:sz="4" w:space="0"/>
              <w:right w:val="single" w:color="auto" w:sz="4" w:space="0"/>
            </w:tcBorders>
            <w:shd w:val="clear" w:color="auto" w:fill="auto"/>
            <w:vAlign w:val="center"/>
          </w:tcPr>
          <w:p w14:paraId="3F39C6B8">
            <w:pPr>
              <w:widowControl/>
              <w:jc w:val="center"/>
              <w:rPr>
                <w:kern w:val="0"/>
                <w:szCs w:val="21"/>
              </w:rPr>
            </w:pPr>
            <w:r>
              <w:rPr>
                <w:kern w:val="0"/>
                <w:szCs w:val="21"/>
              </w:rPr>
              <w:t>227</w:t>
            </w:r>
          </w:p>
        </w:tc>
        <w:tc>
          <w:tcPr>
            <w:tcW w:w="426" w:type="dxa"/>
            <w:tcBorders>
              <w:top w:val="nil"/>
              <w:left w:val="nil"/>
              <w:bottom w:val="single" w:color="auto" w:sz="4" w:space="0"/>
              <w:right w:val="single" w:color="auto" w:sz="4" w:space="0"/>
            </w:tcBorders>
            <w:shd w:val="clear" w:color="auto" w:fill="auto"/>
            <w:vAlign w:val="center"/>
          </w:tcPr>
          <w:p w14:paraId="74555A08">
            <w:pPr>
              <w:widowControl/>
              <w:jc w:val="center"/>
              <w:rPr>
                <w:kern w:val="0"/>
                <w:szCs w:val="21"/>
              </w:rPr>
            </w:pPr>
            <w:r>
              <w:rPr>
                <w:kern w:val="0"/>
                <w:szCs w:val="21"/>
              </w:rPr>
              <w:t>35</w:t>
            </w:r>
          </w:p>
        </w:tc>
        <w:tc>
          <w:tcPr>
            <w:tcW w:w="531" w:type="dxa"/>
            <w:tcBorders>
              <w:top w:val="nil"/>
              <w:left w:val="nil"/>
              <w:bottom w:val="single" w:color="auto" w:sz="4" w:space="0"/>
              <w:right w:val="single" w:color="auto" w:sz="4" w:space="0"/>
            </w:tcBorders>
            <w:shd w:val="clear" w:color="auto" w:fill="auto"/>
            <w:vAlign w:val="center"/>
          </w:tcPr>
          <w:p w14:paraId="07618C88">
            <w:pPr>
              <w:widowControl/>
              <w:jc w:val="center"/>
              <w:rPr>
                <w:kern w:val="0"/>
                <w:szCs w:val="21"/>
              </w:rPr>
            </w:pPr>
            <w:r>
              <w:rPr>
                <w:kern w:val="0"/>
                <w:szCs w:val="21"/>
              </w:rPr>
              <w:t>214</w:t>
            </w:r>
          </w:p>
        </w:tc>
        <w:tc>
          <w:tcPr>
            <w:tcW w:w="584" w:type="dxa"/>
            <w:tcBorders>
              <w:top w:val="nil"/>
              <w:left w:val="nil"/>
              <w:bottom w:val="single" w:color="auto" w:sz="4" w:space="0"/>
              <w:right w:val="single" w:color="auto" w:sz="4" w:space="0"/>
            </w:tcBorders>
            <w:shd w:val="clear" w:color="auto" w:fill="auto"/>
            <w:vAlign w:val="center"/>
          </w:tcPr>
          <w:p w14:paraId="0BE01301">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75BC4DE3">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289DC5B5">
            <w:pPr>
              <w:widowControl/>
              <w:jc w:val="center"/>
              <w:rPr>
                <w:kern w:val="0"/>
                <w:szCs w:val="21"/>
              </w:rPr>
            </w:pPr>
            <w:r>
              <w:rPr>
                <w:kern w:val="0"/>
                <w:szCs w:val="21"/>
              </w:rPr>
              <w:t>62.1</w:t>
            </w:r>
          </w:p>
        </w:tc>
        <w:tc>
          <w:tcPr>
            <w:tcW w:w="584" w:type="dxa"/>
            <w:tcBorders>
              <w:top w:val="nil"/>
              <w:left w:val="nil"/>
              <w:bottom w:val="single" w:color="auto" w:sz="4" w:space="0"/>
              <w:right w:val="single" w:color="auto" w:sz="4" w:space="0"/>
            </w:tcBorders>
            <w:shd w:val="clear" w:color="auto" w:fill="auto"/>
            <w:vAlign w:val="center"/>
          </w:tcPr>
          <w:p w14:paraId="516213B1">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601AF387">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2E65B363">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0F08E395">
            <w:pPr>
              <w:widowControl/>
              <w:jc w:val="center"/>
              <w:rPr>
                <w:kern w:val="0"/>
                <w:szCs w:val="21"/>
              </w:rPr>
            </w:pPr>
            <w:r>
              <w:rPr>
                <w:kern w:val="0"/>
                <w:szCs w:val="21"/>
              </w:rPr>
              <w:t>36.1</w:t>
            </w:r>
          </w:p>
        </w:tc>
        <w:tc>
          <w:tcPr>
            <w:tcW w:w="584" w:type="dxa"/>
            <w:tcBorders>
              <w:top w:val="nil"/>
              <w:left w:val="nil"/>
              <w:bottom w:val="single" w:color="auto" w:sz="4" w:space="0"/>
              <w:right w:val="single" w:color="auto" w:sz="4" w:space="0"/>
            </w:tcBorders>
            <w:shd w:val="clear" w:color="auto" w:fill="auto"/>
            <w:vAlign w:val="center"/>
          </w:tcPr>
          <w:p w14:paraId="3BC1C251">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7E9E0336">
            <w:pPr>
              <w:widowControl/>
              <w:jc w:val="center"/>
              <w:rPr>
                <w:kern w:val="0"/>
                <w:szCs w:val="21"/>
              </w:rPr>
            </w:pPr>
            <w:r>
              <w:rPr>
                <w:kern w:val="0"/>
                <w:szCs w:val="21"/>
              </w:rPr>
              <w:t>36.1</w:t>
            </w:r>
          </w:p>
        </w:tc>
        <w:tc>
          <w:tcPr>
            <w:tcW w:w="584" w:type="dxa"/>
            <w:tcBorders>
              <w:top w:val="nil"/>
              <w:left w:val="nil"/>
              <w:bottom w:val="single" w:color="auto" w:sz="4" w:space="0"/>
              <w:right w:val="single" w:color="auto" w:sz="4" w:space="0"/>
            </w:tcBorders>
            <w:shd w:val="clear" w:color="auto" w:fill="auto"/>
            <w:vAlign w:val="center"/>
          </w:tcPr>
          <w:p w14:paraId="53C7AD67">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6194CA54">
            <w:pPr>
              <w:widowControl/>
              <w:jc w:val="center"/>
              <w:rPr>
                <w:kern w:val="0"/>
                <w:szCs w:val="21"/>
              </w:rPr>
            </w:pPr>
            <w:r>
              <w:rPr>
                <w:kern w:val="0"/>
                <w:szCs w:val="21"/>
              </w:rPr>
              <w:t>1</w:t>
            </w:r>
          </w:p>
        </w:tc>
      </w:tr>
      <w:tr w14:paraId="6A577BDF">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9507AB6">
            <w:pPr>
              <w:widowControl/>
              <w:jc w:val="center"/>
              <w:rPr>
                <w:kern w:val="0"/>
                <w:szCs w:val="21"/>
              </w:rPr>
            </w:pPr>
            <w:r>
              <w:rPr>
                <w:kern w:val="0"/>
                <w:szCs w:val="21"/>
              </w:rPr>
              <w:t>11</w:t>
            </w:r>
          </w:p>
        </w:tc>
        <w:tc>
          <w:tcPr>
            <w:tcW w:w="426" w:type="dxa"/>
            <w:vMerge w:val="continue"/>
            <w:tcBorders>
              <w:top w:val="nil"/>
              <w:left w:val="single" w:color="auto" w:sz="4" w:space="0"/>
              <w:bottom w:val="single" w:color="auto" w:sz="4" w:space="0"/>
              <w:right w:val="single" w:color="auto" w:sz="4" w:space="0"/>
            </w:tcBorders>
            <w:vAlign w:val="center"/>
          </w:tcPr>
          <w:p w14:paraId="1A03628C">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15853CBF">
            <w:pPr>
              <w:widowControl/>
              <w:jc w:val="center"/>
              <w:rPr>
                <w:kern w:val="0"/>
                <w:szCs w:val="21"/>
              </w:rPr>
            </w:pPr>
            <w:r>
              <w:rPr>
                <w:kern w:val="0"/>
                <w:szCs w:val="21"/>
              </w:rPr>
              <w:t>激光自动焊</w:t>
            </w:r>
          </w:p>
        </w:tc>
        <w:tc>
          <w:tcPr>
            <w:tcW w:w="426" w:type="dxa"/>
            <w:tcBorders>
              <w:top w:val="nil"/>
              <w:left w:val="nil"/>
              <w:bottom w:val="single" w:color="auto" w:sz="4" w:space="0"/>
              <w:right w:val="single" w:color="auto" w:sz="4" w:space="0"/>
            </w:tcBorders>
            <w:shd w:val="clear" w:color="auto" w:fill="auto"/>
            <w:vAlign w:val="center"/>
          </w:tcPr>
          <w:p w14:paraId="6C0CC713">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2E74A17B">
            <w:pPr>
              <w:widowControl/>
              <w:jc w:val="center"/>
              <w:rPr>
                <w:kern w:val="0"/>
                <w:szCs w:val="21"/>
              </w:rPr>
            </w:pPr>
            <w:r>
              <w:rPr>
                <w:kern w:val="0"/>
                <w:szCs w:val="21"/>
              </w:rPr>
              <w:t>3</w:t>
            </w:r>
          </w:p>
        </w:tc>
        <w:tc>
          <w:tcPr>
            <w:tcW w:w="636" w:type="dxa"/>
            <w:vMerge w:val="continue"/>
            <w:tcBorders>
              <w:left w:val="single" w:color="auto" w:sz="4" w:space="0"/>
              <w:right w:val="single" w:color="auto" w:sz="4" w:space="0"/>
            </w:tcBorders>
            <w:vAlign w:val="center"/>
          </w:tcPr>
          <w:p w14:paraId="1BAA2671">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7D8D1AA4">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1A893E8F">
            <w:pPr>
              <w:widowControl/>
              <w:jc w:val="center"/>
              <w:rPr>
                <w:kern w:val="0"/>
                <w:szCs w:val="21"/>
              </w:rPr>
            </w:pPr>
            <w:r>
              <w:rPr>
                <w:kern w:val="0"/>
                <w:szCs w:val="21"/>
              </w:rPr>
              <w:t>234</w:t>
            </w:r>
          </w:p>
        </w:tc>
        <w:tc>
          <w:tcPr>
            <w:tcW w:w="345" w:type="dxa"/>
            <w:tcBorders>
              <w:top w:val="nil"/>
              <w:left w:val="nil"/>
              <w:bottom w:val="single" w:color="auto" w:sz="4" w:space="0"/>
              <w:right w:val="single" w:color="auto" w:sz="4" w:space="0"/>
            </w:tcBorders>
            <w:shd w:val="clear" w:color="auto" w:fill="auto"/>
            <w:vAlign w:val="center"/>
          </w:tcPr>
          <w:p w14:paraId="68410C8A">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1490158B">
            <w:pPr>
              <w:widowControl/>
              <w:jc w:val="center"/>
              <w:rPr>
                <w:kern w:val="0"/>
                <w:szCs w:val="21"/>
              </w:rPr>
            </w:pPr>
            <w:r>
              <w:rPr>
                <w:kern w:val="0"/>
                <w:szCs w:val="21"/>
              </w:rPr>
              <w:t>92</w:t>
            </w:r>
          </w:p>
        </w:tc>
        <w:tc>
          <w:tcPr>
            <w:tcW w:w="531" w:type="dxa"/>
            <w:tcBorders>
              <w:top w:val="nil"/>
              <w:left w:val="nil"/>
              <w:bottom w:val="single" w:color="auto" w:sz="4" w:space="0"/>
              <w:right w:val="single" w:color="auto" w:sz="4" w:space="0"/>
            </w:tcBorders>
            <w:shd w:val="clear" w:color="auto" w:fill="auto"/>
            <w:vAlign w:val="center"/>
          </w:tcPr>
          <w:p w14:paraId="3053F3A2">
            <w:pPr>
              <w:widowControl/>
              <w:jc w:val="center"/>
              <w:rPr>
                <w:kern w:val="0"/>
                <w:szCs w:val="21"/>
              </w:rPr>
            </w:pPr>
            <w:r>
              <w:rPr>
                <w:kern w:val="0"/>
                <w:szCs w:val="21"/>
              </w:rPr>
              <w:t>234</w:t>
            </w:r>
          </w:p>
        </w:tc>
        <w:tc>
          <w:tcPr>
            <w:tcW w:w="426" w:type="dxa"/>
            <w:tcBorders>
              <w:top w:val="nil"/>
              <w:left w:val="nil"/>
              <w:bottom w:val="single" w:color="auto" w:sz="4" w:space="0"/>
              <w:right w:val="single" w:color="auto" w:sz="4" w:space="0"/>
            </w:tcBorders>
            <w:shd w:val="clear" w:color="auto" w:fill="auto"/>
            <w:vAlign w:val="center"/>
          </w:tcPr>
          <w:p w14:paraId="31404652">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78D40E87">
            <w:pPr>
              <w:widowControl/>
              <w:jc w:val="center"/>
              <w:rPr>
                <w:kern w:val="0"/>
                <w:szCs w:val="21"/>
              </w:rPr>
            </w:pPr>
            <w:r>
              <w:rPr>
                <w:kern w:val="0"/>
                <w:szCs w:val="21"/>
              </w:rPr>
              <w:t>207</w:t>
            </w:r>
          </w:p>
        </w:tc>
        <w:tc>
          <w:tcPr>
            <w:tcW w:w="584" w:type="dxa"/>
            <w:tcBorders>
              <w:top w:val="nil"/>
              <w:left w:val="nil"/>
              <w:bottom w:val="single" w:color="auto" w:sz="4" w:space="0"/>
              <w:right w:val="single" w:color="auto" w:sz="4" w:space="0"/>
            </w:tcBorders>
            <w:shd w:val="clear" w:color="auto" w:fill="auto"/>
            <w:vAlign w:val="center"/>
          </w:tcPr>
          <w:p w14:paraId="710CDC94">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3EA983B2">
            <w:pPr>
              <w:widowControl/>
              <w:jc w:val="center"/>
              <w:rPr>
                <w:kern w:val="0"/>
                <w:szCs w:val="21"/>
              </w:rPr>
            </w:pPr>
            <w:r>
              <w:rPr>
                <w:kern w:val="0"/>
                <w:szCs w:val="21"/>
              </w:rPr>
              <w:t>58.9</w:t>
            </w:r>
          </w:p>
        </w:tc>
        <w:tc>
          <w:tcPr>
            <w:tcW w:w="584" w:type="dxa"/>
            <w:tcBorders>
              <w:top w:val="nil"/>
              <w:left w:val="nil"/>
              <w:bottom w:val="single" w:color="auto" w:sz="4" w:space="0"/>
              <w:right w:val="single" w:color="auto" w:sz="4" w:space="0"/>
            </w:tcBorders>
            <w:shd w:val="clear" w:color="auto" w:fill="auto"/>
            <w:vAlign w:val="center"/>
          </w:tcPr>
          <w:p w14:paraId="5FB71C9B">
            <w:pPr>
              <w:widowControl/>
              <w:jc w:val="center"/>
              <w:rPr>
                <w:kern w:val="0"/>
                <w:szCs w:val="21"/>
              </w:rPr>
            </w:pPr>
            <w:r>
              <w:rPr>
                <w:kern w:val="0"/>
                <w:szCs w:val="21"/>
              </w:rPr>
              <w:t>62.6</w:t>
            </w:r>
          </w:p>
        </w:tc>
        <w:tc>
          <w:tcPr>
            <w:tcW w:w="584" w:type="dxa"/>
            <w:tcBorders>
              <w:top w:val="nil"/>
              <w:left w:val="nil"/>
              <w:bottom w:val="single" w:color="auto" w:sz="4" w:space="0"/>
              <w:right w:val="single" w:color="auto" w:sz="4" w:space="0"/>
            </w:tcBorders>
            <w:shd w:val="clear" w:color="auto" w:fill="auto"/>
            <w:vAlign w:val="center"/>
          </w:tcPr>
          <w:p w14:paraId="24BBD07C">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7529CBEC">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14A64E38">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2927ABBB">
            <w:pPr>
              <w:widowControl/>
              <w:jc w:val="center"/>
              <w:rPr>
                <w:kern w:val="0"/>
                <w:szCs w:val="21"/>
              </w:rPr>
            </w:pPr>
            <w:r>
              <w:rPr>
                <w:kern w:val="0"/>
                <w:szCs w:val="21"/>
              </w:rPr>
              <w:t>36.6</w:t>
            </w:r>
          </w:p>
        </w:tc>
        <w:tc>
          <w:tcPr>
            <w:tcW w:w="584" w:type="dxa"/>
            <w:tcBorders>
              <w:top w:val="nil"/>
              <w:left w:val="nil"/>
              <w:bottom w:val="single" w:color="auto" w:sz="4" w:space="0"/>
              <w:right w:val="single" w:color="auto" w:sz="4" w:space="0"/>
            </w:tcBorders>
            <w:shd w:val="clear" w:color="auto" w:fill="auto"/>
            <w:vAlign w:val="center"/>
          </w:tcPr>
          <w:p w14:paraId="614836BB">
            <w:pPr>
              <w:widowControl/>
              <w:jc w:val="center"/>
              <w:rPr>
                <w:kern w:val="0"/>
                <w:szCs w:val="21"/>
              </w:rPr>
            </w:pPr>
            <w:r>
              <w:rPr>
                <w:kern w:val="0"/>
                <w:szCs w:val="21"/>
              </w:rPr>
              <w:t>32.9</w:t>
            </w:r>
          </w:p>
        </w:tc>
        <w:tc>
          <w:tcPr>
            <w:tcW w:w="584" w:type="dxa"/>
            <w:tcBorders>
              <w:top w:val="nil"/>
              <w:left w:val="nil"/>
              <w:bottom w:val="single" w:color="auto" w:sz="4" w:space="0"/>
              <w:right w:val="single" w:color="auto" w:sz="4" w:space="0"/>
            </w:tcBorders>
            <w:shd w:val="clear" w:color="auto" w:fill="auto"/>
            <w:vAlign w:val="center"/>
          </w:tcPr>
          <w:p w14:paraId="387EDE8F">
            <w:pPr>
              <w:widowControl/>
              <w:jc w:val="center"/>
              <w:rPr>
                <w:kern w:val="0"/>
                <w:szCs w:val="21"/>
              </w:rPr>
            </w:pPr>
            <w:r>
              <w:rPr>
                <w:kern w:val="0"/>
                <w:szCs w:val="21"/>
              </w:rPr>
              <w:t>36.6</w:t>
            </w:r>
          </w:p>
        </w:tc>
        <w:tc>
          <w:tcPr>
            <w:tcW w:w="584" w:type="dxa"/>
            <w:tcBorders>
              <w:top w:val="nil"/>
              <w:left w:val="nil"/>
              <w:bottom w:val="single" w:color="auto" w:sz="4" w:space="0"/>
              <w:right w:val="single" w:color="auto" w:sz="4" w:space="0"/>
            </w:tcBorders>
            <w:shd w:val="clear" w:color="auto" w:fill="auto"/>
            <w:vAlign w:val="center"/>
          </w:tcPr>
          <w:p w14:paraId="0B82B1E7">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43F5ADAA">
            <w:pPr>
              <w:widowControl/>
              <w:jc w:val="center"/>
              <w:rPr>
                <w:kern w:val="0"/>
                <w:szCs w:val="21"/>
              </w:rPr>
            </w:pPr>
            <w:r>
              <w:rPr>
                <w:kern w:val="0"/>
                <w:szCs w:val="21"/>
              </w:rPr>
              <w:t>1</w:t>
            </w:r>
          </w:p>
        </w:tc>
      </w:tr>
      <w:tr w14:paraId="00AACE64">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25A13740">
            <w:pPr>
              <w:widowControl/>
              <w:jc w:val="center"/>
              <w:rPr>
                <w:kern w:val="0"/>
                <w:szCs w:val="21"/>
              </w:rPr>
            </w:pPr>
            <w:r>
              <w:rPr>
                <w:kern w:val="0"/>
                <w:szCs w:val="21"/>
              </w:rPr>
              <w:t>12</w:t>
            </w:r>
          </w:p>
        </w:tc>
        <w:tc>
          <w:tcPr>
            <w:tcW w:w="426" w:type="dxa"/>
            <w:vMerge w:val="continue"/>
            <w:tcBorders>
              <w:top w:val="nil"/>
              <w:left w:val="single" w:color="auto" w:sz="4" w:space="0"/>
              <w:bottom w:val="single" w:color="auto" w:sz="4" w:space="0"/>
              <w:right w:val="single" w:color="auto" w:sz="4" w:space="0"/>
            </w:tcBorders>
            <w:vAlign w:val="center"/>
          </w:tcPr>
          <w:p w14:paraId="34C1102C">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24EC15BE">
            <w:pPr>
              <w:widowControl/>
              <w:jc w:val="center"/>
              <w:rPr>
                <w:kern w:val="0"/>
                <w:szCs w:val="21"/>
              </w:rPr>
            </w:pPr>
            <w:r>
              <w:rPr>
                <w:kern w:val="0"/>
                <w:szCs w:val="21"/>
              </w:rPr>
              <w:t>埋弧自动焊</w:t>
            </w:r>
          </w:p>
        </w:tc>
        <w:tc>
          <w:tcPr>
            <w:tcW w:w="426" w:type="dxa"/>
            <w:tcBorders>
              <w:top w:val="nil"/>
              <w:left w:val="nil"/>
              <w:bottom w:val="single" w:color="auto" w:sz="4" w:space="0"/>
              <w:right w:val="single" w:color="auto" w:sz="4" w:space="0"/>
            </w:tcBorders>
            <w:shd w:val="clear" w:color="auto" w:fill="auto"/>
            <w:vAlign w:val="center"/>
          </w:tcPr>
          <w:p w14:paraId="1A13C108">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55759492">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0484DCEB">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56BFD111">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42567B53">
            <w:pPr>
              <w:widowControl/>
              <w:jc w:val="center"/>
              <w:rPr>
                <w:kern w:val="0"/>
                <w:szCs w:val="21"/>
              </w:rPr>
            </w:pPr>
            <w:r>
              <w:rPr>
                <w:kern w:val="0"/>
                <w:szCs w:val="21"/>
              </w:rPr>
              <w:t>234</w:t>
            </w:r>
          </w:p>
        </w:tc>
        <w:tc>
          <w:tcPr>
            <w:tcW w:w="345" w:type="dxa"/>
            <w:tcBorders>
              <w:top w:val="nil"/>
              <w:left w:val="nil"/>
              <w:bottom w:val="single" w:color="auto" w:sz="4" w:space="0"/>
              <w:right w:val="single" w:color="auto" w:sz="4" w:space="0"/>
            </w:tcBorders>
            <w:shd w:val="clear" w:color="auto" w:fill="auto"/>
            <w:vAlign w:val="center"/>
          </w:tcPr>
          <w:p w14:paraId="40CDF2E6">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0FB5D3F4">
            <w:pPr>
              <w:widowControl/>
              <w:jc w:val="center"/>
              <w:rPr>
                <w:kern w:val="0"/>
                <w:szCs w:val="21"/>
              </w:rPr>
            </w:pPr>
            <w:r>
              <w:rPr>
                <w:kern w:val="0"/>
                <w:szCs w:val="21"/>
              </w:rPr>
              <w:t>92</w:t>
            </w:r>
          </w:p>
        </w:tc>
        <w:tc>
          <w:tcPr>
            <w:tcW w:w="531" w:type="dxa"/>
            <w:tcBorders>
              <w:top w:val="nil"/>
              <w:left w:val="nil"/>
              <w:bottom w:val="single" w:color="auto" w:sz="4" w:space="0"/>
              <w:right w:val="single" w:color="auto" w:sz="4" w:space="0"/>
            </w:tcBorders>
            <w:shd w:val="clear" w:color="auto" w:fill="auto"/>
            <w:vAlign w:val="center"/>
          </w:tcPr>
          <w:p w14:paraId="503E6D84">
            <w:pPr>
              <w:widowControl/>
              <w:jc w:val="center"/>
              <w:rPr>
                <w:kern w:val="0"/>
                <w:szCs w:val="21"/>
              </w:rPr>
            </w:pPr>
            <w:r>
              <w:rPr>
                <w:kern w:val="0"/>
                <w:szCs w:val="21"/>
              </w:rPr>
              <w:t>234</w:t>
            </w:r>
          </w:p>
        </w:tc>
        <w:tc>
          <w:tcPr>
            <w:tcW w:w="426" w:type="dxa"/>
            <w:tcBorders>
              <w:top w:val="nil"/>
              <w:left w:val="nil"/>
              <w:bottom w:val="single" w:color="auto" w:sz="4" w:space="0"/>
              <w:right w:val="single" w:color="auto" w:sz="4" w:space="0"/>
            </w:tcBorders>
            <w:shd w:val="clear" w:color="auto" w:fill="auto"/>
            <w:vAlign w:val="center"/>
          </w:tcPr>
          <w:p w14:paraId="4BCA4CB9">
            <w:pPr>
              <w:widowControl/>
              <w:jc w:val="center"/>
              <w:rPr>
                <w:kern w:val="0"/>
                <w:szCs w:val="21"/>
              </w:rPr>
            </w:pPr>
            <w:r>
              <w:rPr>
                <w:kern w:val="0"/>
                <w:szCs w:val="21"/>
              </w:rPr>
              <w:t>32</w:t>
            </w:r>
          </w:p>
        </w:tc>
        <w:tc>
          <w:tcPr>
            <w:tcW w:w="531" w:type="dxa"/>
            <w:tcBorders>
              <w:top w:val="nil"/>
              <w:left w:val="nil"/>
              <w:bottom w:val="single" w:color="auto" w:sz="4" w:space="0"/>
              <w:right w:val="single" w:color="auto" w:sz="4" w:space="0"/>
            </w:tcBorders>
            <w:shd w:val="clear" w:color="auto" w:fill="auto"/>
            <w:vAlign w:val="center"/>
          </w:tcPr>
          <w:p w14:paraId="69C3BF8C">
            <w:pPr>
              <w:widowControl/>
              <w:jc w:val="center"/>
              <w:rPr>
                <w:kern w:val="0"/>
                <w:szCs w:val="21"/>
              </w:rPr>
            </w:pPr>
            <w:r>
              <w:rPr>
                <w:kern w:val="0"/>
                <w:szCs w:val="21"/>
              </w:rPr>
              <w:t>207</w:t>
            </w:r>
          </w:p>
        </w:tc>
        <w:tc>
          <w:tcPr>
            <w:tcW w:w="584" w:type="dxa"/>
            <w:tcBorders>
              <w:top w:val="nil"/>
              <w:left w:val="nil"/>
              <w:bottom w:val="single" w:color="auto" w:sz="4" w:space="0"/>
              <w:right w:val="single" w:color="auto" w:sz="4" w:space="0"/>
            </w:tcBorders>
            <w:shd w:val="clear" w:color="auto" w:fill="auto"/>
            <w:vAlign w:val="center"/>
          </w:tcPr>
          <w:p w14:paraId="65D206A1">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1AAD82BD">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2F16FCF8">
            <w:pPr>
              <w:widowControl/>
              <w:jc w:val="center"/>
              <w:rPr>
                <w:kern w:val="0"/>
                <w:szCs w:val="21"/>
              </w:rPr>
            </w:pPr>
            <w:r>
              <w:rPr>
                <w:kern w:val="0"/>
                <w:szCs w:val="21"/>
              </w:rPr>
              <w:t>62.6</w:t>
            </w:r>
          </w:p>
        </w:tc>
        <w:tc>
          <w:tcPr>
            <w:tcW w:w="584" w:type="dxa"/>
            <w:tcBorders>
              <w:top w:val="nil"/>
              <w:left w:val="nil"/>
              <w:bottom w:val="single" w:color="auto" w:sz="4" w:space="0"/>
              <w:right w:val="single" w:color="auto" w:sz="4" w:space="0"/>
            </w:tcBorders>
            <w:shd w:val="clear" w:color="auto" w:fill="auto"/>
            <w:vAlign w:val="center"/>
          </w:tcPr>
          <w:p w14:paraId="545C6EBE">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6B97B3F1">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48C64343">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383B827A">
            <w:pPr>
              <w:widowControl/>
              <w:jc w:val="center"/>
              <w:rPr>
                <w:kern w:val="0"/>
                <w:szCs w:val="21"/>
              </w:rPr>
            </w:pPr>
            <w:r>
              <w:rPr>
                <w:kern w:val="0"/>
                <w:szCs w:val="21"/>
              </w:rPr>
              <w:t>36.6</w:t>
            </w:r>
          </w:p>
        </w:tc>
        <w:tc>
          <w:tcPr>
            <w:tcW w:w="584" w:type="dxa"/>
            <w:tcBorders>
              <w:top w:val="nil"/>
              <w:left w:val="nil"/>
              <w:bottom w:val="single" w:color="auto" w:sz="4" w:space="0"/>
              <w:right w:val="single" w:color="auto" w:sz="4" w:space="0"/>
            </w:tcBorders>
            <w:shd w:val="clear" w:color="auto" w:fill="auto"/>
            <w:vAlign w:val="center"/>
          </w:tcPr>
          <w:p w14:paraId="78017F01">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4196A5C0">
            <w:pPr>
              <w:widowControl/>
              <w:jc w:val="center"/>
              <w:rPr>
                <w:kern w:val="0"/>
                <w:szCs w:val="21"/>
              </w:rPr>
            </w:pPr>
            <w:r>
              <w:rPr>
                <w:kern w:val="0"/>
                <w:szCs w:val="21"/>
              </w:rPr>
              <w:t>36.6</w:t>
            </w:r>
          </w:p>
        </w:tc>
        <w:tc>
          <w:tcPr>
            <w:tcW w:w="584" w:type="dxa"/>
            <w:tcBorders>
              <w:top w:val="nil"/>
              <w:left w:val="nil"/>
              <w:bottom w:val="single" w:color="auto" w:sz="4" w:space="0"/>
              <w:right w:val="single" w:color="auto" w:sz="4" w:space="0"/>
            </w:tcBorders>
            <w:shd w:val="clear" w:color="auto" w:fill="auto"/>
            <w:vAlign w:val="center"/>
          </w:tcPr>
          <w:p w14:paraId="6E17D354">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47189F88">
            <w:pPr>
              <w:widowControl/>
              <w:jc w:val="center"/>
              <w:rPr>
                <w:kern w:val="0"/>
                <w:szCs w:val="21"/>
              </w:rPr>
            </w:pPr>
            <w:r>
              <w:rPr>
                <w:kern w:val="0"/>
                <w:szCs w:val="21"/>
              </w:rPr>
              <w:t>1</w:t>
            </w:r>
          </w:p>
        </w:tc>
      </w:tr>
      <w:tr w14:paraId="4037DDA8">
        <w:tblPrEx>
          <w:tblCellMar>
            <w:top w:w="0" w:type="dxa"/>
            <w:left w:w="108" w:type="dxa"/>
            <w:bottom w:w="0" w:type="dxa"/>
            <w:right w:w="108" w:type="dxa"/>
          </w:tblCellMar>
        </w:tblPrEx>
        <w:trPr>
          <w:trHeight w:val="51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205693D4">
            <w:pPr>
              <w:widowControl/>
              <w:jc w:val="center"/>
              <w:rPr>
                <w:kern w:val="0"/>
                <w:szCs w:val="21"/>
              </w:rPr>
            </w:pPr>
            <w:r>
              <w:rPr>
                <w:kern w:val="0"/>
                <w:szCs w:val="21"/>
              </w:rPr>
              <w:t>13</w:t>
            </w:r>
          </w:p>
        </w:tc>
        <w:tc>
          <w:tcPr>
            <w:tcW w:w="426" w:type="dxa"/>
            <w:vMerge w:val="continue"/>
            <w:tcBorders>
              <w:top w:val="nil"/>
              <w:left w:val="single" w:color="auto" w:sz="4" w:space="0"/>
              <w:bottom w:val="single" w:color="auto" w:sz="4" w:space="0"/>
              <w:right w:val="single" w:color="auto" w:sz="4" w:space="0"/>
            </w:tcBorders>
            <w:vAlign w:val="center"/>
          </w:tcPr>
          <w:p w14:paraId="4CC1DD79">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546CD4BB">
            <w:pPr>
              <w:widowControl/>
              <w:jc w:val="center"/>
              <w:rPr>
                <w:kern w:val="0"/>
                <w:szCs w:val="21"/>
              </w:rPr>
            </w:pPr>
            <w:r>
              <w:rPr>
                <w:kern w:val="0"/>
                <w:szCs w:val="21"/>
              </w:rPr>
              <w:t>全自动抛光设备</w:t>
            </w:r>
          </w:p>
        </w:tc>
        <w:tc>
          <w:tcPr>
            <w:tcW w:w="426" w:type="dxa"/>
            <w:tcBorders>
              <w:top w:val="nil"/>
              <w:left w:val="nil"/>
              <w:bottom w:val="single" w:color="auto" w:sz="4" w:space="0"/>
              <w:right w:val="single" w:color="auto" w:sz="4" w:space="0"/>
            </w:tcBorders>
            <w:shd w:val="clear" w:color="auto" w:fill="auto"/>
            <w:vAlign w:val="center"/>
          </w:tcPr>
          <w:p w14:paraId="5FE38F7C">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21048786">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74631690">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5A6E6C1A">
            <w:pPr>
              <w:widowControl/>
              <w:jc w:val="center"/>
              <w:rPr>
                <w:kern w:val="0"/>
                <w:szCs w:val="21"/>
              </w:rPr>
            </w:pPr>
            <w:r>
              <w:rPr>
                <w:kern w:val="0"/>
                <w:szCs w:val="21"/>
              </w:rPr>
              <w:t>15</w:t>
            </w:r>
          </w:p>
        </w:tc>
        <w:tc>
          <w:tcPr>
            <w:tcW w:w="531" w:type="dxa"/>
            <w:tcBorders>
              <w:top w:val="nil"/>
              <w:left w:val="nil"/>
              <w:bottom w:val="single" w:color="auto" w:sz="4" w:space="0"/>
              <w:right w:val="single" w:color="auto" w:sz="4" w:space="0"/>
            </w:tcBorders>
            <w:shd w:val="clear" w:color="auto" w:fill="auto"/>
            <w:vAlign w:val="center"/>
          </w:tcPr>
          <w:p w14:paraId="4EDBA377">
            <w:pPr>
              <w:widowControl/>
              <w:jc w:val="center"/>
              <w:rPr>
                <w:kern w:val="0"/>
                <w:szCs w:val="21"/>
              </w:rPr>
            </w:pPr>
            <w:r>
              <w:rPr>
                <w:kern w:val="0"/>
                <w:szCs w:val="21"/>
              </w:rPr>
              <w:t>201</w:t>
            </w:r>
          </w:p>
        </w:tc>
        <w:tc>
          <w:tcPr>
            <w:tcW w:w="345" w:type="dxa"/>
            <w:tcBorders>
              <w:top w:val="nil"/>
              <w:left w:val="nil"/>
              <w:bottom w:val="single" w:color="auto" w:sz="4" w:space="0"/>
              <w:right w:val="single" w:color="auto" w:sz="4" w:space="0"/>
            </w:tcBorders>
            <w:shd w:val="clear" w:color="auto" w:fill="auto"/>
            <w:vAlign w:val="center"/>
          </w:tcPr>
          <w:p w14:paraId="3C0EF302">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55DC72E4">
            <w:pPr>
              <w:widowControl/>
              <w:jc w:val="center"/>
              <w:rPr>
                <w:kern w:val="0"/>
                <w:szCs w:val="21"/>
              </w:rPr>
            </w:pPr>
            <w:r>
              <w:rPr>
                <w:kern w:val="0"/>
                <w:szCs w:val="21"/>
              </w:rPr>
              <w:t>109</w:t>
            </w:r>
          </w:p>
        </w:tc>
        <w:tc>
          <w:tcPr>
            <w:tcW w:w="531" w:type="dxa"/>
            <w:tcBorders>
              <w:top w:val="nil"/>
              <w:left w:val="nil"/>
              <w:bottom w:val="single" w:color="auto" w:sz="4" w:space="0"/>
              <w:right w:val="single" w:color="auto" w:sz="4" w:space="0"/>
            </w:tcBorders>
            <w:shd w:val="clear" w:color="auto" w:fill="auto"/>
            <w:vAlign w:val="center"/>
          </w:tcPr>
          <w:p w14:paraId="36FA922E">
            <w:pPr>
              <w:widowControl/>
              <w:jc w:val="center"/>
              <w:rPr>
                <w:kern w:val="0"/>
                <w:szCs w:val="21"/>
              </w:rPr>
            </w:pPr>
            <w:r>
              <w:rPr>
                <w:kern w:val="0"/>
                <w:szCs w:val="21"/>
              </w:rPr>
              <w:t>201</w:t>
            </w:r>
          </w:p>
        </w:tc>
        <w:tc>
          <w:tcPr>
            <w:tcW w:w="426" w:type="dxa"/>
            <w:tcBorders>
              <w:top w:val="nil"/>
              <w:left w:val="nil"/>
              <w:bottom w:val="single" w:color="auto" w:sz="4" w:space="0"/>
              <w:right w:val="single" w:color="auto" w:sz="4" w:space="0"/>
            </w:tcBorders>
            <w:shd w:val="clear" w:color="auto" w:fill="auto"/>
            <w:vAlign w:val="center"/>
          </w:tcPr>
          <w:p w14:paraId="613EA8CF">
            <w:pPr>
              <w:widowControl/>
              <w:jc w:val="center"/>
              <w:rPr>
                <w:kern w:val="0"/>
                <w:szCs w:val="21"/>
              </w:rPr>
            </w:pPr>
            <w:r>
              <w:rPr>
                <w:kern w:val="0"/>
                <w:szCs w:val="21"/>
              </w:rPr>
              <w:t>15</w:t>
            </w:r>
          </w:p>
        </w:tc>
        <w:tc>
          <w:tcPr>
            <w:tcW w:w="531" w:type="dxa"/>
            <w:tcBorders>
              <w:top w:val="nil"/>
              <w:left w:val="nil"/>
              <w:bottom w:val="single" w:color="auto" w:sz="4" w:space="0"/>
              <w:right w:val="single" w:color="auto" w:sz="4" w:space="0"/>
            </w:tcBorders>
            <w:shd w:val="clear" w:color="auto" w:fill="auto"/>
            <w:vAlign w:val="center"/>
          </w:tcPr>
          <w:p w14:paraId="4265CDC2">
            <w:pPr>
              <w:widowControl/>
              <w:jc w:val="center"/>
              <w:rPr>
                <w:kern w:val="0"/>
                <w:szCs w:val="21"/>
              </w:rPr>
            </w:pPr>
            <w:r>
              <w:rPr>
                <w:kern w:val="0"/>
                <w:szCs w:val="21"/>
              </w:rPr>
              <w:t>240</w:t>
            </w:r>
          </w:p>
        </w:tc>
        <w:tc>
          <w:tcPr>
            <w:tcW w:w="584" w:type="dxa"/>
            <w:tcBorders>
              <w:top w:val="nil"/>
              <w:left w:val="nil"/>
              <w:bottom w:val="single" w:color="auto" w:sz="4" w:space="0"/>
              <w:right w:val="single" w:color="auto" w:sz="4" w:space="0"/>
            </w:tcBorders>
            <w:shd w:val="clear" w:color="auto" w:fill="auto"/>
            <w:vAlign w:val="center"/>
          </w:tcPr>
          <w:p w14:paraId="2806C626">
            <w:pPr>
              <w:widowControl/>
              <w:jc w:val="center"/>
              <w:rPr>
                <w:kern w:val="0"/>
                <w:szCs w:val="21"/>
              </w:rPr>
            </w:pPr>
            <w:r>
              <w:rPr>
                <w:kern w:val="0"/>
                <w:szCs w:val="21"/>
              </w:rPr>
              <w:t>60.1</w:t>
            </w:r>
          </w:p>
        </w:tc>
        <w:tc>
          <w:tcPr>
            <w:tcW w:w="584" w:type="dxa"/>
            <w:tcBorders>
              <w:top w:val="nil"/>
              <w:left w:val="nil"/>
              <w:bottom w:val="single" w:color="auto" w:sz="4" w:space="0"/>
              <w:right w:val="single" w:color="auto" w:sz="4" w:space="0"/>
            </w:tcBorders>
            <w:shd w:val="clear" w:color="auto" w:fill="auto"/>
            <w:vAlign w:val="center"/>
          </w:tcPr>
          <w:p w14:paraId="4DE54F9B">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66AC57EA">
            <w:pPr>
              <w:widowControl/>
              <w:jc w:val="center"/>
              <w:rPr>
                <w:kern w:val="0"/>
                <w:szCs w:val="21"/>
              </w:rPr>
            </w:pPr>
            <w:r>
              <w:rPr>
                <w:kern w:val="0"/>
                <w:szCs w:val="21"/>
              </w:rPr>
              <w:t>67.5</w:t>
            </w:r>
          </w:p>
        </w:tc>
        <w:tc>
          <w:tcPr>
            <w:tcW w:w="584" w:type="dxa"/>
            <w:tcBorders>
              <w:top w:val="nil"/>
              <w:left w:val="nil"/>
              <w:bottom w:val="single" w:color="auto" w:sz="4" w:space="0"/>
              <w:right w:val="single" w:color="auto" w:sz="4" w:space="0"/>
            </w:tcBorders>
            <w:shd w:val="clear" w:color="auto" w:fill="auto"/>
            <w:vAlign w:val="center"/>
          </w:tcPr>
          <w:p w14:paraId="152A8B52">
            <w:pPr>
              <w:widowControl/>
              <w:jc w:val="center"/>
              <w:rPr>
                <w:kern w:val="0"/>
                <w:szCs w:val="21"/>
              </w:rPr>
            </w:pPr>
            <w:r>
              <w:rPr>
                <w:kern w:val="0"/>
                <w:szCs w:val="21"/>
              </w:rPr>
              <w:t>58.2</w:t>
            </w:r>
          </w:p>
        </w:tc>
        <w:tc>
          <w:tcPr>
            <w:tcW w:w="636" w:type="dxa"/>
            <w:tcBorders>
              <w:top w:val="nil"/>
              <w:left w:val="nil"/>
              <w:bottom w:val="single" w:color="auto" w:sz="4" w:space="0"/>
              <w:right w:val="single" w:color="auto" w:sz="4" w:space="0"/>
            </w:tcBorders>
            <w:shd w:val="clear" w:color="auto" w:fill="auto"/>
            <w:vAlign w:val="center"/>
          </w:tcPr>
          <w:p w14:paraId="0F9F59F7">
            <w:pPr>
              <w:widowControl/>
              <w:jc w:val="center"/>
              <w:rPr>
                <w:kern w:val="0"/>
                <w:szCs w:val="21"/>
              </w:rPr>
            </w:pPr>
            <w:r>
              <w:rPr>
                <w:kern w:val="0"/>
                <w:szCs w:val="21"/>
              </w:rPr>
              <w:t>1200</w:t>
            </w:r>
          </w:p>
        </w:tc>
        <w:tc>
          <w:tcPr>
            <w:tcW w:w="788" w:type="dxa"/>
            <w:tcBorders>
              <w:top w:val="nil"/>
              <w:left w:val="nil"/>
              <w:bottom w:val="single" w:color="auto" w:sz="4" w:space="0"/>
              <w:right w:val="single" w:color="auto" w:sz="4" w:space="0"/>
            </w:tcBorders>
            <w:shd w:val="clear" w:color="auto" w:fill="auto"/>
            <w:vAlign w:val="center"/>
          </w:tcPr>
          <w:p w14:paraId="5BA26CAE">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74A3FBF6">
            <w:pPr>
              <w:widowControl/>
              <w:jc w:val="center"/>
              <w:rPr>
                <w:kern w:val="0"/>
                <w:szCs w:val="21"/>
              </w:rPr>
            </w:pPr>
            <w:r>
              <w:rPr>
                <w:kern w:val="0"/>
                <w:szCs w:val="21"/>
              </w:rPr>
              <w:t>41.5</w:t>
            </w:r>
          </w:p>
        </w:tc>
        <w:tc>
          <w:tcPr>
            <w:tcW w:w="584" w:type="dxa"/>
            <w:tcBorders>
              <w:top w:val="nil"/>
              <w:left w:val="nil"/>
              <w:bottom w:val="single" w:color="auto" w:sz="4" w:space="0"/>
              <w:right w:val="single" w:color="auto" w:sz="4" w:space="0"/>
            </w:tcBorders>
            <w:shd w:val="clear" w:color="auto" w:fill="auto"/>
            <w:vAlign w:val="center"/>
          </w:tcPr>
          <w:p w14:paraId="764E6921">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3C26A486">
            <w:pPr>
              <w:widowControl/>
              <w:jc w:val="center"/>
              <w:rPr>
                <w:kern w:val="0"/>
                <w:szCs w:val="21"/>
              </w:rPr>
            </w:pPr>
            <w:r>
              <w:rPr>
                <w:kern w:val="0"/>
                <w:szCs w:val="21"/>
              </w:rPr>
              <w:t>41.5</w:t>
            </w:r>
          </w:p>
        </w:tc>
        <w:tc>
          <w:tcPr>
            <w:tcW w:w="584" w:type="dxa"/>
            <w:tcBorders>
              <w:top w:val="nil"/>
              <w:left w:val="nil"/>
              <w:bottom w:val="single" w:color="auto" w:sz="4" w:space="0"/>
              <w:right w:val="single" w:color="auto" w:sz="4" w:space="0"/>
            </w:tcBorders>
            <w:shd w:val="clear" w:color="auto" w:fill="auto"/>
            <w:vAlign w:val="center"/>
          </w:tcPr>
          <w:p w14:paraId="39963F38">
            <w:pPr>
              <w:widowControl/>
              <w:jc w:val="center"/>
              <w:rPr>
                <w:kern w:val="0"/>
                <w:szCs w:val="21"/>
              </w:rPr>
            </w:pPr>
            <w:r>
              <w:rPr>
                <w:kern w:val="0"/>
                <w:szCs w:val="21"/>
              </w:rPr>
              <w:t>32.2</w:t>
            </w:r>
          </w:p>
        </w:tc>
        <w:tc>
          <w:tcPr>
            <w:tcW w:w="426" w:type="dxa"/>
            <w:tcBorders>
              <w:top w:val="nil"/>
              <w:left w:val="nil"/>
              <w:bottom w:val="single" w:color="auto" w:sz="4" w:space="0"/>
              <w:right w:val="single" w:color="auto" w:sz="4" w:space="0"/>
            </w:tcBorders>
            <w:shd w:val="clear" w:color="auto" w:fill="auto"/>
            <w:vAlign w:val="center"/>
          </w:tcPr>
          <w:p w14:paraId="01509752">
            <w:pPr>
              <w:widowControl/>
              <w:jc w:val="center"/>
              <w:rPr>
                <w:kern w:val="0"/>
                <w:szCs w:val="21"/>
              </w:rPr>
            </w:pPr>
            <w:r>
              <w:rPr>
                <w:kern w:val="0"/>
                <w:szCs w:val="21"/>
              </w:rPr>
              <w:t>1</w:t>
            </w:r>
          </w:p>
        </w:tc>
      </w:tr>
      <w:tr w14:paraId="3CD545D2">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47072259">
            <w:pPr>
              <w:widowControl/>
              <w:jc w:val="center"/>
              <w:rPr>
                <w:kern w:val="0"/>
                <w:szCs w:val="21"/>
              </w:rPr>
            </w:pPr>
            <w:r>
              <w:rPr>
                <w:kern w:val="0"/>
                <w:szCs w:val="21"/>
              </w:rPr>
              <w:t>14</w:t>
            </w:r>
          </w:p>
        </w:tc>
        <w:tc>
          <w:tcPr>
            <w:tcW w:w="426" w:type="dxa"/>
            <w:vMerge w:val="continue"/>
            <w:tcBorders>
              <w:top w:val="nil"/>
              <w:left w:val="single" w:color="auto" w:sz="4" w:space="0"/>
              <w:bottom w:val="single" w:color="auto" w:sz="4" w:space="0"/>
              <w:right w:val="single" w:color="auto" w:sz="4" w:space="0"/>
            </w:tcBorders>
            <w:vAlign w:val="center"/>
          </w:tcPr>
          <w:p w14:paraId="4A680939">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4B3EA8DA">
            <w:pPr>
              <w:widowControl/>
              <w:jc w:val="center"/>
              <w:rPr>
                <w:kern w:val="0"/>
                <w:szCs w:val="21"/>
              </w:rPr>
            </w:pPr>
            <w:r>
              <w:rPr>
                <w:kern w:val="0"/>
                <w:szCs w:val="21"/>
              </w:rPr>
              <w:t>大型车床</w:t>
            </w:r>
          </w:p>
        </w:tc>
        <w:tc>
          <w:tcPr>
            <w:tcW w:w="426" w:type="dxa"/>
            <w:tcBorders>
              <w:top w:val="nil"/>
              <w:left w:val="nil"/>
              <w:bottom w:val="single" w:color="auto" w:sz="4" w:space="0"/>
              <w:right w:val="single" w:color="auto" w:sz="4" w:space="0"/>
            </w:tcBorders>
            <w:shd w:val="clear" w:color="auto" w:fill="auto"/>
            <w:vAlign w:val="center"/>
          </w:tcPr>
          <w:p w14:paraId="41D6DE7D">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65153ADB">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3187B493">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1C990A6F">
            <w:pPr>
              <w:widowControl/>
              <w:jc w:val="center"/>
              <w:rPr>
                <w:kern w:val="0"/>
                <w:szCs w:val="21"/>
              </w:rPr>
            </w:pPr>
            <w:r>
              <w:rPr>
                <w:kern w:val="0"/>
                <w:szCs w:val="21"/>
              </w:rPr>
              <w:t>17</w:t>
            </w:r>
          </w:p>
        </w:tc>
        <w:tc>
          <w:tcPr>
            <w:tcW w:w="531" w:type="dxa"/>
            <w:tcBorders>
              <w:top w:val="nil"/>
              <w:left w:val="nil"/>
              <w:bottom w:val="single" w:color="auto" w:sz="4" w:space="0"/>
              <w:right w:val="single" w:color="auto" w:sz="4" w:space="0"/>
            </w:tcBorders>
            <w:shd w:val="clear" w:color="auto" w:fill="auto"/>
            <w:vAlign w:val="center"/>
          </w:tcPr>
          <w:p w14:paraId="655AE1A0">
            <w:pPr>
              <w:widowControl/>
              <w:jc w:val="center"/>
              <w:rPr>
                <w:kern w:val="0"/>
                <w:szCs w:val="21"/>
              </w:rPr>
            </w:pPr>
            <w:r>
              <w:rPr>
                <w:kern w:val="0"/>
                <w:szCs w:val="21"/>
              </w:rPr>
              <w:t>299</w:t>
            </w:r>
          </w:p>
        </w:tc>
        <w:tc>
          <w:tcPr>
            <w:tcW w:w="345" w:type="dxa"/>
            <w:tcBorders>
              <w:top w:val="nil"/>
              <w:left w:val="nil"/>
              <w:bottom w:val="single" w:color="auto" w:sz="4" w:space="0"/>
              <w:right w:val="single" w:color="auto" w:sz="4" w:space="0"/>
            </w:tcBorders>
            <w:shd w:val="clear" w:color="auto" w:fill="auto"/>
            <w:vAlign w:val="center"/>
          </w:tcPr>
          <w:p w14:paraId="61B4B2D2">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6BFCE2F1">
            <w:pPr>
              <w:widowControl/>
              <w:jc w:val="center"/>
              <w:rPr>
                <w:kern w:val="0"/>
                <w:szCs w:val="21"/>
              </w:rPr>
            </w:pPr>
            <w:r>
              <w:rPr>
                <w:kern w:val="0"/>
                <w:szCs w:val="21"/>
              </w:rPr>
              <w:t>107</w:t>
            </w:r>
          </w:p>
        </w:tc>
        <w:tc>
          <w:tcPr>
            <w:tcW w:w="531" w:type="dxa"/>
            <w:tcBorders>
              <w:top w:val="nil"/>
              <w:left w:val="nil"/>
              <w:bottom w:val="single" w:color="auto" w:sz="4" w:space="0"/>
              <w:right w:val="single" w:color="auto" w:sz="4" w:space="0"/>
            </w:tcBorders>
            <w:shd w:val="clear" w:color="auto" w:fill="auto"/>
            <w:vAlign w:val="center"/>
          </w:tcPr>
          <w:p w14:paraId="280FC32B">
            <w:pPr>
              <w:widowControl/>
              <w:jc w:val="center"/>
              <w:rPr>
                <w:kern w:val="0"/>
                <w:szCs w:val="21"/>
              </w:rPr>
            </w:pPr>
            <w:r>
              <w:rPr>
                <w:kern w:val="0"/>
                <w:szCs w:val="21"/>
              </w:rPr>
              <w:t>299</w:t>
            </w:r>
          </w:p>
        </w:tc>
        <w:tc>
          <w:tcPr>
            <w:tcW w:w="426" w:type="dxa"/>
            <w:tcBorders>
              <w:top w:val="nil"/>
              <w:left w:val="nil"/>
              <w:bottom w:val="single" w:color="auto" w:sz="4" w:space="0"/>
              <w:right w:val="single" w:color="auto" w:sz="4" w:space="0"/>
            </w:tcBorders>
            <w:shd w:val="clear" w:color="auto" w:fill="auto"/>
            <w:vAlign w:val="center"/>
          </w:tcPr>
          <w:p w14:paraId="0CD183AB">
            <w:pPr>
              <w:widowControl/>
              <w:jc w:val="center"/>
              <w:rPr>
                <w:kern w:val="0"/>
                <w:szCs w:val="21"/>
              </w:rPr>
            </w:pPr>
            <w:r>
              <w:rPr>
                <w:kern w:val="0"/>
                <w:szCs w:val="21"/>
              </w:rPr>
              <w:t>17</w:t>
            </w:r>
          </w:p>
        </w:tc>
        <w:tc>
          <w:tcPr>
            <w:tcW w:w="531" w:type="dxa"/>
            <w:tcBorders>
              <w:top w:val="nil"/>
              <w:left w:val="nil"/>
              <w:bottom w:val="single" w:color="auto" w:sz="4" w:space="0"/>
              <w:right w:val="single" w:color="auto" w:sz="4" w:space="0"/>
            </w:tcBorders>
            <w:shd w:val="clear" w:color="auto" w:fill="auto"/>
            <w:vAlign w:val="center"/>
          </w:tcPr>
          <w:p w14:paraId="4C6A3815">
            <w:pPr>
              <w:widowControl/>
              <w:jc w:val="center"/>
              <w:rPr>
                <w:kern w:val="0"/>
                <w:szCs w:val="21"/>
              </w:rPr>
            </w:pPr>
            <w:r>
              <w:rPr>
                <w:kern w:val="0"/>
                <w:szCs w:val="21"/>
              </w:rPr>
              <w:t>142</w:t>
            </w:r>
          </w:p>
        </w:tc>
        <w:tc>
          <w:tcPr>
            <w:tcW w:w="584" w:type="dxa"/>
            <w:tcBorders>
              <w:top w:val="nil"/>
              <w:left w:val="nil"/>
              <w:bottom w:val="single" w:color="auto" w:sz="4" w:space="0"/>
              <w:right w:val="single" w:color="auto" w:sz="4" w:space="0"/>
            </w:tcBorders>
            <w:shd w:val="clear" w:color="auto" w:fill="auto"/>
            <w:vAlign w:val="center"/>
          </w:tcPr>
          <w:p w14:paraId="2BF66A05">
            <w:pPr>
              <w:widowControl/>
              <w:jc w:val="center"/>
              <w:rPr>
                <w:kern w:val="0"/>
                <w:szCs w:val="21"/>
              </w:rPr>
            </w:pPr>
            <w:r>
              <w:rPr>
                <w:kern w:val="0"/>
                <w:szCs w:val="21"/>
              </w:rPr>
              <w:t>60.1</w:t>
            </w:r>
          </w:p>
        </w:tc>
        <w:tc>
          <w:tcPr>
            <w:tcW w:w="584" w:type="dxa"/>
            <w:tcBorders>
              <w:top w:val="nil"/>
              <w:left w:val="nil"/>
              <w:bottom w:val="single" w:color="auto" w:sz="4" w:space="0"/>
              <w:right w:val="single" w:color="auto" w:sz="4" w:space="0"/>
            </w:tcBorders>
            <w:shd w:val="clear" w:color="auto" w:fill="auto"/>
            <w:vAlign w:val="center"/>
          </w:tcPr>
          <w:p w14:paraId="01B56CF0">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3C9424A8">
            <w:pPr>
              <w:widowControl/>
              <w:jc w:val="center"/>
              <w:rPr>
                <w:kern w:val="0"/>
                <w:szCs w:val="21"/>
              </w:rPr>
            </w:pPr>
            <w:r>
              <w:rPr>
                <w:kern w:val="0"/>
                <w:szCs w:val="21"/>
              </w:rPr>
              <w:t>67.3</w:t>
            </w:r>
          </w:p>
        </w:tc>
        <w:tc>
          <w:tcPr>
            <w:tcW w:w="584" w:type="dxa"/>
            <w:tcBorders>
              <w:top w:val="nil"/>
              <w:left w:val="nil"/>
              <w:bottom w:val="single" w:color="auto" w:sz="4" w:space="0"/>
              <w:right w:val="single" w:color="auto" w:sz="4" w:space="0"/>
            </w:tcBorders>
            <w:shd w:val="clear" w:color="auto" w:fill="auto"/>
            <w:vAlign w:val="center"/>
          </w:tcPr>
          <w:p w14:paraId="6930AD0D">
            <w:pPr>
              <w:widowControl/>
              <w:jc w:val="center"/>
              <w:rPr>
                <w:kern w:val="0"/>
                <w:szCs w:val="21"/>
              </w:rPr>
            </w:pPr>
            <w:r>
              <w:rPr>
                <w:kern w:val="0"/>
                <w:szCs w:val="21"/>
              </w:rPr>
              <w:t>61.6</w:t>
            </w:r>
          </w:p>
        </w:tc>
        <w:tc>
          <w:tcPr>
            <w:tcW w:w="636" w:type="dxa"/>
            <w:tcBorders>
              <w:top w:val="nil"/>
              <w:left w:val="nil"/>
              <w:bottom w:val="single" w:color="auto" w:sz="4" w:space="0"/>
              <w:right w:val="single" w:color="auto" w:sz="4" w:space="0"/>
            </w:tcBorders>
            <w:shd w:val="clear" w:color="auto" w:fill="auto"/>
            <w:vAlign w:val="center"/>
          </w:tcPr>
          <w:p w14:paraId="1289AD60">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351DBB15">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483B9674">
            <w:pPr>
              <w:widowControl/>
              <w:jc w:val="center"/>
              <w:rPr>
                <w:kern w:val="0"/>
                <w:szCs w:val="21"/>
              </w:rPr>
            </w:pPr>
            <w:r>
              <w:rPr>
                <w:kern w:val="0"/>
                <w:szCs w:val="21"/>
              </w:rPr>
              <w:t>41.3</w:t>
            </w:r>
          </w:p>
        </w:tc>
        <w:tc>
          <w:tcPr>
            <w:tcW w:w="584" w:type="dxa"/>
            <w:tcBorders>
              <w:top w:val="nil"/>
              <w:left w:val="nil"/>
              <w:bottom w:val="single" w:color="auto" w:sz="4" w:space="0"/>
              <w:right w:val="single" w:color="auto" w:sz="4" w:space="0"/>
            </w:tcBorders>
            <w:shd w:val="clear" w:color="auto" w:fill="auto"/>
            <w:vAlign w:val="center"/>
          </w:tcPr>
          <w:p w14:paraId="7A4B4594">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28F7241F">
            <w:pPr>
              <w:widowControl/>
              <w:jc w:val="center"/>
              <w:rPr>
                <w:kern w:val="0"/>
                <w:szCs w:val="21"/>
              </w:rPr>
            </w:pPr>
            <w:r>
              <w:rPr>
                <w:kern w:val="0"/>
                <w:szCs w:val="21"/>
              </w:rPr>
              <w:t>41.3</w:t>
            </w:r>
          </w:p>
        </w:tc>
        <w:tc>
          <w:tcPr>
            <w:tcW w:w="584" w:type="dxa"/>
            <w:tcBorders>
              <w:top w:val="nil"/>
              <w:left w:val="nil"/>
              <w:bottom w:val="single" w:color="auto" w:sz="4" w:space="0"/>
              <w:right w:val="single" w:color="auto" w:sz="4" w:space="0"/>
            </w:tcBorders>
            <w:shd w:val="clear" w:color="auto" w:fill="auto"/>
            <w:vAlign w:val="center"/>
          </w:tcPr>
          <w:p w14:paraId="22DBBDEE">
            <w:pPr>
              <w:widowControl/>
              <w:jc w:val="center"/>
              <w:rPr>
                <w:kern w:val="0"/>
                <w:szCs w:val="21"/>
              </w:rPr>
            </w:pPr>
            <w:r>
              <w:rPr>
                <w:kern w:val="0"/>
                <w:szCs w:val="21"/>
              </w:rPr>
              <w:t>35.6</w:t>
            </w:r>
          </w:p>
        </w:tc>
        <w:tc>
          <w:tcPr>
            <w:tcW w:w="426" w:type="dxa"/>
            <w:tcBorders>
              <w:top w:val="nil"/>
              <w:left w:val="nil"/>
              <w:bottom w:val="single" w:color="auto" w:sz="4" w:space="0"/>
              <w:right w:val="single" w:color="auto" w:sz="4" w:space="0"/>
            </w:tcBorders>
            <w:shd w:val="clear" w:color="auto" w:fill="auto"/>
            <w:vAlign w:val="center"/>
          </w:tcPr>
          <w:p w14:paraId="1A8CAEDC">
            <w:pPr>
              <w:widowControl/>
              <w:jc w:val="center"/>
              <w:rPr>
                <w:kern w:val="0"/>
                <w:szCs w:val="21"/>
              </w:rPr>
            </w:pPr>
            <w:r>
              <w:rPr>
                <w:kern w:val="0"/>
                <w:szCs w:val="21"/>
              </w:rPr>
              <w:t>1</w:t>
            </w:r>
          </w:p>
        </w:tc>
      </w:tr>
      <w:tr w14:paraId="414DD160">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3393F4E4">
            <w:pPr>
              <w:widowControl/>
              <w:jc w:val="center"/>
              <w:rPr>
                <w:kern w:val="0"/>
                <w:szCs w:val="21"/>
              </w:rPr>
            </w:pPr>
            <w:r>
              <w:rPr>
                <w:kern w:val="0"/>
                <w:szCs w:val="21"/>
              </w:rPr>
              <w:t>15</w:t>
            </w:r>
          </w:p>
        </w:tc>
        <w:tc>
          <w:tcPr>
            <w:tcW w:w="426" w:type="dxa"/>
            <w:vMerge w:val="continue"/>
            <w:tcBorders>
              <w:top w:val="nil"/>
              <w:left w:val="single" w:color="auto" w:sz="4" w:space="0"/>
              <w:bottom w:val="single" w:color="auto" w:sz="4" w:space="0"/>
              <w:right w:val="single" w:color="auto" w:sz="4" w:space="0"/>
            </w:tcBorders>
            <w:vAlign w:val="center"/>
          </w:tcPr>
          <w:p w14:paraId="1D09907C">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63A6509D">
            <w:pPr>
              <w:widowControl/>
              <w:jc w:val="center"/>
              <w:rPr>
                <w:kern w:val="0"/>
                <w:szCs w:val="21"/>
              </w:rPr>
            </w:pPr>
            <w:r>
              <w:rPr>
                <w:kern w:val="0"/>
                <w:szCs w:val="21"/>
              </w:rPr>
              <w:t>镗床</w:t>
            </w:r>
          </w:p>
        </w:tc>
        <w:tc>
          <w:tcPr>
            <w:tcW w:w="426" w:type="dxa"/>
            <w:tcBorders>
              <w:top w:val="nil"/>
              <w:left w:val="nil"/>
              <w:bottom w:val="single" w:color="auto" w:sz="4" w:space="0"/>
              <w:right w:val="single" w:color="auto" w:sz="4" w:space="0"/>
            </w:tcBorders>
            <w:shd w:val="clear" w:color="auto" w:fill="auto"/>
            <w:vAlign w:val="center"/>
          </w:tcPr>
          <w:p w14:paraId="6155F56D">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540DC7C4">
            <w:pPr>
              <w:widowControl/>
              <w:jc w:val="center"/>
              <w:rPr>
                <w:kern w:val="0"/>
                <w:szCs w:val="21"/>
              </w:rPr>
            </w:pPr>
            <w:r>
              <w:rPr>
                <w:kern w:val="0"/>
                <w:szCs w:val="21"/>
              </w:rPr>
              <w:t>1</w:t>
            </w:r>
          </w:p>
        </w:tc>
        <w:tc>
          <w:tcPr>
            <w:tcW w:w="636" w:type="dxa"/>
            <w:vMerge w:val="continue"/>
            <w:tcBorders>
              <w:left w:val="single" w:color="auto" w:sz="4" w:space="0"/>
              <w:right w:val="single" w:color="auto" w:sz="4" w:space="0"/>
            </w:tcBorders>
            <w:vAlign w:val="center"/>
          </w:tcPr>
          <w:p w14:paraId="509F8C6D">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7FB421AC">
            <w:pPr>
              <w:widowControl/>
              <w:jc w:val="center"/>
              <w:rPr>
                <w:kern w:val="0"/>
                <w:szCs w:val="21"/>
              </w:rPr>
            </w:pPr>
            <w:r>
              <w:rPr>
                <w:kern w:val="0"/>
                <w:szCs w:val="21"/>
              </w:rPr>
              <w:t>21</w:t>
            </w:r>
          </w:p>
        </w:tc>
        <w:tc>
          <w:tcPr>
            <w:tcW w:w="531" w:type="dxa"/>
            <w:tcBorders>
              <w:top w:val="nil"/>
              <w:left w:val="nil"/>
              <w:bottom w:val="single" w:color="auto" w:sz="4" w:space="0"/>
              <w:right w:val="single" w:color="auto" w:sz="4" w:space="0"/>
            </w:tcBorders>
            <w:shd w:val="clear" w:color="auto" w:fill="auto"/>
            <w:vAlign w:val="center"/>
          </w:tcPr>
          <w:p w14:paraId="7ED8CBC8">
            <w:pPr>
              <w:widowControl/>
              <w:jc w:val="center"/>
              <w:rPr>
                <w:kern w:val="0"/>
                <w:szCs w:val="21"/>
              </w:rPr>
            </w:pPr>
            <w:r>
              <w:rPr>
                <w:kern w:val="0"/>
                <w:szCs w:val="21"/>
              </w:rPr>
              <w:t>296</w:t>
            </w:r>
          </w:p>
        </w:tc>
        <w:tc>
          <w:tcPr>
            <w:tcW w:w="345" w:type="dxa"/>
            <w:tcBorders>
              <w:top w:val="nil"/>
              <w:left w:val="nil"/>
              <w:bottom w:val="single" w:color="auto" w:sz="4" w:space="0"/>
              <w:right w:val="single" w:color="auto" w:sz="4" w:space="0"/>
            </w:tcBorders>
            <w:shd w:val="clear" w:color="auto" w:fill="auto"/>
            <w:vAlign w:val="center"/>
          </w:tcPr>
          <w:p w14:paraId="18B5D255">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1DC5736B">
            <w:pPr>
              <w:widowControl/>
              <w:jc w:val="center"/>
              <w:rPr>
                <w:kern w:val="0"/>
                <w:szCs w:val="21"/>
              </w:rPr>
            </w:pPr>
            <w:r>
              <w:rPr>
                <w:kern w:val="0"/>
                <w:szCs w:val="21"/>
              </w:rPr>
              <w:t>103</w:t>
            </w:r>
          </w:p>
        </w:tc>
        <w:tc>
          <w:tcPr>
            <w:tcW w:w="531" w:type="dxa"/>
            <w:tcBorders>
              <w:top w:val="nil"/>
              <w:left w:val="nil"/>
              <w:bottom w:val="single" w:color="auto" w:sz="4" w:space="0"/>
              <w:right w:val="single" w:color="auto" w:sz="4" w:space="0"/>
            </w:tcBorders>
            <w:shd w:val="clear" w:color="auto" w:fill="auto"/>
            <w:vAlign w:val="center"/>
          </w:tcPr>
          <w:p w14:paraId="268EB3B4">
            <w:pPr>
              <w:widowControl/>
              <w:jc w:val="center"/>
              <w:rPr>
                <w:kern w:val="0"/>
                <w:szCs w:val="21"/>
              </w:rPr>
            </w:pPr>
            <w:r>
              <w:rPr>
                <w:kern w:val="0"/>
                <w:szCs w:val="21"/>
              </w:rPr>
              <w:t>296</w:t>
            </w:r>
          </w:p>
        </w:tc>
        <w:tc>
          <w:tcPr>
            <w:tcW w:w="426" w:type="dxa"/>
            <w:tcBorders>
              <w:top w:val="nil"/>
              <w:left w:val="nil"/>
              <w:bottom w:val="single" w:color="auto" w:sz="4" w:space="0"/>
              <w:right w:val="single" w:color="auto" w:sz="4" w:space="0"/>
            </w:tcBorders>
            <w:shd w:val="clear" w:color="auto" w:fill="auto"/>
            <w:vAlign w:val="center"/>
          </w:tcPr>
          <w:p w14:paraId="1939A4A3">
            <w:pPr>
              <w:widowControl/>
              <w:jc w:val="center"/>
              <w:rPr>
                <w:kern w:val="0"/>
                <w:szCs w:val="21"/>
              </w:rPr>
            </w:pPr>
            <w:r>
              <w:rPr>
                <w:kern w:val="0"/>
                <w:szCs w:val="21"/>
              </w:rPr>
              <w:t>21</w:t>
            </w:r>
          </w:p>
        </w:tc>
        <w:tc>
          <w:tcPr>
            <w:tcW w:w="531" w:type="dxa"/>
            <w:tcBorders>
              <w:top w:val="nil"/>
              <w:left w:val="nil"/>
              <w:bottom w:val="single" w:color="auto" w:sz="4" w:space="0"/>
              <w:right w:val="single" w:color="auto" w:sz="4" w:space="0"/>
            </w:tcBorders>
            <w:shd w:val="clear" w:color="auto" w:fill="auto"/>
            <w:vAlign w:val="center"/>
          </w:tcPr>
          <w:p w14:paraId="18E68169">
            <w:pPr>
              <w:widowControl/>
              <w:jc w:val="center"/>
              <w:rPr>
                <w:kern w:val="0"/>
                <w:szCs w:val="21"/>
              </w:rPr>
            </w:pPr>
            <w:r>
              <w:rPr>
                <w:kern w:val="0"/>
                <w:szCs w:val="21"/>
              </w:rPr>
              <w:t>145</w:t>
            </w:r>
          </w:p>
        </w:tc>
        <w:tc>
          <w:tcPr>
            <w:tcW w:w="584" w:type="dxa"/>
            <w:tcBorders>
              <w:top w:val="nil"/>
              <w:left w:val="nil"/>
              <w:bottom w:val="single" w:color="auto" w:sz="4" w:space="0"/>
              <w:right w:val="single" w:color="auto" w:sz="4" w:space="0"/>
            </w:tcBorders>
            <w:shd w:val="clear" w:color="auto" w:fill="auto"/>
            <w:vAlign w:val="center"/>
          </w:tcPr>
          <w:p w14:paraId="2AB2AC84">
            <w:pPr>
              <w:widowControl/>
              <w:jc w:val="center"/>
              <w:rPr>
                <w:kern w:val="0"/>
                <w:szCs w:val="21"/>
              </w:rPr>
            </w:pPr>
            <w:r>
              <w:rPr>
                <w:kern w:val="0"/>
                <w:szCs w:val="21"/>
              </w:rPr>
              <w:t>60.2</w:t>
            </w:r>
          </w:p>
        </w:tc>
        <w:tc>
          <w:tcPr>
            <w:tcW w:w="584" w:type="dxa"/>
            <w:tcBorders>
              <w:top w:val="nil"/>
              <w:left w:val="nil"/>
              <w:bottom w:val="single" w:color="auto" w:sz="4" w:space="0"/>
              <w:right w:val="single" w:color="auto" w:sz="4" w:space="0"/>
            </w:tcBorders>
            <w:shd w:val="clear" w:color="auto" w:fill="auto"/>
            <w:vAlign w:val="center"/>
          </w:tcPr>
          <w:p w14:paraId="72EAC8CB">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1F08E536">
            <w:pPr>
              <w:widowControl/>
              <w:jc w:val="center"/>
              <w:rPr>
                <w:kern w:val="0"/>
                <w:szCs w:val="21"/>
              </w:rPr>
            </w:pPr>
            <w:r>
              <w:rPr>
                <w:kern w:val="0"/>
                <w:szCs w:val="21"/>
              </w:rPr>
              <w:t>66.4</w:t>
            </w:r>
          </w:p>
        </w:tc>
        <w:tc>
          <w:tcPr>
            <w:tcW w:w="584" w:type="dxa"/>
            <w:tcBorders>
              <w:top w:val="nil"/>
              <w:left w:val="nil"/>
              <w:bottom w:val="single" w:color="auto" w:sz="4" w:space="0"/>
              <w:right w:val="single" w:color="auto" w:sz="4" w:space="0"/>
            </w:tcBorders>
            <w:shd w:val="clear" w:color="auto" w:fill="auto"/>
            <w:vAlign w:val="center"/>
          </w:tcPr>
          <w:p w14:paraId="4107A197">
            <w:pPr>
              <w:widowControl/>
              <w:jc w:val="center"/>
              <w:rPr>
                <w:kern w:val="0"/>
                <w:szCs w:val="21"/>
              </w:rPr>
            </w:pPr>
            <w:r>
              <w:rPr>
                <w:kern w:val="0"/>
                <w:szCs w:val="21"/>
              </w:rPr>
              <w:t>61.5</w:t>
            </w:r>
          </w:p>
        </w:tc>
        <w:tc>
          <w:tcPr>
            <w:tcW w:w="636" w:type="dxa"/>
            <w:tcBorders>
              <w:top w:val="nil"/>
              <w:left w:val="nil"/>
              <w:bottom w:val="single" w:color="auto" w:sz="4" w:space="0"/>
              <w:right w:val="single" w:color="auto" w:sz="4" w:space="0"/>
            </w:tcBorders>
            <w:shd w:val="clear" w:color="auto" w:fill="auto"/>
            <w:vAlign w:val="center"/>
          </w:tcPr>
          <w:p w14:paraId="3B4FDD70">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797659D5">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7915EDB3">
            <w:pPr>
              <w:widowControl/>
              <w:jc w:val="center"/>
              <w:rPr>
                <w:kern w:val="0"/>
                <w:szCs w:val="21"/>
              </w:rPr>
            </w:pPr>
            <w:r>
              <w:rPr>
                <w:kern w:val="0"/>
                <w:szCs w:val="21"/>
              </w:rPr>
              <w:t>40.4</w:t>
            </w:r>
          </w:p>
        </w:tc>
        <w:tc>
          <w:tcPr>
            <w:tcW w:w="584" w:type="dxa"/>
            <w:tcBorders>
              <w:top w:val="nil"/>
              <w:left w:val="nil"/>
              <w:bottom w:val="single" w:color="auto" w:sz="4" w:space="0"/>
              <w:right w:val="single" w:color="auto" w:sz="4" w:space="0"/>
            </w:tcBorders>
            <w:shd w:val="clear" w:color="auto" w:fill="auto"/>
            <w:vAlign w:val="center"/>
          </w:tcPr>
          <w:p w14:paraId="4BA44295">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7E8A1631">
            <w:pPr>
              <w:widowControl/>
              <w:jc w:val="center"/>
              <w:rPr>
                <w:kern w:val="0"/>
                <w:szCs w:val="21"/>
              </w:rPr>
            </w:pPr>
            <w:r>
              <w:rPr>
                <w:kern w:val="0"/>
                <w:szCs w:val="21"/>
              </w:rPr>
              <w:t>40.4</w:t>
            </w:r>
          </w:p>
        </w:tc>
        <w:tc>
          <w:tcPr>
            <w:tcW w:w="584" w:type="dxa"/>
            <w:tcBorders>
              <w:top w:val="nil"/>
              <w:left w:val="nil"/>
              <w:bottom w:val="single" w:color="auto" w:sz="4" w:space="0"/>
              <w:right w:val="single" w:color="auto" w:sz="4" w:space="0"/>
            </w:tcBorders>
            <w:shd w:val="clear" w:color="auto" w:fill="auto"/>
            <w:vAlign w:val="center"/>
          </w:tcPr>
          <w:p w14:paraId="0EE2DCC7">
            <w:pPr>
              <w:widowControl/>
              <w:jc w:val="center"/>
              <w:rPr>
                <w:kern w:val="0"/>
                <w:szCs w:val="21"/>
              </w:rPr>
            </w:pPr>
            <w:r>
              <w:rPr>
                <w:kern w:val="0"/>
                <w:szCs w:val="21"/>
              </w:rPr>
              <w:t>35.5</w:t>
            </w:r>
          </w:p>
        </w:tc>
        <w:tc>
          <w:tcPr>
            <w:tcW w:w="426" w:type="dxa"/>
            <w:tcBorders>
              <w:top w:val="nil"/>
              <w:left w:val="nil"/>
              <w:bottom w:val="single" w:color="auto" w:sz="4" w:space="0"/>
              <w:right w:val="single" w:color="auto" w:sz="4" w:space="0"/>
            </w:tcBorders>
            <w:shd w:val="clear" w:color="auto" w:fill="auto"/>
            <w:vAlign w:val="center"/>
          </w:tcPr>
          <w:p w14:paraId="1AED7485">
            <w:pPr>
              <w:widowControl/>
              <w:jc w:val="center"/>
              <w:rPr>
                <w:kern w:val="0"/>
                <w:szCs w:val="21"/>
              </w:rPr>
            </w:pPr>
            <w:r>
              <w:rPr>
                <w:kern w:val="0"/>
                <w:szCs w:val="21"/>
              </w:rPr>
              <w:t>1</w:t>
            </w:r>
          </w:p>
        </w:tc>
      </w:tr>
      <w:tr w14:paraId="2F115EC4">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762AE7DC">
            <w:pPr>
              <w:widowControl/>
              <w:jc w:val="center"/>
              <w:rPr>
                <w:kern w:val="0"/>
                <w:szCs w:val="21"/>
              </w:rPr>
            </w:pPr>
            <w:r>
              <w:rPr>
                <w:kern w:val="0"/>
                <w:szCs w:val="21"/>
              </w:rPr>
              <w:t>16</w:t>
            </w:r>
          </w:p>
        </w:tc>
        <w:tc>
          <w:tcPr>
            <w:tcW w:w="426" w:type="dxa"/>
            <w:vMerge w:val="continue"/>
            <w:tcBorders>
              <w:top w:val="nil"/>
              <w:left w:val="single" w:color="auto" w:sz="4" w:space="0"/>
              <w:bottom w:val="single" w:color="auto" w:sz="4" w:space="0"/>
              <w:right w:val="single" w:color="auto" w:sz="4" w:space="0"/>
            </w:tcBorders>
            <w:vAlign w:val="center"/>
          </w:tcPr>
          <w:p w14:paraId="60AD36F3">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416BC0C7">
            <w:pPr>
              <w:widowControl/>
              <w:jc w:val="center"/>
              <w:rPr>
                <w:kern w:val="0"/>
                <w:szCs w:val="21"/>
              </w:rPr>
            </w:pPr>
            <w:r>
              <w:rPr>
                <w:kern w:val="0"/>
                <w:szCs w:val="21"/>
              </w:rPr>
              <w:t>铣床</w:t>
            </w:r>
          </w:p>
        </w:tc>
        <w:tc>
          <w:tcPr>
            <w:tcW w:w="426" w:type="dxa"/>
            <w:tcBorders>
              <w:top w:val="nil"/>
              <w:left w:val="nil"/>
              <w:bottom w:val="single" w:color="auto" w:sz="4" w:space="0"/>
              <w:right w:val="single" w:color="auto" w:sz="4" w:space="0"/>
            </w:tcBorders>
            <w:shd w:val="clear" w:color="auto" w:fill="auto"/>
            <w:vAlign w:val="center"/>
          </w:tcPr>
          <w:p w14:paraId="6A266BB0">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028C3DB3">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2114ACD4">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3BE3543F">
            <w:pPr>
              <w:widowControl/>
              <w:jc w:val="center"/>
              <w:rPr>
                <w:kern w:val="0"/>
                <w:szCs w:val="21"/>
              </w:rPr>
            </w:pPr>
            <w:r>
              <w:rPr>
                <w:kern w:val="0"/>
                <w:szCs w:val="21"/>
              </w:rPr>
              <w:t>20</w:t>
            </w:r>
          </w:p>
        </w:tc>
        <w:tc>
          <w:tcPr>
            <w:tcW w:w="531" w:type="dxa"/>
            <w:tcBorders>
              <w:top w:val="nil"/>
              <w:left w:val="nil"/>
              <w:bottom w:val="single" w:color="auto" w:sz="4" w:space="0"/>
              <w:right w:val="single" w:color="auto" w:sz="4" w:space="0"/>
            </w:tcBorders>
            <w:shd w:val="clear" w:color="auto" w:fill="auto"/>
            <w:vAlign w:val="center"/>
          </w:tcPr>
          <w:p w14:paraId="4AC4E9FB">
            <w:pPr>
              <w:widowControl/>
              <w:jc w:val="center"/>
              <w:rPr>
                <w:kern w:val="0"/>
                <w:szCs w:val="21"/>
              </w:rPr>
            </w:pPr>
            <w:r>
              <w:rPr>
                <w:kern w:val="0"/>
                <w:szCs w:val="21"/>
              </w:rPr>
              <w:t>290</w:t>
            </w:r>
          </w:p>
        </w:tc>
        <w:tc>
          <w:tcPr>
            <w:tcW w:w="345" w:type="dxa"/>
            <w:tcBorders>
              <w:top w:val="nil"/>
              <w:left w:val="nil"/>
              <w:bottom w:val="single" w:color="auto" w:sz="4" w:space="0"/>
              <w:right w:val="single" w:color="auto" w:sz="4" w:space="0"/>
            </w:tcBorders>
            <w:shd w:val="clear" w:color="auto" w:fill="auto"/>
            <w:vAlign w:val="center"/>
          </w:tcPr>
          <w:p w14:paraId="5CF998B5">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267F7BA0">
            <w:pPr>
              <w:widowControl/>
              <w:jc w:val="center"/>
              <w:rPr>
                <w:kern w:val="0"/>
                <w:szCs w:val="21"/>
              </w:rPr>
            </w:pPr>
            <w:r>
              <w:rPr>
                <w:kern w:val="0"/>
                <w:szCs w:val="21"/>
              </w:rPr>
              <w:t>104</w:t>
            </w:r>
          </w:p>
        </w:tc>
        <w:tc>
          <w:tcPr>
            <w:tcW w:w="531" w:type="dxa"/>
            <w:tcBorders>
              <w:top w:val="nil"/>
              <w:left w:val="nil"/>
              <w:bottom w:val="single" w:color="auto" w:sz="4" w:space="0"/>
              <w:right w:val="single" w:color="auto" w:sz="4" w:space="0"/>
            </w:tcBorders>
            <w:shd w:val="clear" w:color="auto" w:fill="auto"/>
            <w:vAlign w:val="center"/>
          </w:tcPr>
          <w:p w14:paraId="023BB380">
            <w:pPr>
              <w:widowControl/>
              <w:jc w:val="center"/>
              <w:rPr>
                <w:kern w:val="0"/>
                <w:szCs w:val="21"/>
              </w:rPr>
            </w:pPr>
            <w:r>
              <w:rPr>
                <w:kern w:val="0"/>
                <w:szCs w:val="21"/>
              </w:rPr>
              <w:t>290</w:t>
            </w:r>
          </w:p>
        </w:tc>
        <w:tc>
          <w:tcPr>
            <w:tcW w:w="426" w:type="dxa"/>
            <w:tcBorders>
              <w:top w:val="nil"/>
              <w:left w:val="nil"/>
              <w:bottom w:val="single" w:color="auto" w:sz="4" w:space="0"/>
              <w:right w:val="single" w:color="auto" w:sz="4" w:space="0"/>
            </w:tcBorders>
            <w:shd w:val="clear" w:color="auto" w:fill="auto"/>
            <w:vAlign w:val="center"/>
          </w:tcPr>
          <w:p w14:paraId="47DB6433">
            <w:pPr>
              <w:widowControl/>
              <w:jc w:val="center"/>
              <w:rPr>
                <w:kern w:val="0"/>
                <w:szCs w:val="21"/>
              </w:rPr>
            </w:pPr>
            <w:r>
              <w:rPr>
                <w:kern w:val="0"/>
                <w:szCs w:val="21"/>
              </w:rPr>
              <w:t>20</w:t>
            </w:r>
          </w:p>
        </w:tc>
        <w:tc>
          <w:tcPr>
            <w:tcW w:w="531" w:type="dxa"/>
            <w:tcBorders>
              <w:top w:val="nil"/>
              <w:left w:val="nil"/>
              <w:bottom w:val="single" w:color="auto" w:sz="4" w:space="0"/>
              <w:right w:val="single" w:color="auto" w:sz="4" w:space="0"/>
            </w:tcBorders>
            <w:shd w:val="clear" w:color="auto" w:fill="auto"/>
            <w:vAlign w:val="center"/>
          </w:tcPr>
          <w:p w14:paraId="5CEEB324">
            <w:pPr>
              <w:widowControl/>
              <w:jc w:val="center"/>
              <w:rPr>
                <w:kern w:val="0"/>
                <w:szCs w:val="21"/>
              </w:rPr>
            </w:pPr>
            <w:r>
              <w:rPr>
                <w:kern w:val="0"/>
                <w:szCs w:val="21"/>
              </w:rPr>
              <w:t>151</w:t>
            </w:r>
          </w:p>
        </w:tc>
        <w:tc>
          <w:tcPr>
            <w:tcW w:w="584" w:type="dxa"/>
            <w:tcBorders>
              <w:top w:val="nil"/>
              <w:left w:val="nil"/>
              <w:bottom w:val="single" w:color="auto" w:sz="4" w:space="0"/>
              <w:right w:val="single" w:color="auto" w:sz="4" w:space="0"/>
            </w:tcBorders>
            <w:shd w:val="clear" w:color="auto" w:fill="auto"/>
            <w:vAlign w:val="center"/>
          </w:tcPr>
          <w:p w14:paraId="6590E768">
            <w:pPr>
              <w:widowControl/>
              <w:jc w:val="center"/>
              <w:rPr>
                <w:kern w:val="0"/>
                <w:szCs w:val="21"/>
              </w:rPr>
            </w:pPr>
            <w:r>
              <w:rPr>
                <w:kern w:val="0"/>
                <w:szCs w:val="21"/>
              </w:rPr>
              <w:t>60.2</w:t>
            </w:r>
          </w:p>
        </w:tc>
        <w:tc>
          <w:tcPr>
            <w:tcW w:w="584" w:type="dxa"/>
            <w:tcBorders>
              <w:top w:val="nil"/>
              <w:left w:val="nil"/>
              <w:bottom w:val="single" w:color="auto" w:sz="4" w:space="0"/>
              <w:right w:val="single" w:color="auto" w:sz="4" w:space="0"/>
            </w:tcBorders>
            <w:shd w:val="clear" w:color="auto" w:fill="auto"/>
            <w:vAlign w:val="center"/>
          </w:tcPr>
          <w:p w14:paraId="751A2646">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7B0F6419">
            <w:pPr>
              <w:widowControl/>
              <w:jc w:val="center"/>
              <w:rPr>
                <w:kern w:val="0"/>
                <w:szCs w:val="21"/>
              </w:rPr>
            </w:pPr>
            <w:r>
              <w:rPr>
                <w:kern w:val="0"/>
                <w:szCs w:val="21"/>
              </w:rPr>
              <w:t>66.4</w:t>
            </w:r>
          </w:p>
        </w:tc>
        <w:tc>
          <w:tcPr>
            <w:tcW w:w="584" w:type="dxa"/>
            <w:tcBorders>
              <w:top w:val="nil"/>
              <w:left w:val="nil"/>
              <w:bottom w:val="single" w:color="auto" w:sz="4" w:space="0"/>
              <w:right w:val="single" w:color="auto" w:sz="4" w:space="0"/>
            </w:tcBorders>
            <w:shd w:val="clear" w:color="auto" w:fill="auto"/>
            <w:vAlign w:val="center"/>
          </w:tcPr>
          <w:p w14:paraId="202CE236">
            <w:pPr>
              <w:widowControl/>
              <w:jc w:val="center"/>
              <w:rPr>
                <w:kern w:val="0"/>
                <w:szCs w:val="21"/>
              </w:rPr>
            </w:pPr>
            <w:r>
              <w:rPr>
                <w:kern w:val="0"/>
                <w:szCs w:val="21"/>
              </w:rPr>
              <w:t>61.5</w:t>
            </w:r>
          </w:p>
        </w:tc>
        <w:tc>
          <w:tcPr>
            <w:tcW w:w="636" w:type="dxa"/>
            <w:tcBorders>
              <w:top w:val="nil"/>
              <w:left w:val="nil"/>
              <w:bottom w:val="single" w:color="auto" w:sz="4" w:space="0"/>
              <w:right w:val="single" w:color="auto" w:sz="4" w:space="0"/>
            </w:tcBorders>
            <w:shd w:val="clear" w:color="auto" w:fill="auto"/>
            <w:vAlign w:val="center"/>
          </w:tcPr>
          <w:p w14:paraId="1E5FADB7">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2E7C7BED">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62455A8D">
            <w:pPr>
              <w:widowControl/>
              <w:jc w:val="center"/>
              <w:rPr>
                <w:kern w:val="0"/>
                <w:szCs w:val="21"/>
              </w:rPr>
            </w:pPr>
            <w:r>
              <w:rPr>
                <w:kern w:val="0"/>
                <w:szCs w:val="21"/>
              </w:rPr>
              <w:t>40.4</w:t>
            </w:r>
          </w:p>
        </w:tc>
        <w:tc>
          <w:tcPr>
            <w:tcW w:w="584" w:type="dxa"/>
            <w:tcBorders>
              <w:top w:val="nil"/>
              <w:left w:val="nil"/>
              <w:bottom w:val="single" w:color="auto" w:sz="4" w:space="0"/>
              <w:right w:val="single" w:color="auto" w:sz="4" w:space="0"/>
            </w:tcBorders>
            <w:shd w:val="clear" w:color="auto" w:fill="auto"/>
            <w:vAlign w:val="center"/>
          </w:tcPr>
          <w:p w14:paraId="5D596EF4">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33F50F0E">
            <w:pPr>
              <w:widowControl/>
              <w:jc w:val="center"/>
              <w:rPr>
                <w:kern w:val="0"/>
                <w:szCs w:val="21"/>
              </w:rPr>
            </w:pPr>
            <w:r>
              <w:rPr>
                <w:kern w:val="0"/>
                <w:szCs w:val="21"/>
              </w:rPr>
              <w:t>40.4</w:t>
            </w:r>
          </w:p>
        </w:tc>
        <w:tc>
          <w:tcPr>
            <w:tcW w:w="584" w:type="dxa"/>
            <w:tcBorders>
              <w:top w:val="nil"/>
              <w:left w:val="nil"/>
              <w:bottom w:val="single" w:color="auto" w:sz="4" w:space="0"/>
              <w:right w:val="single" w:color="auto" w:sz="4" w:space="0"/>
            </w:tcBorders>
            <w:shd w:val="clear" w:color="auto" w:fill="auto"/>
            <w:vAlign w:val="center"/>
          </w:tcPr>
          <w:p w14:paraId="1EC9C4AD">
            <w:pPr>
              <w:widowControl/>
              <w:jc w:val="center"/>
              <w:rPr>
                <w:kern w:val="0"/>
                <w:szCs w:val="21"/>
              </w:rPr>
            </w:pPr>
            <w:r>
              <w:rPr>
                <w:kern w:val="0"/>
                <w:szCs w:val="21"/>
              </w:rPr>
              <w:t>35.5</w:t>
            </w:r>
          </w:p>
        </w:tc>
        <w:tc>
          <w:tcPr>
            <w:tcW w:w="426" w:type="dxa"/>
            <w:tcBorders>
              <w:top w:val="nil"/>
              <w:left w:val="nil"/>
              <w:bottom w:val="single" w:color="auto" w:sz="4" w:space="0"/>
              <w:right w:val="single" w:color="auto" w:sz="4" w:space="0"/>
            </w:tcBorders>
            <w:shd w:val="clear" w:color="auto" w:fill="auto"/>
            <w:vAlign w:val="center"/>
          </w:tcPr>
          <w:p w14:paraId="4466A6C5">
            <w:pPr>
              <w:widowControl/>
              <w:jc w:val="center"/>
              <w:rPr>
                <w:kern w:val="0"/>
                <w:szCs w:val="21"/>
              </w:rPr>
            </w:pPr>
            <w:r>
              <w:rPr>
                <w:kern w:val="0"/>
                <w:szCs w:val="21"/>
              </w:rPr>
              <w:t>1</w:t>
            </w:r>
          </w:p>
        </w:tc>
      </w:tr>
      <w:tr w14:paraId="34ADBEF9">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55621B7B">
            <w:pPr>
              <w:widowControl/>
              <w:jc w:val="center"/>
              <w:rPr>
                <w:kern w:val="0"/>
                <w:szCs w:val="21"/>
              </w:rPr>
            </w:pPr>
            <w:r>
              <w:rPr>
                <w:kern w:val="0"/>
                <w:szCs w:val="21"/>
              </w:rPr>
              <w:t>17</w:t>
            </w:r>
          </w:p>
        </w:tc>
        <w:tc>
          <w:tcPr>
            <w:tcW w:w="426" w:type="dxa"/>
            <w:vMerge w:val="continue"/>
            <w:tcBorders>
              <w:top w:val="nil"/>
              <w:left w:val="single" w:color="auto" w:sz="4" w:space="0"/>
              <w:bottom w:val="single" w:color="auto" w:sz="4" w:space="0"/>
              <w:right w:val="single" w:color="auto" w:sz="4" w:space="0"/>
            </w:tcBorders>
            <w:vAlign w:val="center"/>
          </w:tcPr>
          <w:p w14:paraId="5426EB21">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7C0C9FF0">
            <w:pPr>
              <w:widowControl/>
              <w:jc w:val="center"/>
              <w:rPr>
                <w:kern w:val="0"/>
                <w:szCs w:val="21"/>
              </w:rPr>
            </w:pPr>
            <w:r>
              <w:rPr>
                <w:kern w:val="0"/>
                <w:szCs w:val="21"/>
              </w:rPr>
              <w:t>手动激光焊</w:t>
            </w:r>
          </w:p>
        </w:tc>
        <w:tc>
          <w:tcPr>
            <w:tcW w:w="426" w:type="dxa"/>
            <w:tcBorders>
              <w:top w:val="nil"/>
              <w:left w:val="nil"/>
              <w:bottom w:val="single" w:color="auto" w:sz="4" w:space="0"/>
              <w:right w:val="single" w:color="auto" w:sz="4" w:space="0"/>
            </w:tcBorders>
            <w:shd w:val="clear" w:color="auto" w:fill="auto"/>
            <w:vAlign w:val="center"/>
          </w:tcPr>
          <w:p w14:paraId="4FD5A363">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6A637D45">
            <w:pPr>
              <w:widowControl/>
              <w:jc w:val="center"/>
              <w:rPr>
                <w:kern w:val="0"/>
                <w:szCs w:val="21"/>
              </w:rPr>
            </w:pPr>
            <w:r>
              <w:rPr>
                <w:kern w:val="0"/>
                <w:szCs w:val="21"/>
              </w:rPr>
              <w:t>6</w:t>
            </w:r>
          </w:p>
        </w:tc>
        <w:tc>
          <w:tcPr>
            <w:tcW w:w="636" w:type="dxa"/>
            <w:vMerge w:val="continue"/>
            <w:tcBorders>
              <w:left w:val="single" w:color="auto" w:sz="4" w:space="0"/>
              <w:right w:val="single" w:color="auto" w:sz="4" w:space="0"/>
            </w:tcBorders>
            <w:vAlign w:val="center"/>
          </w:tcPr>
          <w:p w14:paraId="1F298465">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1FD7D93E">
            <w:pPr>
              <w:widowControl/>
              <w:jc w:val="center"/>
              <w:rPr>
                <w:kern w:val="0"/>
                <w:szCs w:val="21"/>
              </w:rPr>
            </w:pPr>
            <w:r>
              <w:rPr>
                <w:kern w:val="0"/>
                <w:szCs w:val="21"/>
              </w:rPr>
              <w:t>25</w:t>
            </w:r>
          </w:p>
        </w:tc>
        <w:tc>
          <w:tcPr>
            <w:tcW w:w="531" w:type="dxa"/>
            <w:tcBorders>
              <w:top w:val="nil"/>
              <w:left w:val="nil"/>
              <w:bottom w:val="single" w:color="auto" w:sz="4" w:space="0"/>
              <w:right w:val="single" w:color="auto" w:sz="4" w:space="0"/>
            </w:tcBorders>
            <w:shd w:val="clear" w:color="auto" w:fill="auto"/>
            <w:vAlign w:val="center"/>
          </w:tcPr>
          <w:p w14:paraId="2136ED4E">
            <w:pPr>
              <w:widowControl/>
              <w:jc w:val="center"/>
              <w:rPr>
                <w:kern w:val="0"/>
                <w:szCs w:val="21"/>
              </w:rPr>
            </w:pPr>
            <w:r>
              <w:rPr>
                <w:kern w:val="0"/>
                <w:szCs w:val="21"/>
              </w:rPr>
              <w:t>228</w:t>
            </w:r>
          </w:p>
        </w:tc>
        <w:tc>
          <w:tcPr>
            <w:tcW w:w="345" w:type="dxa"/>
            <w:tcBorders>
              <w:top w:val="nil"/>
              <w:left w:val="nil"/>
              <w:bottom w:val="single" w:color="auto" w:sz="4" w:space="0"/>
              <w:right w:val="single" w:color="auto" w:sz="4" w:space="0"/>
            </w:tcBorders>
            <w:shd w:val="clear" w:color="auto" w:fill="auto"/>
            <w:vAlign w:val="center"/>
          </w:tcPr>
          <w:p w14:paraId="73328EF2">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431B9336">
            <w:pPr>
              <w:widowControl/>
              <w:jc w:val="center"/>
              <w:rPr>
                <w:kern w:val="0"/>
                <w:szCs w:val="21"/>
              </w:rPr>
            </w:pPr>
            <w:r>
              <w:rPr>
                <w:kern w:val="0"/>
                <w:szCs w:val="21"/>
              </w:rPr>
              <w:t>99</w:t>
            </w:r>
          </w:p>
        </w:tc>
        <w:tc>
          <w:tcPr>
            <w:tcW w:w="531" w:type="dxa"/>
            <w:tcBorders>
              <w:top w:val="nil"/>
              <w:left w:val="nil"/>
              <w:bottom w:val="single" w:color="auto" w:sz="4" w:space="0"/>
              <w:right w:val="single" w:color="auto" w:sz="4" w:space="0"/>
            </w:tcBorders>
            <w:shd w:val="clear" w:color="auto" w:fill="auto"/>
            <w:vAlign w:val="center"/>
          </w:tcPr>
          <w:p w14:paraId="09B9C975">
            <w:pPr>
              <w:widowControl/>
              <w:jc w:val="center"/>
              <w:rPr>
                <w:kern w:val="0"/>
                <w:szCs w:val="21"/>
              </w:rPr>
            </w:pPr>
            <w:r>
              <w:rPr>
                <w:kern w:val="0"/>
                <w:szCs w:val="21"/>
              </w:rPr>
              <w:t>228</w:t>
            </w:r>
          </w:p>
        </w:tc>
        <w:tc>
          <w:tcPr>
            <w:tcW w:w="426" w:type="dxa"/>
            <w:tcBorders>
              <w:top w:val="nil"/>
              <w:left w:val="nil"/>
              <w:bottom w:val="single" w:color="auto" w:sz="4" w:space="0"/>
              <w:right w:val="single" w:color="auto" w:sz="4" w:space="0"/>
            </w:tcBorders>
            <w:shd w:val="clear" w:color="auto" w:fill="auto"/>
            <w:vAlign w:val="center"/>
          </w:tcPr>
          <w:p w14:paraId="1378AE70">
            <w:pPr>
              <w:widowControl/>
              <w:jc w:val="center"/>
              <w:rPr>
                <w:kern w:val="0"/>
                <w:szCs w:val="21"/>
              </w:rPr>
            </w:pPr>
            <w:r>
              <w:rPr>
                <w:kern w:val="0"/>
                <w:szCs w:val="21"/>
              </w:rPr>
              <w:t>25</w:t>
            </w:r>
          </w:p>
        </w:tc>
        <w:tc>
          <w:tcPr>
            <w:tcW w:w="531" w:type="dxa"/>
            <w:tcBorders>
              <w:top w:val="nil"/>
              <w:left w:val="nil"/>
              <w:bottom w:val="single" w:color="auto" w:sz="4" w:space="0"/>
              <w:right w:val="single" w:color="auto" w:sz="4" w:space="0"/>
            </w:tcBorders>
            <w:shd w:val="clear" w:color="auto" w:fill="auto"/>
            <w:vAlign w:val="center"/>
          </w:tcPr>
          <w:p w14:paraId="2EBBB1E4">
            <w:pPr>
              <w:widowControl/>
              <w:jc w:val="center"/>
              <w:rPr>
                <w:kern w:val="0"/>
                <w:szCs w:val="21"/>
              </w:rPr>
            </w:pPr>
            <w:r>
              <w:rPr>
                <w:kern w:val="0"/>
                <w:szCs w:val="21"/>
              </w:rPr>
              <w:t>213</w:t>
            </w:r>
          </w:p>
        </w:tc>
        <w:tc>
          <w:tcPr>
            <w:tcW w:w="584" w:type="dxa"/>
            <w:tcBorders>
              <w:top w:val="nil"/>
              <w:left w:val="nil"/>
              <w:bottom w:val="single" w:color="auto" w:sz="4" w:space="0"/>
              <w:right w:val="single" w:color="auto" w:sz="4" w:space="0"/>
            </w:tcBorders>
            <w:shd w:val="clear" w:color="auto" w:fill="auto"/>
            <w:vAlign w:val="center"/>
          </w:tcPr>
          <w:p w14:paraId="23DF9A27">
            <w:pPr>
              <w:widowControl/>
              <w:jc w:val="center"/>
              <w:rPr>
                <w:kern w:val="0"/>
                <w:szCs w:val="21"/>
              </w:rPr>
            </w:pPr>
            <w:r>
              <w:rPr>
                <w:kern w:val="0"/>
                <w:szCs w:val="21"/>
              </w:rPr>
              <w:t>60.5</w:t>
            </w:r>
          </w:p>
        </w:tc>
        <w:tc>
          <w:tcPr>
            <w:tcW w:w="584" w:type="dxa"/>
            <w:tcBorders>
              <w:top w:val="nil"/>
              <w:left w:val="nil"/>
              <w:bottom w:val="single" w:color="auto" w:sz="4" w:space="0"/>
              <w:right w:val="single" w:color="auto" w:sz="4" w:space="0"/>
            </w:tcBorders>
            <w:shd w:val="clear" w:color="auto" w:fill="auto"/>
            <w:vAlign w:val="center"/>
          </w:tcPr>
          <w:p w14:paraId="30DF719D">
            <w:pPr>
              <w:widowControl/>
              <w:jc w:val="center"/>
              <w:rPr>
                <w:kern w:val="0"/>
                <w:szCs w:val="21"/>
              </w:rPr>
            </w:pPr>
            <w:r>
              <w:rPr>
                <w:kern w:val="0"/>
                <w:szCs w:val="21"/>
              </w:rPr>
              <w:t>58.9</w:t>
            </w:r>
          </w:p>
        </w:tc>
        <w:tc>
          <w:tcPr>
            <w:tcW w:w="584" w:type="dxa"/>
            <w:tcBorders>
              <w:top w:val="nil"/>
              <w:left w:val="nil"/>
              <w:bottom w:val="single" w:color="auto" w:sz="4" w:space="0"/>
              <w:right w:val="single" w:color="auto" w:sz="4" w:space="0"/>
            </w:tcBorders>
            <w:shd w:val="clear" w:color="auto" w:fill="auto"/>
            <w:vAlign w:val="center"/>
          </w:tcPr>
          <w:p w14:paraId="518420ED">
            <w:pPr>
              <w:widowControl/>
              <w:jc w:val="center"/>
              <w:rPr>
                <w:kern w:val="0"/>
                <w:szCs w:val="21"/>
              </w:rPr>
            </w:pPr>
            <w:r>
              <w:rPr>
                <w:kern w:val="0"/>
                <w:szCs w:val="21"/>
              </w:rPr>
              <w:t>64.5</w:t>
            </w:r>
          </w:p>
        </w:tc>
        <w:tc>
          <w:tcPr>
            <w:tcW w:w="584" w:type="dxa"/>
            <w:tcBorders>
              <w:top w:val="nil"/>
              <w:left w:val="nil"/>
              <w:bottom w:val="single" w:color="auto" w:sz="4" w:space="0"/>
              <w:right w:val="single" w:color="auto" w:sz="4" w:space="0"/>
            </w:tcBorders>
            <w:shd w:val="clear" w:color="auto" w:fill="auto"/>
            <w:vAlign w:val="center"/>
          </w:tcPr>
          <w:p w14:paraId="00C4C43A">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0A52D484">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15D42247">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65FE725F">
            <w:pPr>
              <w:widowControl/>
              <w:jc w:val="center"/>
              <w:rPr>
                <w:kern w:val="0"/>
                <w:szCs w:val="21"/>
              </w:rPr>
            </w:pPr>
            <w:r>
              <w:rPr>
                <w:kern w:val="0"/>
                <w:szCs w:val="21"/>
              </w:rPr>
              <w:t>38.5</w:t>
            </w:r>
          </w:p>
        </w:tc>
        <w:tc>
          <w:tcPr>
            <w:tcW w:w="584" w:type="dxa"/>
            <w:tcBorders>
              <w:top w:val="nil"/>
              <w:left w:val="nil"/>
              <w:bottom w:val="single" w:color="auto" w:sz="4" w:space="0"/>
              <w:right w:val="single" w:color="auto" w:sz="4" w:space="0"/>
            </w:tcBorders>
            <w:shd w:val="clear" w:color="auto" w:fill="auto"/>
            <w:vAlign w:val="center"/>
          </w:tcPr>
          <w:p w14:paraId="39786B7A">
            <w:pPr>
              <w:widowControl/>
              <w:jc w:val="center"/>
              <w:rPr>
                <w:kern w:val="0"/>
                <w:szCs w:val="21"/>
              </w:rPr>
            </w:pPr>
            <w:r>
              <w:rPr>
                <w:kern w:val="0"/>
                <w:szCs w:val="21"/>
              </w:rPr>
              <w:t>32.9</w:t>
            </w:r>
          </w:p>
        </w:tc>
        <w:tc>
          <w:tcPr>
            <w:tcW w:w="584" w:type="dxa"/>
            <w:tcBorders>
              <w:top w:val="nil"/>
              <w:left w:val="nil"/>
              <w:bottom w:val="single" w:color="auto" w:sz="4" w:space="0"/>
              <w:right w:val="single" w:color="auto" w:sz="4" w:space="0"/>
            </w:tcBorders>
            <w:shd w:val="clear" w:color="auto" w:fill="auto"/>
            <w:vAlign w:val="center"/>
          </w:tcPr>
          <w:p w14:paraId="7D5B5B9E">
            <w:pPr>
              <w:widowControl/>
              <w:jc w:val="center"/>
              <w:rPr>
                <w:kern w:val="0"/>
                <w:szCs w:val="21"/>
              </w:rPr>
            </w:pPr>
            <w:r>
              <w:rPr>
                <w:kern w:val="0"/>
                <w:szCs w:val="21"/>
              </w:rPr>
              <w:t>38.5</w:t>
            </w:r>
          </w:p>
        </w:tc>
        <w:tc>
          <w:tcPr>
            <w:tcW w:w="584" w:type="dxa"/>
            <w:tcBorders>
              <w:top w:val="nil"/>
              <w:left w:val="nil"/>
              <w:bottom w:val="single" w:color="auto" w:sz="4" w:space="0"/>
              <w:right w:val="single" w:color="auto" w:sz="4" w:space="0"/>
            </w:tcBorders>
            <w:shd w:val="clear" w:color="auto" w:fill="auto"/>
            <w:vAlign w:val="center"/>
          </w:tcPr>
          <w:p w14:paraId="75DBA1D1">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2EF0ACE0">
            <w:pPr>
              <w:widowControl/>
              <w:jc w:val="center"/>
              <w:rPr>
                <w:kern w:val="0"/>
                <w:szCs w:val="21"/>
              </w:rPr>
            </w:pPr>
            <w:r>
              <w:rPr>
                <w:kern w:val="0"/>
                <w:szCs w:val="21"/>
              </w:rPr>
              <w:t>1</w:t>
            </w:r>
          </w:p>
        </w:tc>
      </w:tr>
      <w:tr w14:paraId="0D8A991C">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534C9B39">
            <w:pPr>
              <w:widowControl/>
              <w:jc w:val="center"/>
              <w:rPr>
                <w:kern w:val="0"/>
                <w:szCs w:val="21"/>
              </w:rPr>
            </w:pPr>
            <w:r>
              <w:rPr>
                <w:kern w:val="0"/>
                <w:szCs w:val="21"/>
              </w:rPr>
              <w:t>18</w:t>
            </w:r>
          </w:p>
        </w:tc>
        <w:tc>
          <w:tcPr>
            <w:tcW w:w="426" w:type="dxa"/>
            <w:vMerge w:val="continue"/>
            <w:tcBorders>
              <w:top w:val="nil"/>
              <w:left w:val="single" w:color="auto" w:sz="4" w:space="0"/>
              <w:bottom w:val="single" w:color="auto" w:sz="4" w:space="0"/>
              <w:right w:val="single" w:color="auto" w:sz="4" w:space="0"/>
            </w:tcBorders>
            <w:vAlign w:val="center"/>
          </w:tcPr>
          <w:p w14:paraId="7542A976">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740797C6">
            <w:pPr>
              <w:widowControl/>
              <w:jc w:val="center"/>
              <w:rPr>
                <w:kern w:val="0"/>
                <w:szCs w:val="21"/>
              </w:rPr>
            </w:pPr>
            <w:r>
              <w:rPr>
                <w:kern w:val="0"/>
                <w:szCs w:val="21"/>
              </w:rPr>
              <w:t>探伤仪</w:t>
            </w:r>
          </w:p>
        </w:tc>
        <w:tc>
          <w:tcPr>
            <w:tcW w:w="426" w:type="dxa"/>
            <w:tcBorders>
              <w:top w:val="nil"/>
              <w:left w:val="nil"/>
              <w:bottom w:val="single" w:color="auto" w:sz="4" w:space="0"/>
              <w:right w:val="single" w:color="auto" w:sz="4" w:space="0"/>
            </w:tcBorders>
            <w:shd w:val="clear" w:color="auto" w:fill="auto"/>
            <w:vAlign w:val="center"/>
          </w:tcPr>
          <w:p w14:paraId="483E9D40">
            <w:pPr>
              <w:widowControl/>
              <w:jc w:val="center"/>
              <w:rPr>
                <w:kern w:val="0"/>
                <w:szCs w:val="21"/>
              </w:rPr>
            </w:pPr>
            <w:r>
              <w:rPr>
                <w:kern w:val="0"/>
                <w:szCs w:val="21"/>
              </w:rPr>
              <w:t>80</w:t>
            </w:r>
          </w:p>
        </w:tc>
        <w:tc>
          <w:tcPr>
            <w:tcW w:w="636" w:type="dxa"/>
            <w:tcBorders>
              <w:top w:val="nil"/>
              <w:left w:val="nil"/>
              <w:bottom w:val="single" w:color="auto" w:sz="4" w:space="0"/>
              <w:right w:val="single" w:color="auto" w:sz="4" w:space="0"/>
            </w:tcBorders>
            <w:shd w:val="clear" w:color="auto" w:fill="auto"/>
            <w:vAlign w:val="center"/>
          </w:tcPr>
          <w:p w14:paraId="5E37C3B9">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38106182">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3129159A">
            <w:pPr>
              <w:widowControl/>
              <w:jc w:val="center"/>
              <w:rPr>
                <w:kern w:val="0"/>
                <w:szCs w:val="21"/>
              </w:rPr>
            </w:pPr>
            <w:r>
              <w:rPr>
                <w:kern w:val="0"/>
                <w:szCs w:val="21"/>
              </w:rPr>
              <w:t>27</w:t>
            </w:r>
          </w:p>
        </w:tc>
        <w:tc>
          <w:tcPr>
            <w:tcW w:w="531" w:type="dxa"/>
            <w:tcBorders>
              <w:top w:val="nil"/>
              <w:left w:val="nil"/>
              <w:bottom w:val="single" w:color="auto" w:sz="4" w:space="0"/>
              <w:right w:val="single" w:color="auto" w:sz="4" w:space="0"/>
            </w:tcBorders>
            <w:shd w:val="clear" w:color="auto" w:fill="auto"/>
            <w:vAlign w:val="center"/>
          </w:tcPr>
          <w:p w14:paraId="10A88FF0">
            <w:pPr>
              <w:widowControl/>
              <w:jc w:val="center"/>
              <w:rPr>
                <w:kern w:val="0"/>
                <w:szCs w:val="21"/>
              </w:rPr>
            </w:pPr>
            <w:r>
              <w:rPr>
                <w:kern w:val="0"/>
                <w:szCs w:val="21"/>
              </w:rPr>
              <w:t>201</w:t>
            </w:r>
          </w:p>
        </w:tc>
        <w:tc>
          <w:tcPr>
            <w:tcW w:w="345" w:type="dxa"/>
            <w:tcBorders>
              <w:top w:val="nil"/>
              <w:left w:val="nil"/>
              <w:bottom w:val="single" w:color="auto" w:sz="4" w:space="0"/>
              <w:right w:val="single" w:color="auto" w:sz="4" w:space="0"/>
            </w:tcBorders>
            <w:shd w:val="clear" w:color="auto" w:fill="auto"/>
            <w:vAlign w:val="center"/>
          </w:tcPr>
          <w:p w14:paraId="45F3561E">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63C35EB0">
            <w:pPr>
              <w:widowControl/>
              <w:jc w:val="center"/>
              <w:rPr>
                <w:kern w:val="0"/>
                <w:szCs w:val="21"/>
              </w:rPr>
            </w:pPr>
            <w:r>
              <w:rPr>
                <w:kern w:val="0"/>
                <w:szCs w:val="21"/>
              </w:rPr>
              <w:t>97</w:t>
            </w:r>
          </w:p>
        </w:tc>
        <w:tc>
          <w:tcPr>
            <w:tcW w:w="531" w:type="dxa"/>
            <w:tcBorders>
              <w:top w:val="nil"/>
              <w:left w:val="nil"/>
              <w:bottom w:val="single" w:color="auto" w:sz="4" w:space="0"/>
              <w:right w:val="single" w:color="auto" w:sz="4" w:space="0"/>
            </w:tcBorders>
            <w:shd w:val="clear" w:color="auto" w:fill="auto"/>
            <w:vAlign w:val="center"/>
          </w:tcPr>
          <w:p w14:paraId="57CAC6C9">
            <w:pPr>
              <w:widowControl/>
              <w:jc w:val="center"/>
              <w:rPr>
                <w:kern w:val="0"/>
                <w:szCs w:val="21"/>
              </w:rPr>
            </w:pPr>
            <w:r>
              <w:rPr>
                <w:kern w:val="0"/>
                <w:szCs w:val="21"/>
              </w:rPr>
              <w:t>201</w:t>
            </w:r>
          </w:p>
        </w:tc>
        <w:tc>
          <w:tcPr>
            <w:tcW w:w="426" w:type="dxa"/>
            <w:tcBorders>
              <w:top w:val="nil"/>
              <w:left w:val="nil"/>
              <w:bottom w:val="single" w:color="auto" w:sz="4" w:space="0"/>
              <w:right w:val="single" w:color="auto" w:sz="4" w:space="0"/>
            </w:tcBorders>
            <w:shd w:val="clear" w:color="auto" w:fill="auto"/>
            <w:vAlign w:val="center"/>
          </w:tcPr>
          <w:p w14:paraId="5B9AC9A5">
            <w:pPr>
              <w:widowControl/>
              <w:jc w:val="center"/>
              <w:rPr>
                <w:kern w:val="0"/>
                <w:szCs w:val="21"/>
              </w:rPr>
            </w:pPr>
            <w:r>
              <w:rPr>
                <w:kern w:val="0"/>
                <w:szCs w:val="21"/>
              </w:rPr>
              <w:t>27</w:t>
            </w:r>
          </w:p>
        </w:tc>
        <w:tc>
          <w:tcPr>
            <w:tcW w:w="531" w:type="dxa"/>
            <w:tcBorders>
              <w:top w:val="nil"/>
              <w:left w:val="nil"/>
              <w:bottom w:val="single" w:color="auto" w:sz="4" w:space="0"/>
              <w:right w:val="single" w:color="auto" w:sz="4" w:space="0"/>
            </w:tcBorders>
            <w:shd w:val="clear" w:color="auto" w:fill="auto"/>
            <w:vAlign w:val="center"/>
          </w:tcPr>
          <w:p w14:paraId="76F7BDA4">
            <w:pPr>
              <w:widowControl/>
              <w:jc w:val="center"/>
              <w:rPr>
                <w:kern w:val="0"/>
                <w:szCs w:val="21"/>
              </w:rPr>
            </w:pPr>
            <w:r>
              <w:rPr>
                <w:kern w:val="0"/>
                <w:szCs w:val="21"/>
              </w:rPr>
              <w:t>240</w:t>
            </w:r>
          </w:p>
        </w:tc>
        <w:tc>
          <w:tcPr>
            <w:tcW w:w="584" w:type="dxa"/>
            <w:tcBorders>
              <w:top w:val="nil"/>
              <w:left w:val="nil"/>
              <w:bottom w:val="single" w:color="auto" w:sz="4" w:space="0"/>
              <w:right w:val="single" w:color="auto" w:sz="4" w:space="0"/>
            </w:tcBorders>
            <w:shd w:val="clear" w:color="auto" w:fill="auto"/>
            <w:vAlign w:val="center"/>
          </w:tcPr>
          <w:p w14:paraId="432F59C3">
            <w:pPr>
              <w:widowControl/>
              <w:jc w:val="center"/>
              <w:rPr>
                <w:kern w:val="0"/>
                <w:szCs w:val="21"/>
              </w:rPr>
            </w:pPr>
            <w:r>
              <w:rPr>
                <w:kern w:val="0"/>
                <w:szCs w:val="21"/>
              </w:rPr>
              <w:t>60.5</w:t>
            </w:r>
          </w:p>
        </w:tc>
        <w:tc>
          <w:tcPr>
            <w:tcW w:w="584" w:type="dxa"/>
            <w:tcBorders>
              <w:top w:val="nil"/>
              <w:left w:val="nil"/>
              <w:bottom w:val="single" w:color="auto" w:sz="4" w:space="0"/>
              <w:right w:val="single" w:color="auto" w:sz="4" w:space="0"/>
            </w:tcBorders>
            <w:shd w:val="clear" w:color="auto" w:fill="auto"/>
            <w:vAlign w:val="center"/>
          </w:tcPr>
          <w:p w14:paraId="289C2F89">
            <w:pPr>
              <w:widowControl/>
              <w:jc w:val="center"/>
              <w:rPr>
                <w:kern w:val="0"/>
                <w:szCs w:val="21"/>
              </w:rPr>
            </w:pPr>
            <w:r>
              <w:rPr>
                <w:kern w:val="0"/>
                <w:szCs w:val="21"/>
              </w:rPr>
              <w:t>59.9</w:t>
            </w:r>
          </w:p>
        </w:tc>
        <w:tc>
          <w:tcPr>
            <w:tcW w:w="584" w:type="dxa"/>
            <w:tcBorders>
              <w:top w:val="nil"/>
              <w:left w:val="nil"/>
              <w:bottom w:val="single" w:color="auto" w:sz="4" w:space="0"/>
              <w:right w:val="single" w:color="auto" w:sz="4" w:space="0"/>
            </w:tcBorders>
            <w:shd w:val="clear" w:color="auto" w:fill="auto"/>
            <w:vAlign w:val="center"/>
          </w:tcPr>
          <w:p w14:paraId="0FF3DEE9">
            <w:pPr>
              <w:widowControl/>
              <w:jc w:val="center"/>
              <w:rPr>
                <w:kern w:val="0"/>
                <w:szCs w:val="21"/>
              </w:rPr>
            </w:pPr>
            <w:r>
              <w:rPr>
                <w:kern w:val="0"/>
                <w:szCs w:val="21"/>
              </w:rPr>
              <w:t>62.6</w:t>
            </w:r>
          </w:p>
        </w:tc>
        <w:tc>
          <w:tcPr>
            <w:tcW w:w="584" w:type="dxa"/>
            <w:tcBorders>
              <w:top w:val="nil"/>
              <w:left w:val="nil"/>
              <w:bottom w:val="single" w:color="auto" w:sz="4" w:space="0"/>
              <w:right w:val="single" w:color="auto" w:sz="4" w:space="0"/>
            </w:tcBorders>
            <w:shd w:val="clear" w:color="auto" w:fill="auto"/>
            <w:vAlign w:val="center"/>
          </w:tcPr>
          <w:p w14:paraId="770ACDFF">
            <w:pPr>
              <w:widowControl/>
              <w:jc w:val="center"/>
              <w:rPr>
                <w:kern w:val="0"/>
                <w:szCs w:val="21"/>
              </w:rPr>
            </w:pPr>
            <w:r>
              <w:rPr>
                <w:kern w:val="0"/>
                <w:szCs w:val="21"/>
              </w:rPr>
              <w:t>58.2</w:t>
            </w:r>
          </w:p>
        </w:tc>
        <w:tc>
          <w:tcPr>
            <w:tcW w:w="636" w:type="dxa"/>
            <w:tcBorders>
              <w:top w:val="nil"/>
              <w:left w:val="nil"/>
              <w:bottom w:val="single" w:color="auto" w:sz="4" w:space="0"/>
              <w:right w:val="single" w:color="auto" w:sz="4" w:space="0"/>
            </w:tcBorders>
            <w:shd w:val="clear" w:color="auto" w:fill="auto"/>
            <w:vAlign w:val="center"/>
          </w:tcPr>
          <w:p w14:paraId="289A25D8">
            <w:pPr>
              <w:widowControl/>
              <w:jc w:val="center"/>
              <w:rPr>
                <w:kern w:val="0"/>
                <w:szCs w:val="21"/>
              </w:rPr>
            </w:pPr>
            <w:r>
              <w:rPr>
                <w:kern w:val="0"/>
                <w:szCs w:val="21"/>
              </w:rPr>
              <w:t>1800</w:t>
            </w:r>
          </w:p>
        </w:tc>
        <w:tc>
          <w:tcPr>
            <w:tcW w:w="788" w:type="dxa"/>
            <w:tcBorders>
              <w:top w:val="nil"/>
              <w:left w:val="nil"/>
              <w:bottom w:val="single" w:color="auto" w:sz="4" w:space="0"/>
              <w:right w:val="single" w:color="auto" w:sz="4" w:space="0"/>
            </w:tcBorders>
            <w:shd w:val="clear" w:color="auto" w:fill="auto"/>
            <w:vAlign w:val="center"/>
          </w:tcPr>
          <w:p w14:paraId="01929D59">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08970F5A">
            <w:pPr>
              <w:widowControl/>
              <w:jc w:val="center"/>
              <w:rPr>
                <w:kern w:val="0"/>
                <w:szCs w:val="21"/>
              </w:rPr>
            </w:pPr>
            <w:r>
              <w:rPr>
                <w:kern w:val="0"/>
                <w:szCs w:val="21"/>
              </w:rPr>
              <w:t>36.6</w:t>
            </w:r>
          </w:p>
        </w:tc>
        <w:tc>
          <w:tcPr>
            <w:tcW w:w="584" w:type="dxa"/>
            <w:tcBorders>
              <w:top w:val="nil"/>
              <w:left w:val="nil"/>
              <w:bottom w:val="single" w:color="auto" w:sz="4" w:space="0"/>
              <w:right w:val="single" w:color="auto" w:sz="4" w:space="0"/>
            </w:tcBorders>
            <w:shd w:val="clear" w:color="auto" w:fill="auto"/>
            <w:vAlign w:val="center"/>
          </w:tcPr>
          <w:p w14:paraId="6A8955CD">
            <w:pPr>
              <w:widowControl/>
              <w:jc w:val="center"/>
              <w:rPr>
                <w:kern w:val="0"/>
                <w:szCs w:val="21"/>
              </w:rPr>
            </w:pPr>
            <w:r>
              <w:rPr>
                <w:kern w:val="0"/>
                <w:szCs w:val="21"/>
              </w:rPr>
              <w:t>33.9</w:t>
            </w:r>
          </w:p>
        </w:tc>
        <w:tc>
          <w:tcPr>
            <w:tcW w:w="584" w:type="dxa"/>
            <w:tcBorders>
              <w:top w:val="nil"/>
              <w:left w:val="nil"/>
              <w:bottom w:val="single" w:color="auto" w:sz="4" w:space="0"/>
              <w:right w:val="single" w:color="auto" w:sz="4" w:space="0"/>
            </w:tcBorders>
            <w:shd w:val="clear" w:color="auto" w:fill="auto"/>
            <w:vAlign w:val="center"/>
          </w:tcPr>
          <w:p w14:paraId="38281FE2">
            <w:pPr>
              <w:widowControl/>
              <w:jc w:val="center"/>
              <w:rPr>
                <w:kern w:val="0"/>
                <w:szCs w:val="21"/>
              </w:rPr>
            </w:pPr>
            <w:r>
              <w:rPr>
                <w:kern w:val="0"/>
                <w:szCs w:val="21"/>
              </w:rPr>
              <w:t>36.6</w:t>
            </w:r>
          </w:p>
        </w:tc>
        <w:tc>
          <w:tcPr>
            <w:tcW w:w="584" w:type="dxa"/>
            <w:tcBorders>
              <w:top w:val="nil"/>
              <w:left w:val="nil"/>
              <w:bottom w:val="single" w:color="auto" w:sz="4" w:space="0"/>
              <w:right w:val="single" w:color="auto" w:sz="4" w:space="0"/>
            </w:tcBorders>
            <w:shd w:val="clear" w:color="auto" w:fill="auto"/>
            <w:vAlign w:val="center"/>
          </w:tcPr>
          <w:p w14:paraId="00C4AB87">
            <w:pPr>
              <w:widowControl/>
              <w:jc w:val="center"/>
              <w:rPr>
                <w:kern w:val="0"/>
                <w:szCs w:val="21"/>
              </w:rPr>
            </w:pPr>
            <w:r>
              <w:rPr>
                <w:kern w:val="0"/>
                <w:szCs w:val="21"/>
              </w:rPr>
              <w:t>32.2</w:t>
            </w:r>
          </w:p>
        </w:tc>
        <w:tc>
          <w:tcPr>
            <w:tcW w:w="426" w:type="dxa"/>
            <w:tcBorders>
              <w:top w:val="nil"/>
              <w:left w:val="nil"/>
              <w:bottom w:val="single" w:color="auto" w:sz="4" w:space="0"/>
              <w:right w:val="single" w:color="auto" w:sz="4" w:space="0"/>
            </w:tcBorders>
            <w:shd w:val="clear" w:color="auto" w:fill="auto"/>
            <w:vAlign w:val="center"/>
          </w:tcPr>
          <w:p w14:paraId="10EBA752">
            <w:pPr>
              <w:widowControl/>
              <w:jc w:val="center"/>
              <w:rPr>
                <w:kern w:val="0"/>
                <w:szCs w:val="21"/>
              </w:rPr>
            </w:pPr>
            <w:r>
              <w:rPr>
                <w:kern w:val="0"/>
                <w:szCs w:val="21"/>
              </w:rPr>
              <w:t>1</w:t>
            </w:r>
          </w:p>
        </w:tc>
      </w:tr>
      <w:tr w14:paraId="1A15A9CC">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72472140">
            <w:pPr>
              <w:widowControl/>
              <w:jc w:val="center"/>
              <w:rPr>
                <w:kern w:val="0"/>
                <w:szCs w:val="21"/>
              </w:rPr>
            </w:pPr>
            <w:r>
              <w:rPr>
                <w:kern w:val="0"/>
                <w:szCs w:val="21"/>
              </w:rPr>
              <w:t>19</w:t>
            </w:r>
          </w:p>
        </w:tc>
        <w:tc>
          <w:tcPr>
            <w:tcW w:w="426" w:type="dxa"/>
            <w:vMerge w:val="continue"/>
            <w:tcBorders>
              <w:top w:val="nil"/>
              <w:left w:val="single" w:color="auto" w:sz="4" w:space="0"/>
              <w:bottom w:val="single" w:color="auto" w:sz="4" w:space="0"/>
              <w:right w:val="single" w:color="auto" w:sz="4" w:space="0"/>
            </w:tcBorders>
            <w:vAlign w:val="center"/>
          </w:tcPr>
          <w:p w14:paraId="01046CA8">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0C4C9157">
            <w:pPr>
              <w:widowControl/>
              <w:jc w:val="center"/>
              <w:rPr>
                <w:kern w:val="0"/>
                <w:szCs w:val="21"/>
              </w:rPr>
            </w:pPr>
            <w:r>
              <w:rPr>
                <w:kern w:val="0"/>
                <w:szCs w:val="21"/>
              </w:rPr>
              <w:t>自动坡口机</w:t>
            </w:r>
          </w:p>
        </w:tc>
        <w:tc>
          <w:tcPr>
            <w:tcW w:w="426" w:type="dxa"/>
            <w:tcBorders>
              <w:top w:val="nil"/>
              <w:left w:val="nil"/>
              <w:bottom w:val="single" w:color="auto" w:sz="4" w:space="0"/>
              <w:right w:val="single" w:color="auto" w:sz="4" w:space="0"/>
            </w:tcBorders>
            <w:shd w:val="clear" w:color="auto" w:fill="auto"/>
            <w:vAlign w:val="center"/>
          </w:tcPr>
          <w:p w14:paraId="3D167968">
            <w:pPr>
              <w:widowControl/>
              <w:jc w:val="center"/>
              <w:rPr>
                <w:kern w:val="0"/>
                <w:szCs w:val="21"/>
              </w:rPr>
            </w:pPr>
            <w:r>
              <w:rPr>
                <w:kern w:val="0"/>
                <w:szCs w:val="21"/>
              </w:rPr>
              <w:t>75</w:t>
            </w:r>
          </w:p>
        </w:tc>
        <w:tc>
          <w:tcPr>
            <w:tcW w:w="636" w:type="dxa"/>
            <w:tcBorders>
              <w:top w:val="nil"/>
              <w:left w:val="nil"/>
              <w:bottom w:val="single" w:color="auto" w:sz="4" w:space="0"/>
              <w:right w:val="single" w:color="auto" w:sz="4" w:space="0"/>
            </w:tcBorders>
            <w:shd w:val="clear" w:color="auto" w:fill="auto"/>
            <w:vAlign w:val="center"/>
          </w:tcPr>
          <w:p w14:paraId="19086BA4">
            <w:pPr>
              <w:widowControl/>
              <w:jc w:val="center"/>
              <w:rPr>
                <w:kern w:val="0"/>
                <w:szCs w:val="21"/>
              </w:rPr>
            </w:pPr>
            <w:r>
              <w:rPr>
                <w:kern w:val="0"/>
                <w:szCs w:val="21"/>
              </w:rPr>
              <w:t>3</w:t>
            </w:r>
          </w:p>
        </w:tc>
        <w:tc>
          <w:tcPr>
            <w:tcW w:w="636" w:type="dxa"/>
            <w:vMerge w:val="continue"/>
            <w:tcBorders>
              <w:left w:val="single" w:color="auto" w:sz="4" w:space="0"/>
              <w:right w:val="single" w:color="auto" w:sz="4" w:space="0"/>
            </w:tcBorders>
            <w:vAlign w:val="center"/>
          </w:tcPr>
          <w:p w14:paraId="4031C6EC">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180B37D6">
            <w:pPr>
              <w:widowControl/>
              <w:jc w:val="center"/>
              <w:rPr>
                <w:kern w:val="0"/>
                <w:szCs w:val="21"/>
              </w:rPr>
            </w:pPr>
            <w:r>
              <w:rPr>
                <w:kern w:val="0"/>
                <w:szCs w:val="21"/>
              </w:rPr>
              <w:t>36</w:t>
            </w:r>
          </w:p>
        </w:tc>
        <w:tc>
          <w:tcPr>
            <w:tcW w:w="531" w:type="dxa"/>
            <w:tcBorders>
              <w:top w:val="nil"/>
              <w:left w:val="nil"/>
              <w:bottom w:val="single" w:color="auto" w:sz="4" w:space="0"/>
              <w:right w:val="single" w:color="auto" w:sz="4" w:space="0"/>
            </w:tcBorders>
            <w:shd w:val="clear" w:color="auto" w:fill="auto"/>
            <w:vAlign w:val="center"/>
          </w:tcPr>
          <w:p w14:paraId="2E1BF092">
            <w:pPr>
              <w:widowControl/>
              <w:jc w:val="center"/>
              <w:rPr>
                <w:kern w:val="0"/>
                <w:szCs w:val="21"/>
              </w:rPr>
            </w:pPr>
            <w:r>
              <w:rPr>
                <w:kern w:val="0"/>
                <w:szCs w:val="21"/>
              </w:rPr>
              <w:t>286</w:t>
            </w:r>
          </w:p>
        </w:tc>
        <w:tc>
          <w:tcPr>
            <w:tcW w:w="345" w:type="dxa"/>
            <w:tcBorders>
              <w:top w:val="nil"/>
              <w:left w:val="nil"/>
              <w:bottom w:val="single" w:color="auto" w:sz="4" w:space="0"/>
              <w:right w:val="single" w:color="auto" w:sz="4" w:space="0"/>
            </w:tcBorders>
            <w:shd w:val="clear" w:color="auto" w:fill="auto"/>
            <w:vAlign w:val="center"/>
          </w:tcPr>
          <w:p w14:paraId="7AD9C15E">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457802C5">
            <w:pPr>
              <w:widowControl/>
              <w:jc w:val="center"/>
              <w:rPr>
                <w:kern w:val="0"/>
                <w:szCs w:val="21"/>
              </w:rPr>
            </w:pPr>
            <w:r>
              <w:rPr>
                <w:kern w:val="0"/>
                <w:szCs w:val="21"/>
              </w:rPr>
              <w:t>88</w:t>
            </w:r>
          </w:p>
        </w:tc>
        <w:tc>
          <w:tcPr>
            <w:tcW w:w="531" w:type="dxa"/>
            <w:tcBorders>
              <w:top w:val="nil"/>
              <w:left w:val="nil"/>
              <w:bottom w:val="single" w:color="auto" w:sz="4" w:space="0"/>
              <w:right w:val="single" w:color="auto" w:sz="4" w:space="0"/>
            </w:tcBorders>
            <w:shd w:val="clear" w:color="auto" w:fill="auto"/>
            <w:vAlign w:val="center"/>
          </w:tcPr>
          <w:p w14:paraId="7AF440C7">
            <w:pPr>
              <w:widowControl/>
              <w:jc w:val="center"/>
              <w:rPr>
                <w:kern w:val="0"/>
                <w:szCs w:val="21"/>
              </w:rPr>
            </w:pPr>
            <w:r>
              <w:rPr>
                <w:kern w:val="0"/>
                <w:szCs w:val="21"/>
              </w:rPr>
              <w:t>286</w:t>
            </w:r>
          </w:p>
        </w:tc>
        <w:tc>
          <w:tcPr>
            <w:tcW w:w="426" w:type="dxa"/>
            <w:tcBorders>
              <w:top w:val="nil"/>
              <w:left w:val="nil"/>
              <w:bottom w:val="single" w:color="auto" w:sz="4" w:space="0"/>
              <w:right w:val="single" w:color="auto" w:sz="4" w:space="0"/>
            </w:tcBorders>
            <w:shd w:val="clear" w:color="auto" w:fill="auto"/>
            <w:vAlign w:val="center"/>
          </w:tcPr>
          <w:p w14:paraId="3980FCB8">
            <w:pPr>
              <w:widowControl/>
              <w:jc w:val="center"/>
              <w:rPr>
                <w:kern w:val="0"/>
                <w:szCs w:val="21"/>
              </w:rPr>
            </w:pPr>
            <w:r>
              <w:rPr>
                <w:kern w:val="0"/>
                <w:szCs w:val="21"/>
              </w:rPr>
              <w:t>36</w:t>
            </w:r>
          </w:p>
        </w:tc>
        <w:tc>
          <w:tcPr>
            <w:tcW w:w="531" w:type="dxa"/>
            <w:tcBorders>
              <w:top w:val="nil"/>
              <w:left w:val="nil"/>
              <w:bottom w:val="single" w:color="auto" w:sz="4" w:space="0"/>
              <w:right w:val="single" w:color="auto" w:sz="4" w:space="0"/>
            </w:tcBorders>
            <w:shd w:val="clear" w:color="auto" w:fill="auto"/>
            <w:vAlign w:val="center"/>
          </w:tcPr>
          <w:p w14:paraId="4D0879FB">
            <w:pPr>
              <w:widowControl/>
              <w:jc w:val="center"/>
              <w:rPr>
                <w:kern w:val="0"/>
                <w:szCs w:val="21"/>
              </w:rPr>
            </w:pPr>
            <w:r>
              <w:rPr>
                <w:kern w:val="0"/>
                <w:szCs w:val="21"/>
              </w:rPr>
              <w:t>155</w:t>
            </w:r>
          </w:p>
        </w:tc>
        <w:tc>
          <w:tcPr>
            <w:tcW w:w="584" w:type="dxa"/>
            <w:tcBorders>
              <w:top w:val="nil"/>
              <w:left w:val="nil"/>
              <w:bottom w:val="single" w:color="auto" w:sz="4" w:space="0"/>
              <w:right w:val="single" w:color="auto" w:sz="4" w:space="0"/>
            </w:tcBorders>
            <w:shd w:val="clear" w:color="auto" w:fill="auto"/>
            <w:vAlign w:val="center"/>
          </w:tcPr>
          <w:p w14:paraId="5619127C">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0C10BBEC">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439A2819">
            <w:pPr>
              <w:widowControl/>
              <w:jc w:val="center"/>
              <w:rPr>
                <w:kern w:val="0"/>
                <w:szCs w:val="21"/>
              </w:rPr>
            </w:pPr>
            <w:r>
              <w:rPr>
                <w:kern w:val="0"/>
                <w:szCs w:val="21"/>
              </w:rPr>
              <w:t>62.3</w:t>
            </w:r>
          </w:p>
        </w:tc>
        <w:tc>
          <w:tcPr>
            <w:tcW w:w="584" w:type="dxa"/>
            <w:tcBorders>
              <w:top w:val="nil"/>
              <w:left w:val="nil"/>
              <w:bottom w:val="single" w:color="auto" w:sz="4" w:space="0"/>
              <w:right w:val="single" w:color="auto" w:sz="4" w:space="0"/>
            </w:tcBorders>
            <w:shd w:val="clear" w:color="auto" w:fill="auto"/>
            <w:vAlign w:val="center"/>
          </w:tcPr>
          <w:p w14:paraId="55A47FBF">
            <w:pPr>
              <w:widowControl/>
              <w:jc w:val="center"/>
              <w:rPr>
                <w:kern w:val="0"/>
                <w:szCs w:val="21"/>
              </w:rPr>
            </w:pPr>
            <w:r>
              <w:rPr>
                <w:kern w:val="0"/>
                <w:szCs w:val="21"/>
              </w:rPr>
              <w:t>61.6</w:t>
            </w:r>
          </w:p>
        </w:tc>
        <w:tc>
          <w:tcPr>
            <w:tcW w:w="636" w:type="dxa"/>
            <w:tcBorders>
              <w:top w:val="nil"/>
              <w:left w:val="nil"/>
              <w:bottom w:val="single" w:color="auto" w:sz="4" w:space="0"/>
              <w:right w:val="single" w:color="auto" w:sz="4" w:space="0"/>
            </w:tcBorders>
            <w:shd w:val="clear" w:color="auto" w:fill="auto"/>
            <w:vAlign w:val="center"/>
          </w:tcPr>
          <w:p w14:paraId="646DB351">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1411AC6E">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77BA1174">
            <w:pPr>
              <w:widowControl/>
              <w:jc w:val="center"/>
              <w:rPr>
                <w:kern w:val="0"/>
                <w:szCs w:val="21"/>
              </w:rPr>
            </w:pPr>
            <w:r>
              <w:rPr>
                <w:kern w:val="0"/>
                <w:szCs w:val="21"/>
              </w:rPr>
              <w:t>36.3</w:t>
            </w:r>
          </w:p>
        </w:tc>
        <w:tc>
          <w:tcPr>
            <w:tcW w:w="584" w:type="dxa"/>
            <w:tcBorders>
              <w:top w:val="nil"/>
              <w:left w:val="nil"/>
              <w:bottom w:val="single" w:color="auto" w:sz="4" w:space="0"/>
              <w:right w:val="single" w:color="auto" w:sz="4" w:space="0"/>
            </w:tcBorders>
            <w:shd w:val="clear" w:color="auto" w:fill="auto"/>
            <w:vAlign w:val="center"/>
          </w:tcPr>
          <w:p w14:paraId="0D2DC962">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1D2F1FDB">
            <w:pPr>
              <w:widowControl/>
              <w:jc w:val="center"/>
              <w:rPr>
                <w:kern w:val="0"/>
                <w:szCs w:val="21"/>
              </w:rPr>
            </w:pPr>
            <w:r>
              <w:rPr>
                <w:kern w:val="0"/>
                <w:szCs w:val="21"/>
              </w:rPr>
              <w:t>36.3</w:t>
            </w:r>
          </w:p>
        </w:tc>
        <w:tc>
          <w:tcPr>
            <w:tcW w:w="584" w:type="dxa"/>
            <w:tcBorders>
              <w:top w:val="nil"/>
              <w:left w:val="nil"/>
              <w:bottom w:val="single" w:color="auto" w:sz="4" w:space="0"/>
              <w:right w:val="single" w:color="auto" w:sz="4" w:space="0"/>
            </w:tcBorders>
            <w:shd w:val="clear" w:color="auto" w:fill="auto"/>
            <w:vAlign w:val="center"/>
          </w:tcPr>
          <w:p w14:paraId="2FD16F6A">
            <w:pPr>
              <w:widowControl/>
              <w:jc w:val="center"/>
              <w:rPr>
                <w:kern w:val="0"/>
                <w:szCs w:val="21"/>
              </w:rPr>
            </w:pPr>
            <w:r>
              <w:rPr>
                <w:kern w:val="0"/>
                <w:szCs w:val="21"/>
              </w:rPr>
              <w:t>35.6</w:t>
            </w:r>
          </w:p>
        </w:tc>
        <w:tc>
          <w:tcPr>
            <w:tcW w:w="426" w:type="dxa"/>
            <w:tcBorders>
              <w:top w:val="nil"/>
              <w:left w:val="nil"/>
              <w:bottom w:val="single" w:color="auto" w:sz="4" w:space="0"/>
              <w:right w:val="single" w:color="auto" w:sz="4" w:space="0"/>
            </w:tcBorders>
            <w:shd w:val="clear" w:color="auto" w:fill="auto"/>
            <w:vAlign w:val="center"/>
          </w:tcPr>
          <w:p w14:paraId="35D17791">
            <w:pPr>
              <w:widowControl/>
              <w:jc w:val="center"/>
              <w:rPr>
                <w:kern w:val="0"/>
                <w:szCs w:val="21"/>
              </w:rPr>
            </w:pPr>
            <w:r>
              <w:rPr>
                <w:kern w:val="0"/>
                <w:szCs w:val="21"/>
              </w:rPr>
              <w:t>1</w:t>
            </w:r>
          </w:p>
        </w:tc>
      </w:tr>
      <w:tr w14:paraId="53EDE542">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A37F0F7">
            <w:pPr>
              <w:widowControl/>
              <w:jc w:val="center"/>
              <w:rPr>
                <w:kern w:val="0"/>
                <w:szCs w:val="21"/>
              </w:rPr>
            </w:pPr>
            <w:r>
              <w:rPr>
                <w:kern w:val="0"/>
                <w:szCs w:val="21"/>
              </w:rPr>
              <w:t>20</w:t>
            </w:r>
          </w:p>
        </w:tc>
        <w:tc>
          <w:tcPr>
            <w:tcW w:w="426" w:type="dxa"/>
            <w:vMerge w:val="continue"/>
            <w:tcBorders>
              <w:top w:val="nil"/>
              <w:left w:val="single" w:color="auto" w:sz="4" w:space="0"/>
              <w:bottom w:val="single" w:color="auto" w:sz="4" w:space="0"/>
              <w:right w:val="single" w:color="auto" w:sz="4" w:space="0"/>
            </w:tcBorders>
            <w:vAlign w:val="center"/>
          </w:tcPr>
          <w:p w14:paraId="14D62367">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50BDA2D8">
            <w:pPr>
              <w:widowControl/>
              <w:jc w:val="center"/>
              <w:rPr>
                <w:kern w:val="0"/>
                <w:szCs w:val="21"/>
              </w:rPr>
            </w:pPr>
            <w:r>
              <w:rPr>
                <w:kern w:val="0"/>
                <w:szCs w:val="21"/>
              </w:rPr>
              <w:t>管板自动焊</w:t>
            </w:r>
          </w:p>
        </w:tc>
        <w:tc>
          <w:tcPr>
            <w:tcW w:w="426" w:type="dxa"/>
            <w:tcBorders>
              <w:top w:val="nil"/>
              <w:left w:val="nil"/>
              <w:bottom w:val="single" w:color="auto" w:sz="4" w:space="0"/>
              <w:right w:val="single" w:color="auto" w:sz="4" w:space="0"/>
            </w:tcBorders>
            <w:shd w:val="clear" w:color="auto" w:fill="auto"/>
            <w:vAlign w:val="center"/>
          </w:tcPr>
          <w:p w14:paraId="43103B28">
            <w:pPr>
              <w:widowControl/>
              <w:jc w:val="center"/>
              <w:rPr>
                <w:kern w:val="0"/>
                <w:szCs w:val="21"/>
              </w:rPr>
            </w:pPr>
            <w:r>
              <w:rPr>
                <w:kern w:val="0"/>
                <w:szCs w:val="21"/>
              </w:rPr>
              <w:t>85</w:t>
            </w:r>
          </w:p>
        </w:tc>
        <w:tc>
          <w:tcPr>
            <w:tcW w:w="636" w:type="dxa"/>
            <w:tcBorders>
              <w:top w:val="nil"/>
              <w:left w:val="nil"/>
              <w:bottom w:val="single" w:color="auto" w:sz="4" w:space="0"/>
              <w:right w:val="single" w:color="auto" w:sz="4" w:space="0"/>
            </w:tcBorders>
            <w:shd w:val="clear" w:color="auto" w:fill="auto"/>
            <w:vAlign w:val="center"/>
          </w:tcPr>
          <w:p w14:paraId="570841FA">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2092F4E3">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5A7B2E57">
            <w:pPr>
              <w:widowControl/>
              <w:jc w:val="center"/>
              <w:rPr>
                <w:kern w:val="0"/>
                <w:szCs w:val="21"/>
              </w:rPr>
            </w:pPr>
            <w:r>
              <w:rPr>
                <w:kern w:val="0"/>
                <w:szCs w:val="21"/>
              </w:rPr>
              <w:t>35</w:t>
            </w:r>
          </w:p>
        </w:tc>
        <w:tc>
          <w:tcPr>
            <w:tcW w:w="531" w:type="dxa"/>
            <w:tcBorders>
              <w:top w:val="nil"/>
              <w:left w:val="nil"/>
              <w:bottom w:val="single" w:color="auto" w:sz="4" w:space="0"/>
              <w:right w:val="single" w:color="auto" w:sz="4" w:space="0"/>
            </w:tcBorders>
            <w:shd w:val="clear" w:color="auto" w:fill="auto"/>
            <w:vAlign w:val="center"/>
          </w:tcPr>
          <w:p w14:paraId="5EE3427A">
            <w:pPr>
              <w:widowControl/>
              <w:jc w:val="center"/>
              <w:rPr>
                <w:kern w:val="0"/>
                <w:szCs w:val="21"/>
              </w:rPr>
            </w:pPr>
            <w:r>
              <w:rPr>
                <w:kern w:val="0"/>
                <w:szCs w:val="21"/>
              </w:rPr>
              <w:t>224</w:t>
            </w:r>
          </w:p>
        </w:tc>
        <w:tc>
          <w:tcPr>
            <w:tcW w:w="345" w:type="dxa"/>
            <w:tcBorders>
              <w:top w:val="nil"/>
              <w:left w:val="nil"/>
              <w:bottom w:val="single" w:color="auto" w:sz="4" w:space="0"/>
              <w:right w:val="single" w:color="auto" w:sz="4" w:space="0"/>
            </w:tcBorders>
            <w:shd w:val="clear" w:color="auto" w:fill="auto"/>
            <w:vAlign w:val="center"/>
          </w:tcPr>
          <w:p w14:paraId="025B56F7">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6C84CC8C">
            <w:pPr>
              <w:widowControl/>
              <w:jc w:val="center"/>
              <w:rPr>
                <w:kern w:val="0"/>
                <w:szCs w:val="21"/>
              </w:rPr>
            </w:pPr>
            <w:r>
              <w:rPr>
                <w:kern w:val="0"/>
                <w:szCs w:val="21"/>
              </w:rPr>
              <w:t>89</w:t>
            </w:r>
          </w:p>
        </w:tc>
        <w:tc>
          <w:tcPr>
            <w:tcW w:w="531" w:type="dxa"/>
            <w:tcBorders>
              <w:top w:val="nil"/>
              <w:left w:val="nil"/>
              <w:bottom w:val="single" w:color="auto" w:sz="4" w:space="0"/>
              <w:right w:val="single" w:color="auto" w:sz="4" w:space="0"/>
            </w:tcBorders>
            <w:shd w:val="clear" w:color="auto" w:fill="auto"/>
            <w:vAlign w:val="center"/>
          </w:tcPr>
          <w:p w14:paraId="371728B9">
            <w:pPr>
              <w:widowControl/>
              <w:jc w:val="center"/>
              <w:rPr>
                <w:kern w:val="0"/>
                <w:szCs w:val="21"/>
              </w:rPr>
            </w:pPr>
            <w:r>
              <w:rPr>
                <w:kern w:val="0"/>
                <w:szCs w:val="21"/>
              </w:rPr>
              <w:t>224</w:t>
            </w:r>
          </w:p>
        </w:tc>
        <w:tc>
          <w:tcPr>
            <w:tcW w:w="426" w:type="dxa"/>
            <w:tcBorders>
              <w:top w:val="nil"/>
              <w:left w:val="nil"/>
              <w:bottom w:val="single" w:color="auto" w:sz="4" w:space="0"/>
              <w:right w:val="single" w:color="auto" w:sz="4" w:space="0"/>
            </w:tcBorders>
            <w:shd w:val="clear" w:color="auto" w:fill="auto"/>
            <w:vAlign w:val="center"/>
          </w:tcPr>
          <w:p w14:paraId="506315BE">
            <w:pPr>
              <w:widowControl/>
              <w:jc w:val="center"/>
              <w:rPr>
                <w:kern w:val="0"/>
                <w:szCs w:val="21"/>
              </w:rPr>
            </w:pPr>
            <w:r>
              <w:rPr>
                <w:kern w:val="0"/>
                <w:szCs w:val="21"/>
              </w:rPr>
              <w:t>35</w:t>
            </w:r>
          </w:p>
        </w:tc>
        <w:tc>
          <w:tcPr>
            <w:tcW w:w="531" w:type="dxa"/>
            <w:tcBorders>
              <w:top w:val="nil"/>
              <w:left w:val="nil"/>
              <w:bottom w:val="single" w:color="auto" w:sz="4" w:space="0"/>
              <w:right w:val="single" w:color="auto" w:sz="4" w:space="0"/>
            </w:tcBorders>
            <w:shd w:val="clear" w:color="auto" w:fill="auto"/>
            <w:vAlign w:val="center"/>
          </w:tcPr>
          <w:p w14:paraId="71385CE0">
            <w:pPr>
              <w:widowControl/>
              <w:jc w:val="center"/>
              <w:rPr>
                <w:kern w:val="0"/>
                <w:szCs w:val="21"/>
              </w:rPr>
            </w:pPr>
            <w:r>
              <w:rPr>
                <w:kern w:val="0"/>
                <w:szCs w:val="21"/>
              </w:rPr>
              <w:t>217</w:t>
            </w:r>
          </w:p>
        </w:tc>
        <w:tc>
          <w:tcPr>
            <w:tcW w:w="584" w:type="dxa"/>
            <w:tcBorders>
              <w:top w:val="nil"/>
              <w:left w:val="nil"/>
              <w:bottom w:val="single" w:color="auto" w:sz="4" w:space="0"/>
              <w:right w:val="single" w:color="auto" w:sz="4" w:space="0"/>
            </w:tcBorders>
            <w:shd w:val="clear" w:color="auto" w:fill="auto"/>
            <w:vAlign w:val="center"/>
          </w:tcPr>
          <w:p w14:paraId="784A752B">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09FB5A29">
            <w:pPr>
              <w:widowControl/>
              <w:jc w:val="center"/>
              <w:rPr>
                <w:kern w:val="0"/>
                <w:szCs w:val="21"/>
              </w:rPr>
            </w:pPr>
            <w:r>
              <w:rPr>
                <w:kern w:val="0"/>
                <w:szCs w:val="21"/>
              </w:rPr>
              <w:t>58.5</w:t>
            </w:r>
          </w:p>
        </w:tc>
        <w:tc>
          <w:tcPr>
            <w:tcW w:w="584" w:type="dxa"/>
            <w:tcBorders>
              <w:top w:val="nil"/>
              <w:left w:val="nil"/>
              <w:bottom w:val="single" w:color="auto" w:sz="4" w:space="0"/>
              <w:right w:val="single" w:color="auto" w:sz="4" w:space="0"/>
            </w:tcBorders>
            <w:shd w:val="clear" w:color="auto" w:fill="auto"/>
            <w:vAlign w:val="center"/>
          </w:tcPr>
          <w:p w14:paraId="5FA742CA">
            <w:pPr>
              <w:widowControl/>
              <w:jc w:val="center"/>
              <w:rPr>
                <w:kern w:val="0"/>
                <w:szCs w:val="21"/>
              </w:rPr>
            </w:pPr>
            <w:r>
              <w:rPr>
                <w:kern w:val="0"/>
                <w:szCs w:val="21"/>
              </w:rPr>
              <w:t>62.4</w:t>
            </w:r>
          </w:p>
        </w:tc>
        <w:tc>
          <w:tcPr>
            <w:tcW w:w="584" w:type="dxa"/>
            <w:tcBorders>
              <w:top w:val="nil"/>
              <w:left w:val="nil"/>
              <w:bottom w:val="single" w:color="auto" w:sz="4" w:space="0"/>
              <w:right w:val="single" w:color="auto" w:sz="4" w:space="0"/>
            </w:tcBorders>
            <w:shd w:val="clear" w:color="auto" w:fill="auto"/>
            <w:vAlign w:val="center"/>
          </w:tcPr>
          <w:p w14:paraId="523D5591">
            <w:pPr>
              <w:widowControl/>
              <w:jc w:val="center"/>
              <w:rPr>
                <w:kern w:val="0"/>
                <w:szCs w:val="21"/>
              </w:rPr>
            </w:pPr>
            <w:r>
              <w:rPr>
                <w:kern w:val="0"/>
                <w:szCs w:val="21"/>
              </w:rPr>
              <w:t>58.9</w:t>
            </w:r>
          </w:p>
        </w:tc>
        <w:tc>
          <w:tcPr>
            <w:tcW w:w="636" w:type="dxa"/>
            <w:tcBorders>
              <w:top w:val="nil"/>
              <w:left w:val="nil"/>
              <w:bottom w:val="single" w:color="auto" w:sz="4" w:space="0"/>
              <w:right w:val="single" w:color="auto" w:sz="4" w:space="0"/>
            </w:tcBorders>
            <w:shd w:val="clear" w:color="auto" w:fill="auto"/>
            <w:vAlign w:val="center"/>
          </w:tcPr>
          <w:p w14:paraId="64974AB0">
            <w:pPr>
              <w:widowControl/>
              <w:jc w:val="center"/>
              <w:rPr>
                <w:kern w:val="0"/>
                <w:szCs w:val="21"/>
              </w:rPr>
            </w:pPr>
            <w:r>
              <w:rPr>
                <w:kern w:val="0"/>
                <w:szCs w:val="21"/>
              </w:rPr>
              <w:t>2100</w:t>
            </w:r>
          </w:p>
        </w:tc>
        <w:tc>
          <w:tcPr>
            <w:tcW w:w="788" w:type="dxa"/>
            <w:tcBorders>
              <w:top w:val="nil"/>
              <w:left w:val="nil"/>
              <w:bottom w:val="single" w:color="auto" w:sz="4" w:space="0"/>
              <w:right w:val="single" w:color="auto" w:sz="4" w:space="0"/>
            </w:tcBorders>
            <w:shd w:val="clear" w:color="auto" w:fill="auto"/>
            <w:vAlign w:val="center"/>
          </w:tcPr>
          <w:p w14:paraId="05A2EF4C">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23D4CDE8">
            <w:pPr>
              <w:widowControl/>
              <w:jc w:val="center"/>
              <w:rPr>
                <w:kern w:val="0"/>
                <w:szCs w:val="21"/>
              </w:rPr>
            </w:pPr>
            <w:r>
              <w:rPr>
                <w:kern w:val="0"/>
                <w:szCs w:val="21"/>
              </w:rPr>
              <w:t>36.4</w:t>
            </w:r>
          </w:p>
        </w:tc>
        <w:tc>
          <w:tcPr>
            <w:tcW w:w="584" w:type="dxa"/>
            <w:tcBorders>
              <w:top w:val="nil"/>
              <w:left w:val="nil"/>
              <w:bottom w:val="single" w:color="auto" w:sz="4" w:space="0"/>
              <w:right w:val="single" w:color="auto" w:sz="4" w:space="0"/>
            </w:tcBorders>
            <w:shd w:val="clear" w:color="auto" w:fill="auto"/>
            <w:vAlign w:val="center"/>
          </w:tcPr>
          <w:p w14:paraId="64737C28">
            <w:pPr>
              <w:widowControl/>
              <w:jc w:val="center"/>
              <w:rPr>
                <w:kern w:val="0"/>
                <w:szCs w:val="21"/>
              </w:rPr>
            </w:pPr>
            <w:r>
              <w:rPr>
                <w:kern w:val="0"/>
                <w:szCs w:val="21"/>
              </w:rPr>
              <w:t>32.5</w:t>
            </w:r>
          </w:p>
        </w:tc>
        <w:tc>
          <w:tcPr>
            <w:tcW w:w="584" w:type="dxa"/>
            <w:tcBorders>
              <w:top w:val="nil"/>
              <w:left w:val="nil"/>
              <w:bottom w:val="single" w:color="auto" w:sz="4" w:space="0"/>
              <w:right w:val="single" w:color="auto" w:sz="4" w:space="0"/>
            </w:tcBorders>
            <w:shd w:val="clear" w:color="auto" w:fill="auto"/>
            <w:vAlign w:val="center"/>
          </w:tcPr>
          <w:p w14:paraId="1C0F1878">
            <w:pPr>
              <w:widowControl/>
              <w:jc w:val="center"/>
              <w:rPr>
                <w:kern w:val="0"/>
                <w:szCs w:val="21"/>
              </w:rPr>
            </w:pPr>
            <w:r>
              <w:rPr>
                <w:kern w:val="0"/>
                <w:szCs w:val="21"/>
              </w:rPr>
              <w:t>36.4</w:t>
            </w:r>
          </w:p>
        </w:tc>
        <w:tc>
          <w:tcPr>
            <w:tcW w:w="584" w:type="dxa"/>
            <w:tcBorders>
              <w:top w:val="nil"/>
              <w:left w:val="nil"/>
              <w:bottom w:val="single" w:color="auto" w:sz="4" w:space="0"/>
              <w:right w:val="single" w:color="auto" w:sz="4" w:space="0"/>
            </w:tcBorders>
            <w:shd w:val="clear" w:color="auto" w:fill="auto"/>
            <w:vAlign w:val="center"/>
          </w:tcPr>
          <w:p w14:paraId="74853B1E">
            <w:pPr>
              <w:widowControl/>
              <w:jc w:val="center"/>
              <w:rPr>
                <w:kern w:val="0"/>
                <w:szCs w:val="21"/>
              </w:rPr>
            </w:pPr>
            <w:r>
              <w:rPr>
                <w:kern w:val="0"/>
                <w:szCs w:val="21"/>
              </w:rPr>
              <w:t>32.9</w:t>
            </w:r>
          </w:p>
        </w:tc>
        <w:tc>
          <w:tcPr>
            <w:tcW w:w="426" w:type="dxa"/>
            <w:tcBorders>
              <w:top w:val="nil"/>
              <w:left w:val="nil"/>
              <w:bottom w:val="single" w:color="auto" w:sz="4" w:space="0"/>
              <w:right w:val="single" w:color="auto" w:sz="4" w:space="0"/>
            </w:tcBorders>
            <w:shd w:val="clear" w:color="auto" w:fill="auto"/>
            <w:vAlign w:val="center"/>
          </w:tcPr>
          <w:p w14:paraId="4EF10DA5">
            <w:pPr>
              <w:widowControl/>
              <w:jc w:val="center"/>
              <w:rPr>
                <w:kern w:val="0"/>
                <w:szCs w:val="21"/>
              </w:rPr>
            </w:pPr>
            <w:r>
              <w:rPr>
                <w:kern w:val="0"/>
                <w:szCs w:val="21"/>
              </w:rPr>
              <w:t>1</w:t>
            </w:r>
          </w:p>
        </w:tc>
      </w:tr>
      <w:tr w14:paraId="69BF54A9">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33B32CD6">
            <w:pPr>
              <w:widowControl/>
              <w:jc w:val="center"/>
              <w:rPr>
                <w:kern w:val="0"/>
                <w:szCs w:val="21"/>
              </w:rPr>
            </w:pPr>
            <w:r>
              <w:rPr>
                <w:kern w:val="0"/>
                <w:szCs w:val="21"/>
              </w:rPr>
              <w:t>21</w:t>
            </w:r>
          </w:p>
        </w:tc>
        <w:tc>
          <w:tcPr>
            <w:tcW w:w="426" w:type="dxa"/>
            <w:vMerge w:val="continue"/>
            <w:tcBorders>
              <w:top w:val="nil"/>
              <w:left w:val="single" w:color="auto" w:sz="4" w:space="0"/>
              <w:bottom w:val="single" w:color="auto" w:sz="4" w:space="0"/>
              <w:right w:val="single" w:color="auto" w:sz="4" w:space="0"/>
            </w:tcBorders>
            <w:vAlign w:val="center"/>
          </w:tcPr>
          <w:p w14:paraId="4FAAF427">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4154E5E0">
            <w:pPr>
              <w:widowControl/>
              <w:jc w:val="center"/>
              <w:rPr>
                <w:kern w:val="0"/>
                <w:szCs w:val="21"/>
              </w:rPr>
            </w:pPr>
            <w:r>
              <w:rPr>
                <w:kern w:val="0"/>
                <w:szCs w:val="21"/>
              </w:rPr>
              <w:t>旋边机</w:t>
            </w:r>
          </w:p>
        </w:tc>
        <w:tc>
          <w:tcPr>
            <w:tcW w:w="426" w:type="dxa"/>
            <w:tcBorders>
              <w:top w:val="nil"/>
              <w:left w:val="nil"/>
              <w:bottom w:val="single" w:color="auto" w:sz="4" w:space="0"/>
              <w:right w:val="single" w:color="auto" w:sz="4" w:space="0"/>
            </w:tcBorders>
            <w:shd w:val="clear" w:color="auto" w:fill="auto"/>
            <w:vAlign w:val="center"/>
          </w:tcPr>
          <w:p w14:paraId="0060112F">
            <w:pPr>
              <w:widowControl/>
              <w:jc w:val="center"/>
              <w:rPr>
                <w:kern w:val="0"/>
                <w:szCs w:val="21"/>
              </w:rPr>
            </w:pPr>
            <w:r>
              <w:rPr>
                <w:kern w:val="0"/>
                <w:szCs w:val="21"/>
              </w:rPr>
              <w:t>80</w:t>
            </w:r>
          </w:p>
        </w:tc>
        <w:tc>
          <w:tcPr>
            <w:tcW w:w="636" w:type="dxa"/>
            <w:tcBorders>
              <w:top w:val="nil"/>
              <w:left w:val="nil"/>
              <w:bottom w:val="single" w:color="auto" w:sz="4" w:space="0"/>
              <w:right w:val="single" w:color="auto" w:sz="4" w:space="0"/>
            </w:tcBorders>
            <w:shd w:val="clear" w:color="auto" w:fill="auto"/>
            <w:vAlign w:val="center"/>
          </w:tcPr>
          <w:p w14:paraId="15FBA2B7">
            <w:pPr>
              <w:widowControl/>
              <w:jc w:val="center"/>
              <w:rPr>
                <w:kern w:val="0"/>
                <w:szCs w:val="21"/>
              </w:rPr>
            </w:pPr>
            <w:r>
              <w:rPr>
                <w:kern w:val="0"/>
                <w:szCs w:val="21"/>
              </w:rPr>
              <w:t>1</w:t>
            </w:r>
          </w:p>
        </w:tc>
        <w:tc>
          <w:tcPr>
            <w:tcW w:w="636" w:type="dxa"/>
            <w:vMerge w:val="continue"/>
            <w:tcBorders>
              <w:left w:val="single" w:color="auto" w:sz="4" w:space="0"/>
              <w:right w:val="single" w:color="auto" w:sz="4" w:space="0"/>
            </w:tcBorders>
            <w:vAlign w:val="center"/>
          </w:tcPr>
          <w:p w14:paraId="477FC396">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50AA3B3A">
            <w:pPr>
              <w:widowControl/>
              <w:jc w:val="center"/>
              <w:rPr>
                <w:kern w:val="0"/>
                <w:szCs w:val="21"/>
              </w:rPr>
            </w:pPr>
            <w:r>
              <w:rPr>
                <w:kern w:val="0"/>
                <w:szCs w:val="21"/>
              </w:rPr>
              <w:t>24</w:t>
            </w:r>
          </w:p>
        </w:tc>
        <w:tc>
          <w:tcPr>
            <w:tcW w:w="531" w:type="dxa"/>
            <w:tcBorders>
              <w:top w:val="nil"/>
              <w:left w:val="nil"/>
              <w:bottom w:val="single" w:color="auto" w:sz="4" w:space="0"/>
              <w:right w:val="single" w:color="auto" w:sz="4" w:space="0"/>
            </w:tcBorders>
            <w:shd w:val="clear" w:color="auto" w:fill="auto"/>
            <w:vAlign w:val="center"/>
          </w:tcPr>
          <w:p w14:paraId="01F50CF1">
            <w:pPr>
              <w:widowControl/>
              <w:jc w:val="center"/>
              <w:rPr>
                <w:kern w:val="0"/>
                <w:szCs w:val="21"/>
              </w:rPr>
            </w:pPr>
            <w:r>
              <w:rPr>
                <w:kern w:val="0"/>
                <w:szCs w:val="21"/>
              </w:rPr>
              <w:t>284</w:t>
            </w:r>
          </w:p>
        </w:tc>
        <w:tc>
          <w:tcPr>
            <w:tcW w:w="345" w:type="dxa"/>
            <w:tcBorders>
              <w:top w:val="nil"/>
              <w:left w:val="nil"/>
              <w:bottom w:val="single" w:color="auto" w:sz="4" w:space="0"/>
              <w:right w:val="single" w:color="auto" w:sz="4" w:space="0"/>
            </w:tcBorders>
            <w:shd w:val="clear" w:color="auto" w:fill="auto"/>
            <w:vAlign w:val="center"/>
          </w:tcPr>
          <w:p w14:paraId="5A30C01E">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283ECBA4">
            <w:pPr>
              <w:widowControl/>
              <w:jc w:val="center"/>
              <w:rPr>
                <w:kern w:val="0"/>
                <w:szCs w:val="21"/>
              </w:rPr>
            </w:pPr>
            <w:r>
              <w:rPr>
                <w:kern w:val="0"/>
                <w:szCs w:val="21"/>
              </w:rPr>
              <w:t>100</w:t>
            </w:r>
          </w:p>
        </w:tc>
        <w:tc>
          <w:tcPr>
            <w:tcW w:w="531" w:type="dxa"/>
            <w:tcBorders>
              <w:top w:val="nil"/>
              <w:left w:val="nil"/>
              <w:bottom w:val="single" w:color="auto" w:sz="4" w:space="0"/>
              <w:right w:val="single" w:color="auto" w:sz="4" w:space="0"/>
            </w:tcBorders>
            <w:shd w:val="clear" w:color="auto" w:fill="auto"/>
            <w:vAlign w:val="center"/>
          </w:tcPr>
          <w:p w14:paraId="735A1847">
            <w:pPr>
              <w:widowControl/>
              <w:jc w:val="center"/>
              <w:rPr>
                <w:kern w:val="0"/>
                <w:szCs w:val="21"/>
              </w:rPr>
            </w:pPr>
            <w:r>
              <w:rPr>
                <w:kern w:val="0"/>
                <w:szCs w:val="21"/>
              </w:rPr>
              <w:t>284</w:t>
            </w:r>
          </w:p>
        </w:tc>
        <w:tc>
          <w:tcPr>
            <w:tcW w:w="426" w:type="dxa"/>
            <w:tcBorders>
              <w:top w:val="nil"/>
              <w:left w:val="nil"/>
              <w:bottom w:val="single" w:color="auto" w:sz="4" w:space="0"/>
              <w:right w:val="single" w:color="auto" w:sz="4" w:space="0"/>
            </w:tcBorders>
            <w:shd w:val="clear" w:color="auto" w:fill="auto"/>
            <w:vAlign w:val="center"/>
          </w:tcPr>
          <w:p w14:paraId="007758C5">
            <w:pPr>
              <w:widowControl/>
              <w:jc w:val="center"/>
              <w:rPr>
                <w:kern w:val="0"/>
                <w:szCs w:val="21"/>
              </w:rPr>
            </w:pPr>
            <w:r>
              <w:rPr>
                <w:kern w:val="0"/>
                <w:szCs w:val="21"/>
              </w:rPr>
              <w:t>24</w:t>
            </w:r>
          </w:p>
        </w:tc>
        <w:tc>
          <w:tcPr>
            <w:tcW w:w="531" w:type="dxa"/>
            <w:tcBorders>
              <w:top w:val="nil"/>
              <w:left w:val="nil"/>
              <w:bottom w:val="single" w:color="auto" w:sz="4" w:space="0"/>
              <w:right w:val="single" w:color="auto" w:sz="4" w:space="0"/>
            </w:tcBorders>
            <w:shd w:val="clear" w:color="auto" w:fill="auto"/>
            <w:vAlign w:val="center"/>
          </w:tcPr>
          <w:p w14:paraId="0591AE46">
            <w:pPr>
              <w:widowControl/>
              <w:jc w:val="center"/>
              <w:rPr>
                <w:kern w:val="0"/>
                <w:szCs w:val="21"/>
              </w:rPr>
            </w:pPr>
            <w:r>
              <w:rPr>
                <w:kern w:val="0"/>
                <w:szCs w:val="21"/>
              </w:rPr>
              <w:t>157</w:t>
            </w:r>
          </w:p>
        </w:tc>
        <w:tc>
          <w:tcPr>
            <w:tcW w:w="584" w:type="dxa"/>
            <w:tcBorders>
              <w:top w:val="nil"/>
              <w:left w:val="nil"/>
              <w:bottom w:val="single" w:color="auto" w:sz="4" w:space="0"/>
              <w:right w:val="single" w:color="auto" w:sz="4" w:space="0"/>
            </w:tcBorders>
            <w:shd w:val="clear" w:color="auto" w:fill="auto"/>
            <w:vAlign w:val="center"/>
          </w:tcPr>
          <w:p w14:paraId="2B1B188C">
            <w:pPr>
              <w:widowControl/>
              <w:jc w:val="center"/>
              <w:rPr>
                <w:kern w:val="0"/>
                <w:szCs w:val="21"/>
              </w:rPr>
            </w:pPr>
            <w:r>
              <w:rPr>
                <w:kern w:val="0"/>
                <w:szCs w:val="21"/>
              </w:rPr>
              <w:t>60.1</w:t>
            </w:r>
          </w:p>
        </w:tc>
        <w:tc>
          <w:tcPr>
            <w:tcW w:w="584" w:type="dxa"/>
            <w:tcBorders>
              <w:top w:val="nil"/>
              <w:left w:val="nil"/>
              <w:bottom w:val="single" w:color="auto" w:sz="4" w:space="0"/>
              <w:right w:val="single" w:color="auto" w:sz="4" w:space="0"/>
            </w:tcBorders>
            <w:shd w:val="clear" w:color="auto" w:fill="auto"/>
            <w:vAlign w:val="center"/>
          </w:tcPr>
          <w:p w14:paraId="23A890B9">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4D22997C">
            <w:pPr>
              <w:widowControl/>
              <w:jc w:val="center"/>
              <w:rPr>
                <w:kern w:val="0"/>
                <w:szCs w:val="21"/>
              </w:rPr>
            </w:pPr>
            <w:r>
              <w:rPr>
                <w:kern w:val="0"/>
                <w:szCs w:val="21"/>
              </w:rPr>
              <w:t>64.2</w:t>
            </w:r>
          </w:p>
        </w:tc>
        <w:tc>
          <w:tcPr>
            <w:tcW w:w="584" w:type="dxa"/>
            <w:tcBorders>
              <w:top w:val="nil"/>
              <w:left w:val="nil"/>
              <w:bottom w:val="single" w:color="auto" w:sz="4" w:space="0"/>
              <w:right w:val="single" w:color="auto" w:sz="4" w:space="0"/>
            </w:tcBorders>
            <w:shd w:val="clear" w:color="auto" w:fill="auto"/>
            <w:vAlign w:val="center"/>
          </w:tcPr>
          <w:p w14:paraId="5992508C">
            <w:pPr>
              <w:widowControl/>
              <w:jc w:val="center"/>
              <w:rPr>
                <w:kern w:val="0"/>
                <w:szCs w:val="21"/>
              </w:rPr>
            </w:pPr>
            <w:r>
              <w:rPr>
                <w:kern w:val="0"/>
                <w:szCs w:val="21"/>
              </w:rPr>
              <w:t>61.6</w:t>
            </w:r>
          </w:p>
        </w:tc>
        <w:tc>
          <w:tcPr>
            <w:tcW w:w="636" w:type="dxa"/>
            <w:tcBorders>
              <w:top w:val="nil"/>
              <w:left w:val="nil"/>
              <w:bottom w:val="single" w:color="auto" w:sz="4" w:space="0"/>
              <w:right w:val="single" w:color="auto" w:sz="4" w:space="0"/>
            </w:tcBorders>
            <w:shd w:val="clear" w:color="auto" w:fill="auto"/>
            <w:vAlign w:val="center"/>
          </w:tcPr>
          <w:p w14:paraId="5EF465E7">
            <w:pPr>
              <w:widowControl/>
              <w:jc w:val="center"/>
              <w:rPr>
                <w:kern w:val="0"/>
                <w:szCs w:val="21"/>
              </w:rPr>
            </w:pPr>
            <w:r>
              <w:rPr>
                <w:kern w:val="0"/>
                <w:szCs w:val="21"/>
              </w:rPr>
              <w:t>1200</w:t>
            </w:r>
          </w:p>
        </w:tc>
        <w:tc>
          <w:tcPr>
            <w:tcW w:w="788" w:type="dxa"/>
            <w:tcBorders>
              <w:top w:val="nil"/>
              <w:left w:val="nil"/>
              <w:bottom w:val="single" w:color="auto" w:sz="4" w:space="0"/>
              <w:right w:val="single" w:color="auto" w:sz="4" w:space="0"/>
            </w:tcBorders>
            <w:shd w:val="clear" w:color="auto" w:fill="auto"/>
            <w:vAlign w:val="center"/>
          </w:tcPr>
          <w:p w14:paraId="2650064D">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600442F7">
            <w:pPr>
              <w:widowControl/>
              <w:jc w:val="center"/>
              <w:rPr>
                <w:kern w:val="0"/>
                <w:szCs w:val="21"/>
              </w:rPr>
            </w:pPr>
            <w:r>
              <w:rPr>
                <w:kern w:val="0"/>
                <w:szCs w:val="21"/>
              </w:rPr>
              <w:t>38.2</w:t>
            </w:r>
          </w:p>
        </w:tc>
        <w:tc>
          <w:tcPr>
            <w:tcW w:w="584" w:type="dxa"/>
            <w:tcBorders>
              <w:top w:val="nil"/>
              <w:left w:val="nil"/>
              <w:bottom w:val="single" w:color="auto" w:sz="4" w:space="0"/>
              <w:right w:val="single" w:color="auto" w:sz="4" w:space="0"/>
            </w:tcBorders>
            <w:shd w:val="clear" w:color="auto" w:fill="auto"/>
            <w:vAlign w:val="center"/>
          </w:tcPr>
          <w:p w14:paraId="6622844F">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5E3D670F">
            <w:pPr>
              <w:widowControl/>
              <w:jc w:val="center"/>
              <w:rPr>
                <w:kern w:val="0"/>
                <w:szCs w:val="21"/>
              </w:rPr>
            </w:pPr>
            <w:r>
              <w:rPr>
                <w:kern w:val="0"/>
                <w:szCs w:val="21"/>
              </w:rPr>
              <w:t>38.2</w:t>
            </w:r>
          </w:p>
        </w:tc>
        <w:tc>
          <w:tcPr>
            <w:tcW w:w="584" w:type="dxa"/>
            <w:tcBorders>
              <w:top w:val="nil"/>
              <w:left w:val="nil"/>
              <w:bottom w:val="single" w:color="auto" w:sz="4" w:space="0"/>
              <w:right w:val="single" w:color="auto" w:sz="4" w:space="0"/>
            </w:tcBorders>
            <w:shd w:val="clear" w:color="auto" w:fill="auto"/>
            <w:vAlign w:val="center"/>
          </w:tcPr>
          <w:p w14:paraId="73D85CF2">
            <w:pPr>
              <w:widowControl/>
              <w:jc w:val="center"/>
              <w:rPr>
                <w:kern w:val="0"/>
                <w:szCs w:val="21"/>
              </w:rPr>
            </w:pPr>
            <w:r>
              <w:rPr>
                <w:kern w:val="0"/>
                <w:szCs w:val="21"/>
              </w:rPr>
              <w:t>35.6</w:t>
            </w:r>
          </w:p>
        </w:tc>
        <w:tc>
          <w:tcPr>
            <w:tcW w:w="426" w:type="dxa"/>
            <w:tcBorders>
              <w:top w:val="nil"/>
              <w:left w:val="nil"/>
              <w:bottom w:val="single" w:color="auto" w:sz="4" w:space="0"/>
              <w:right w:val="single" w:color="auto" w:sz="4" w:space="0"/>
            </w:tcBorders>
            <w:shd w:val="clear" w:color="auto" w:fill="auto"/>
            <w:vAlign w:val="center"/>
          </w:tcPr>
          <w:p w14:paraId="40D9105D">
            <w:pPr>
              <w:widowControl/>
              <w:jc w:val="center"/>
              <w:rPr>
                <w:kern w:val="0"/>
                <w:szCs w:val="21"/>
              </w:rPr>
            </w:pPr>
            <w:r>
              <w:rPr>
                <w:kern w:val="0"/>
                <w:szCs w:val="21"/>
              </w:rPr>
              <w:t>1</w:t>
            </w:r>
          </w:p>
        </w:tc>
      </w:tr>
      <w:tr w14:paraId="26C92C8C">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2CC21CA">
            <w:pPr>
              <w:widowControl/>
              <w:jc w:val="center"/>
              <w:rPr>
                <w:kern w:val="0"/>
                <w:szCs w:val="21"/>
              </w:rPr>
            </w:pPr>
            <w:r>
              <w:rPr>
                <w:kern w:val="0"/>
                <w:szCs w:val="21"/>
              </w:rPr>
              <w:t>22</w:t>
            </w:r>
          </w:p>
        </w:tc>
        <w:tc>
          <w:tcPr>
            <w:tcW w:w="426" w:type="dxa"/>
            <w:vMerge w:val="continue"/>
            <w:tcBorders>
              <w:top w:val="nil"/>
              <w:left w:val="single" w:color="auto" w:sz="4" w:space="0"/>
              <w:bottom w:val="single" w:color="auto" w:sz="4" w:space="0"/>
              <w:right w:val="single" w:color="auto" w:sz="4" w:space="0"/>
            </w:tcBorders>
            <w:vAlign w:val="center"/>
          </w:tcPr>
          <w:p w14:paraId="7168B556">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3A16054E">
            <w:pPr>
              <w:widowControl/>
              <w:jc w:val="center"/>
              <w:rPr>
                <w:kern w:val="0"/>
                <w:szCs w:val="21"/>
              </w:rPr>
            </w:pPr>
            <w:r>
              <w:rPr>
                <w:kern w:val="0"/>
                <w:szCs w:val="21"/>
              </w:rPr>
              <w:t>锥体卷板机</w:t>
            </w:r>
          </w:p>
        </w:tc>
        <w:tc>
          <w:tcPr>
            <w:tcW w:w="426" w:type="dxa"/>
            <w:tcBorders>
              <w:top w:val="nil"/>
              <w:left w:val="nil"/>
              <w:bottom w:val="single" w:color="auto" w:sz="4" w:space="0"/>
              <w:right w:val="single" w:color="auto" w:sz="4" w:space="0"/>
            </w:tcBorders>
            <w:shd w:val="clear" w:color="auto" w:fill="auto"/>
            <w:vAlign w:val="center"/>
          </w:tcPr>
          <w:p w14:paraId="66080D2E">
            <w:pPr>
              <w:widowControl/>
              <w:jc w:val="center"/>
              <w:rPr>
                <w:kern w:val="0"/>
                <w:szCs w:val="21"/>
              </w:rPr>
            </w:pPr>
            <w:r>
              <w:rPr>
                <w:kern w:val="0"/>
                <w:szCs w:val="21"/>
              </w:rPr>
              <w:t>80</w:t>
            </w:r>
          </w:p>
        </w:tc>
        <w:tc>
          <w:tcPr>
            <w:tcW w:w="636" w:type="dxa"/>
            <w:tcBorders>
              <w:top w:val="nil"/>
              <w:left w:val="nil"/>
              <w:bottom w:val="single" w:color="auto" w:sz="4" w:space="0"/>
              <w:right w:val="single" w:color="auto" w:sz="4" w:space="0"/>
            </w:tcBorders>
            <w:shd w:val="clear" w:color="auto" w:fill="auto"/>
            <w:vAlign w:val="center"/>
          </w:tcPr>
          <w:p w14:paraId="3898BCB7">
            <w:pPr>
              <w:widowControl/>
              <w:jc w:val="center"/>
              <w:rPr>
                <w:kern w:val="0"/>
                <w:szCs w:val="21"/>
              </w:rPr>
            </w:pPr>
            <w:r>
              <w:rPr>
                <w:kern w:val="0"/>
                <w:szCs w:val="21"/>
              </w:rPr>
              <w:t>2</w:t>
            </w:r>
          </w:p>
        </w:tc>
        <w:tc>
          <w:tcPr>
            <w:tcW w:w="636" w:type="dxa"/>
            <w:vMerge w:val="continue"/>
            <w:tcBorders>
              <w:left w:val="single" w:color="auto" w:sz="4" w:space="0"/>
              <w:right w:val="single" w:color="auto" w:sz="4" w:space="0"/>
            </w:tcBorders>
            <w:vAlign w:val="center"/>
          </w:tcPr>
          <w:p w14:paraId="32F14B05">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3098D376">
            <w:pPr>
              <w:widowControl/>
              <w:jc w:val="center"/>
              <w:rPr>
                <w:kern w:val="0"/>
                <w:szCs w:val="21"/>
              </w:rPr>
            </w:pPr>
            <w:r>
              <w:rPr>
                <w:kern w:val="0"/>
                <w:szCs w:val="21"/>
              </w:rPr>
              <w:t>25</w:t>
            </w:r>
          </w:p>
        </w:tc>
        <w:tc>
          <w:tcPr>
            <w:tcW w:w="531" w:type="dxa"/>
            <w:tcBorders>
              <w:top w:val="nil"/>
              <w:left w:val="nil"/>
              <w:bottom w:val="single" w:color="auto" w:sz="4" w:space="0"/>
              <w:right w:val="single" w:color="auto" w:sz="4" w:space="0"/>
            </w:tcBorders>
            <w:shd w:val="clear" w:color="auto" w:fill="auto"/>
            <w:vAlign w:val="center"/>
          </w:tcPr>
          <w:p w14:paraId="69DBC145">
            <w:pPr>
              <w:widowControl/>
              <w:jc w:val="center"/>
              <w:rPr>
                <w:kern w:val="0"/>
                <w:szCs w:val="21"/>
              </w:rPr>
            </w:pPr>
            <w:r>
              <w:rPr>
                <w:kern w:val="0"/>
                <w:szCs w:val="21"/>
              </w:rPr>
              <w:t>289</w:t>
            </w:r>
          </w:p>
        </w:tc>
        <w:tc>
          <w:tcPr>
            <w:tcW w:w="345" w:type="dxa"/>
            <w:tcBorders>
              <w:top w:val="nil"/>
              <w:left w:val="nil"/>
              <w:bottom w:val="single" w:color="auto" w:sz="4" w:space="0"/>
              <w:right w:val="single" w:color="auto" w:sz="4" w:space="0"/>
            </w:tcBorders>
            <w:shd w:val="clear" w:color="auto" w:fill="auto"/>
            <w:vAlign w:val="center"/>
          </w:tcPr>
          <w:p w14:paraId="0F34D6D7">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173CA2B6">
            <w:pPr>
              <w:widowControl/>
              <w:jc w:val="center"/>
              <w:rPr>
                <w:kern w:val="0"/>
                <w:szCs w:val="21"/>
              </w:rPr>
            </w:pPr>
            <w:r>
              <w:rPr>
                <w:kern w:val="0"/>
                <w:szCs w:val="21"/>
              </w:rPr>
              <w:t>99</w:t>
            </w:r>
          </w:p>
        </w:tc>
        <w:tc>
          <w:tcPr>
            <w:tcW w:w="531" w:type="dxa"/>
            <w:tcBorders>
              <w:top w:val="nil"/>
              <w:left w:val="nil"/>
              <w:bottom w:val="single" w:color="auto" w:sz="4" w:space="0"/>
              <w:right w:val="single" w:color="auto" w:sz="4" w:space="0"/>
            </w:tcBorders>
            <w:shd w:val="clear" w:color="auto" w:fill="auto"/>
            <w:vAlign w:val="center"/>
          </w:tcPr>
          <w:p w14:paraId="771B886B">
            <w:pPr>
              <w:widowControl/>
              <w:jc w:val="center"/>
              <w:rPr>
                <w:kern w:val="0"/>
                <w:szCs w:val="21"/>
              </w:rPr>
            </w:pPr>
            <w:r>
              <w:rPr>
                <w:kern w:val="0"/>
                <w:szCs w:val="21"/>
              </w:rPr>
              <w:t>289</w:t>
            </w:r>
          </w:p>
        </w:tc>
        <w:tc>
          <w:tcPr>
            <w:tcW w:w="426" w:type="dxa"/>
            <w:tcBorders>
              <w:top w:val="nil"/>
              <w:left w:val="nil"/>
              <w:bottom w:val="single" w:color="auto" w:sz="4" w:space="0"/>
              <w:right w:val="single" w:color="auto" w:sz="4" w:space="0"/>
            </w:tcBorders>
            <w:shd w:val="clear" w:color="auto" w:fill="auto"/>
            <w:vAlign w:val="center"/>
          </w:tcPr>
          <w:p w14:paraId="73218C41">
            <w:pPr>
              <w:widowControl/>
              <w:jc w:val="center"/>
              <w:rPr>
                <w:kern w:val="0"/>
                <w:szCs w:val="21"/>
              </w:rPr>
            </w:pPr>
            <w:r>
              <w:rPr>
                <w:kern w:val="0"/>
                <w:szCs w:val="21"/>
              </w:rPr>
              <w:t>25</w:t>
            </w:r>
          </w:p>
        </w:tc>
        <w:tc>
          <w:tcPr>
            <w:tcW w:w="531" w:type="dxa"/>
            <w:tcBorders>
              <w:top w:val="nil"/>
              <w:left w:val="nil"/>
              <w:bottom w:val="single" w:color="auto" w:sz="4" w:space="0"/>
              <w:right w:val="single" w:color="auto" w:sz="4" w:space="0"/>
            </w:tcBorders>
            <w:shd w:val="clear" w:color="auto" w:fill="auto"/>
            <w:vAlign w:val="center"/>
          </w:tcPr>
          <w:p w14:paraId="49B1728F">
            <w:pPr>
              <w:widowControl/>
              <w:jc w:val="center"/>
              <w:rPr>
                <w:kern w:val="0"/>
                <w:szCs w:val="21"/>
              </w:rPr>
            </w:pPr>
            <w:r>
              <w:rPr>
                <w:kern w:val="0"/>
                <w:szCs w:val="21"/>
              </w:rPr>
              <w:t>152</w:t>
            </w:r>
          </w:p>
        </w:tc>
        <w:tc>
          <w:tcPr>
            <w:tcW w:w="584" w:type="dxa"/>
            <w:tcBorders>
              <w:top w:val="nil"/>
              <w:left w:val="nil"/>
              <w:bottom w:val="single" w:color="auto" w:sz="4" w:space="0"/>
              <w:right w:val="single" w:color="auto" w:sz="4" w:space="0"/>
            </w:tcBorders>
            <w:shd w:val="clear" w:color="auto" w:fill="auto"/>
            <w:vAlign w:val="center"/>
          </w:tcPr>
          <w:p w14:paraId="7F544F05">
            <w:pPr>
              <w:widowControl/>
              <w:jc w:val="center"/>
              <w:rPr>
                <w:kern w:val="0"/>
                <w:szCs w:val="21"/>
              </w:rPr>
            </w:pPr>
            <w:r>
              <w:rPr>
                <w:kern w:val="0"/>
                <w:szCs w:val="21"/>
              </w:rPr>
              <w:t>60.5</w:t>
            </w:r>
          </w:p>
        </w:tc>
        <w:tc>
          <w:tcPr>
            <w:tcW w:w="584" w:type="dxa"/>
            <w:tcBorders>
              <w:top w:val="nil"/>
              <w:left w:val="nil"/>
              <w:bottom w:val="single" w:color="auto" w:sz="4" w:space="0"/>
              <w:right w:val="single" w:color="auto" w:sz="4" w:space="0"/>
            </w:tcBorders>
            <w:shd w:val="clear" w:color="auto" w:fill="auto"/>
            <w:vAlign w:val="center"/>
          </w:tcPr>
          <w:p w14:paraId="667FE1D3">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6D45155D">
            <w:pPr>
              <w:widowControl/>
              <w:jc w:val="center"/>
              <w:rPr>
                <w:kern w:val="0"/>
                <w:szCs w:val="21"/>
              </w:rPr>
            </w:pPr>
            <w:r>
              <w:rPr>
                <w:kern w:val="0"/>
                <w:szCs w:val="21"/>
              </w:rPr>
              <w:t>64.3</w:t>
            </w:r>
          </w:p>
        </w:tc>
        <w:tc>
          <w:tcPr>
            <w:tcW w:w="584" w:type="dxa"/>
            <w:tcBorders>
              <w:top w:val="nil"/>
              <w:left w:val="nil"/>
              <w:bottom w:val="single" w:color="auto" w:sz="4" w:space="0"/>
              <w:right w:val="single" w:color="auto" w:sz="4" w:space="0"/>
            </w:tcBorders>
            <w:shd w:val="clear" w:color="auto" w:fill="auto"/>
            <w:vAlign w:val="center"/>
          </w:tcPr>
          <w:p w14:paraId="2856C6A2">
            <w:pPr>
              <w:widowControl/>
              <w:jc w:val="center"/>
              <w:rPr>
                <w:kern w:val="0"/>
                <w:szCs w:val="21"/>
              </w:rPr>
            </w:pPr>
            <w:r>
              <w:rPr>
                <w:kern w:val="0"/>
                <w:szCs w:val="21"/>
              </w:rPr>
              <w:t>61.6</w:t>
            </w:r>
          </w:p>
        </w:tc>
        <w:tc>
          <w:tcPr>
            <w:tcW w:w="636" w:type="dxa"/>
            <w:tcBorders>
              <w:top w:val="nil"/>
              <w:left w:val="nil"/>
              <w:bottom w:val="single" w:color="auto" w:sz="4" w:space="0"/>
              <w:right w:val="single" w:color="auto" w:sz="4" w:space="0"/>
            </w:tcBorders>
            <w:shd w:val="clear" w:color="auto" w:fill="auto"/>
            <w:vAlign w:val="center"/>
          </w:tcPr>
          <w:p w14:paraId="2B544A01">
            <w:pPr>
              <w:widowControl/>
              <w:jc w:val="center"/>
              <w:rPr>
                <w:kern w:val="0"/>
                <w:szCs w:val="21"/>
              </w:rPr>
            </w:pPr>
            <w:r>
              <w:rPr>
                <w:kern w:val="0"/>
                <w:szCs w:val="21"/>
              </w:rPr>
              <w:t>1200</w:t>
            </w:r>
          </w:p>
        </w:tc>
        <w:tc>
          <w:tcPr>
            <w:tcW w:w="788" w:type="dxa"/>
            <w:tcBorders>
              <w:top w:val="nil"/>
              <w:left w:val="nil"/>
              <w:bottom w:val="single" w:color="auto" w:sz="4" w:space="0"/>
              <w:right w:val="single" w:color="auto" w:sz="4" w:space="0"/>
            </w:tcBorders>
            <w:shd w:val="clear" w:color="auto" w:fill="auto"/>
            <w:vAlign w:val="center"/>
          </w:tcPr>
          <w:p w14:paraId="03DE7D51">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1E1815D3">
            <w:pPr>
              <w:widowControl/>
              <w:jc w:val="center"/>
              <w:rPr>
                <w:kern w:val="0"/>
                <w:szCs w:val="21"/>
              </w:rPr>
            </w:pPr>
            <w:r>
              <w:rPr>
                <w:kern w:val="0"/>
                <w:szCs w:val="21"/>
              </w:rPr>
              <w:t>38.3</w:t>
            </w:r>
          </w:p>
        </w:tc>
        <w:tc>
          <w:tcPr>
            <w:tcW w:w="584" w:type="dxa"/>
            <w:tcBorders>
              <w:top w:val="nil"/>
              <w:left w:val="nil"/>
              <w:bottom w:val="single" w:color="auto" w:sz="4" w:space="0"/>
              <w:right w:val="single" w:color="auto" w:sz="4" w:space="0"/>
            </w:tcBorders>
            <w:shd w:val="clear" w:color="auto" w:fill="auto"/>
            <w:vAlign w:val="center"/>
          </w:tcPr>
          <w:p w14:paraId="48B1B093">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140BB65B">
            <w:pPr>
              <w:widowControl/>
              <w:jc w:val="center"/>
              <w:rPr>
                <w:kern w:val="0"/>
                <w:szCs w:val="21"/>
              </w:rPr>
            </w:pPr>
            <w:r>
              <w:rPr>
                <w:kern w:val="0"/>
                <w:szCs w:val="21"/>
              </w:rPr>
              <w:t>38.3</w:t>
            </w:r>
          </w:p>
        </w:tc>
        <w:tc>
          <w:tcPr>
            <w:tcW w:w="584" w:type="dxa"/>
            <w:tcBorders>
              <w:top w:val="nil"/>
              <w:left w:val="nil"/>
              <w:bottom w:val="single" w:color="auto" w:sz="4" w:space="0"/>
              <w:right w:val="single" w:color="auto" w:sz="4" w:space="0"/>
            </w:tcBorders>
            <w:shd w:val="clear" w:color="auto" w:fill="auto"/>
            <w:vAlign w:val="center"/>
          </w:tcPr>
          <w:p w14:paraId="6EB385FD">
            <w:pPr>
              <w:widowControl/>
              <w:jc w:val="center"/>
              <w:rPr>
                <w:kern w:val="0"/>
                <w:szCs w:val="21"/>
              </w:rPr>
            </w:pPr>
            <w:r>
              <w:rPr>
                <w:kern w:val="0"/>
                <w:szCs w:val="21"/>
              </w:rPr>
              <w:t>35.6</w:t>
            </w:r>
          </w:p>
        </w:tc>
        <w:tc>
          <w:tcPr>
            <w:tcW w:w="426" w:type="dxa"/>
            <w:tcBorders>
              <w:top w:val="nil"/>
              <w:left w:val="nil"/>
              <w:bottom w:val="single" w:color="auto" w:sz="4" w:space="0"/>
              <w:right w:val="single" w:color="auto" w:sz="4" w:space="0"/>
            </w:tcBorders>
            <w:shd w:val="clear" w:color="auto" w:fill="auto"/>
            <w:vAlign w:val="center"/>
          </w:tcPr>
          <w:p w14:paraId="2896E49F">
            <w:pPr>
              <w:widowControl/>
              <w:jc w:val="center"/>
              <w:rPr>
                <w:kern w:val="0"/>
                <w:szCs w:val="21"/>
              </w:rPr>
            </w:pPr>
            <w:r>
              <w:rPr>
                <w:kern w:val="0"/>
                <w:szCs w:val="21"/>
              </w:rPr>
              <w:t>1</w:t>
            </w:r>
          </w:p>
        </w:tc>
      </w:tr>
      <w:tr w14:paraId="26717C3E">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71CA4A3C">
            <w:pPr>
              <w:widowControl/>
              <w:jc w:val="center"/>
              <w:rPr>
                <w:kern w:val="0"/>
                <w:szCs w:val="21"/>
              </w:rPr>
            </w:pPr>
            <w:r>
              <w:rPr>
                <w:kern w:val="0"/>
                <w:szCs w:val="21"/>
              </w:rPr>
              <w:t>23</w:t>
            </w:r>
          </w:p>
        </w:tc>
        <w:tc>
          <w:tcPr>
            <w:tcW w:w="426" w:type="dxa"/>
            <w:vMerge w:val="continue"/>
            <w:tcBorders>
              <w:top w:val="nil"/>
              <w:left w:val="single" w:color="auto" w:sz="4" w:space="0"/>
              <w:bottom w:val="single" w:color="auto" w:sz="4" w:space="0"/>
              <w:right w:val="single" w:color="auto" w:sz="4" w:space="0"/>
            </w:tcBorders>
            <w:vAlign w:val="center"/>
          </w:tcPr>
          <w:p w14:paraId="23393039">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4219EA97">
            <w:pPr>
              <w:widowControl/>
              <w:jc w:val="center"/>
              <w:rPr>
                <w:kern w:val="0"/>
                <w:szCs w:val="21"/>
              </w:rPr>
            </w:pPr>
            <w:r>
              <w:rPr>
                <w:kern w:val="0"/>
                <w:szCs w:val="21"/>
              </w:rPr>
              <w:t>喷塑房</w:t>
            </w:r>
          </w:p>
        </w:tc>
        <w:tc>
          <w:tcPr>
            <w:tcW w:w="426" w:type="dxa"/>
            <w:tcBorders>
              <w:top w:val="nil"/>
              <w:left w:val="nil"/>
              <w:bottom w:val="single" w:color="auto" w:sz="4" w:space="0"/>
              <w:right w:val="single" w:color="auto" w:sz="4" w:space="0"/>
            </w:tcBorders>
            <w:shd w:val="clear" w:color="auto" w:fill="auto"/>
            <w:vAlign w:val="center"/>
          </w:tcPr>
          <w:p w14:paraId="42D53906">
            <w:pPr>
              <w:widowControl/>
              <w:jc w:val="center"/>
              <w:rPr>
                <w:kern w:val="0"/>
                <w:szCs w:val="21"/>
              </w:rPr>
            </w:pPr>
            <w:r>
              <w:rPr>
                <w:kern w:val="0"/>
                <w:szCs w:val="21"/>
              </w:rPr>
              <w:t>75</w:t>
            </w:r>
          </w:p>
        </w:tc>
        <w:tc>
          <w:tcPr>
            <w:tcW w:w="636" w:type="dxa"/>
            <w:tcBorders>
              <w:top w:val="nil"/>
              <w:left w:val="nil"/>
              <w:bottom w:val="single" w:color="auto" w:sz="4" w:space="0"/>
              <w:right w:val="single" w:color="auto" w:sz="4" w:space="0"/>
            </w:tcBorders>
            <w:shd w:val="clear" w:color="auto" w:fill="auto"/>
            <w:vAlign w:val="center"/>
          </w:tcPr>
          <w:p w14:paraId="21147A6D">
            <w:pPr>
              <w:widowControl/>
              <w:jc w:val="center"/>
              <w:rPr>
                <w:kern w:val="0"/>
                <w:szCs w:val="21"/>
              </w:rPr>
            </w:pPr>
            <w:r>
              <w:rPr>
                <w:kern w:val="0"/>
                <w:szCs w:val="21"/>
              </w:rPr>
              <w:t>1</w:t>
            </w:r>
          </w:p>
        </w:tc>
        <w:tc>
          <w:tcPr>
            <w:tcW w:w="636" w:type="dxa"/>
            <w:vMerge w:val="continue"/>
            <w:tcBorders>
              <w:left w:val="single" w:color="auto" w:sz="4" w:space="0"/>
              <w:right w:val="single" w:color="auto" w:sz="4" w:space="0"/>
            </w:tcBorders>
            <w:vAlign w:val="center"/>
          </w:tcPr>
          <w:p w14:paraId="4180FC49">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58458A8A">
            <w:pPr>
              <w:widowControl/>
              <w:jc w:val="center"/>
              <w:rPr>
                <w:kern w:val="0"/>
                <w:szCs w:val="21"/>
              </w:rPr>
            </w:pPr>
            <w:r>
              <w:rPr>
                <w:kern w:val="0"/>
                <w:szCs w:val="21"/>
              </w:rPr>
              <w:t>40</w:t>
            </w:r>
          </w:p>
        </w:tc>
        <w:tc>
          <w:tcPr>
            <w:tcW w:w="531" w:type="dxa"/>
            <w:tcBorders>
              <w:top w:val="nil"/>
              <w:left w:val="nil"/>
              <w:bottom w:val="single" w:color="auto" w:sz="4" w:space="0"/>
              <w:right w:val="single" w:color="auto" w:sz="4" w:space="0"/>
            </w:tcBorders>
            <w:shd w:val="clear" w:color="auto" w:fill="auto"/>
            <w:vAlign w:val="center"/>
          </w:tcPr>
          <w:p w14:paraId="1FD4A00A">
            <w:pPr>
              <w:widowControl/>
              <w:jc w:val="center"/>
              <w:rPr>
                <w:kern w:val="0"/>
                <w:szCs w:val="21"/>
              </w:rPr>
            </w:pPr>
            <w:r>
              <w:rPr>
                <w:kern w:val="0"/>
                <w:szCs w:val="21"/>
              </w:rPr>
              <w:t>221</w:t>
            </w:r>
          </w:p>
        </w:tc>
        <w:tc>
          <w:tcPr>
            <w:tcW w:w="345" w:type="dxa"/>
            <w:tcBorders>
              <w:top w:val="nil"/>
              <w:left w:val="nil"/>
              <w:bottom w:val="single" w:color="auto" w:sz="4" w:space="0"/>
              <w:right w:val="single" w:color="auto" w:sz="4" w:space="0"/>
            </w:tcBorders>
            <w:shd w:val="clear" w:color="auto" w:fill="auto"/>
            <w:vAlign w:val="center"/>
          </w:tcPr>
          <w:p w14:paraId="510A3C18">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3DA9201F">
            <w:pPr>
              <w:widowControl/>
              <w:jc w:val="center"/>
              <w:rPr>
                <w:kern w:val="0"/>
                <w:szCs w:val="21"/>
              </w:rPr>
            </w:pPr>
            <w:r>
              <w:rPr>
                <w:kern w:val="0"/>
                <w:szCs w:val="21"/>
              </w:rPr>
              <w:t>84</w:t>
            </w:r>
          </w:p>
        </w:tc>
        <w:tc>
          <w:tcPr>
            <w:tcW w:w="531" w:type="dxa"/>
            <w:tcBorders>
              <w:top w:val="nil"/>
              <w:left w:val="nil"/>
              <w:bottom w:val="single" w:color="auto" w:sz="4" w:space="0"/>
              <w:right w:val="single" w:color="auto" w:sz="4" w:space="0"/>
            </w:tcBorders>
            <w:shd w:val="clear" w:color="auto" w:fill="auto"/>
            <w:vAlign w:val="center"/>
          </w:tcPr>
          <w:p w14:paraId="7EF0A50F">
            <w:pPr>
              <w:widowControl/>
              <w:jc w:val="center"/>
              <w:rPr>
                <w:kern w:val="0"/>
                <w:szCs w:val="21"/>
              </w:rPr>
            </w:pPr>
            <w:r>
              <w:rPr>
                <w:kern w:val="0"/>
                <w:szCs w:val="21"/>
              </w:rPr>
              <w:t>221</w:t>
            </w:r>
          </w:p>
        </w:tc>
        <w:tc>
          <w:tcPr>
            <w:tcW w:w="426" w:type="dxa"/>
            <w:tcBorders>
              <w:top w:val="nil"/>
              <w:left w:val="nil"/>
              <w:bottom w:val="single" w:color="auto" w:sz="4" w:space="0"/>
              <w:right w:val="single" w:color="auto" w:sz="4" w:space="0"/>
            </w:tcBorders>
            <w:shd w:val="clear" w:color="auto" w:fill="auto"/>
            <w:vAlign w:val="center"/>
          </w:tcPr>
          <w:p w14:paraId="73A1799E">
            <w:pPr>
              <w:widowControl/>
              <w:jc w:val="center"/>
              <w:rPr>
                <w:kern w:val="0"/>
                <w:szCs w:val="21"/>
              </w:rPr>
            </w:pPr>
            <w:r>
              <w:rPr>
                <w:kern w:val="0"/>
                <w:szCs w:val="21"/>
              </w:rPr>
              <w:t>40</w:t>
            </w:r>
          </w:p>
        </w:tc>
        <w:tc>
          <w:tcPr>
            <w:tcW w:w="531" w:type="dxa"/>
            <w:tcBorders>
              <w:top w:val="nil"/>
              <w:left w:val="nil"/>
              <w:bottom w:val="single" w:color="auto" w:sz="4" w:space="0"/>
              <w:right w:val="single" w:color="auto" w:sz="4" w:space="0"/>
            </w:tcBorders>
            <w:shd w:val="clear" w:color="auto" w:fill="auto"/>
            <w:vAlign w:val="center"/>
          </w:tcPr>
          <w:p w14:paraId="4A0DFAB1">
            <w:pPr>
              <w:widowControl/>
              <w:jc w:val="center"/>
              <w:rPr>
                <w:kern w:val="0"/>
                <w:szCs w:val="21"/>
              </w:rPr>
            </w:pPr>
            <w:r>
              <w:rPr>
                <w:kern w:val="0"/>
                <w:szCs w:val="21"/>
              </w:rPr>
              <w:t>220</w:t>
            </w:r>
          </w:p>
        </w:tc>
        <w:tc>
          <w:tcPr>
            <w:tcW w:w="584" w:type="dxa"/>
            <w:tcBorders>
              <w:top w:val="nil"/>
              <w:left w:val="nil"/>
              <w:bottom w:val="single" w:color="auto" w:sz="4" w:space="0"/>
              <w:right w:val="single" w:color="auto" w:sz="4" w:space="0"/>
            </w:tcBorders>
            <w:shd w:val="clear" w:color="auto" w:fill="auto"/>
            <w:vAlign w:val="center"/>
          </w:tcPr>
          <w:p w14:paraId="549A2B1B">
            <w:pPr>
              <w:widowControl/>
              <w:jc w:val="center"/>
              <w:rPr>
                <w:kern w:val="0"/>
                <w:szCs w:val="21"/>
              </w:rPr>
            </w:pPr>
            <w:r>
              <w:rPr>
                <w:kern w:val="0"/>
                <w:szCs w:val="21"/>
              </w:rPr>
              <w:t>60.6</w:t>
            </w:r>
          </w:p>
        </w:tc>
        <w:tc>
          <w:tcPr>
            <w:tcW w:w="584" w:type="dxa"/>
            <w:tcBorders>
              <w:top w:val="nil"/>
              <w:left w:val="nil"/>
              <w:bottom w:val="single" w:color="auto" w:sz="4" w:space="0"/>
              <w:right w:val="single" w:color="auto" w:sz="4" w:space="0"/>
            </w:tcBorders>
            <w:shd w:val="clear" w:color="auto" w:fill="auto"/>
            <w:vAlign w:val="center"/>
          </w:tcPr>
          <w:p w14:paraId="54A0762F">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2799C399">
            <w:pPr>
              <w:widowControl/>
              <w:jc w:val="center"/>
              <w:rPr>
                <w:kern w:val="0"/>
                <w:szCs w:val="21"/>
              </w:rPr>
            </w:pPr>
            <w:r>
              <w:rPr>
                <w:kern w:val="0"/>
                <w:szCs w:val="21"/>
              </w:rPr>
              <w:t>61.2</w:t>
            </w:r>
          </w:p>
        </w:tc>
        <w:tc>
          <w:tcPr>
            <w:tcW w:w="584" w:type="dxa"/>
            <w:tcBorders>
              <w:top w:val="nil"/>
              <w:left w:val="nil"/>
              <w:bottom w:val="single" w:color="auto" w:sz="4" w:space="0"/>
              <w:right w:val="single" w:color="auto" w:sz="4" w:space="0"/>
            </w:tcBorders>
            <w:shd w:val="clear" w:color="auto" w:fill="auto"/>
            <w:vAlign w:val="center"/>
          </w:tcPr>
          <w:p w14:paraId="40A05A78">
            <w:pPr>
              <w:widowControl/>
              <w:jc w:val="center"/>
              <w:rPr>
                <w:kern w:val="0"/>
                <w:szCs w:val="21"/>
              </w:rPr>
            </w:pPr>
            <w:r>
              <w:rPr>
                <w:kern w:val="0"/>
                <w:szCs w:val="21"/>
              </w:rPr>
              <w:t>58.3</w:t>
            </w:r>
          </w:p>
        </w:tc>
        <w:tc>
          <w:tcPr>
            <w:tcW w:w="636" w:type="dxa"/>
            <w:tcBorders>
              <w:top w:val="nil"/>
              <w:left w:val="nil"/>
              <w:bottom w:val="single" w:color="auto" w:sz="4" w:space="0"/>
              <w:right w:val="single" w:color="auto" w:sz="4" w:space="0"/>
            </w:tcBorders>
            <w:shd w:val="clear" w:color="auto" w:fill="auto"/>
            <w:vAlign w:val="center"/>
          </w:tcPr>
          <w:p w14:paraId="393F8020">
            <w:pPr>
              <w:widowControl/>
              <w:jc w:val="center"/>
              <w:rPr>
                <w:kern w:val="0"/>
                <w:szCs w:val="21"/>
              </w:rPr>
            </w:pPr>
            <w:r>
              <w:rPr>
                <w:kern w:val="0"/>
                <w:szCs w:val="21"/>
              </w:rPr>
              <w:t>1800</w:t>
            </w:r>
          </w:p>
        </w:tc>
        <w:tc>
          <w:tcPr>
            <w:tcW w:w="788" w:type="dxa"/>
            <w:tcBorders>
              <w:top w:val="nil"/>
              <w:left w:val="nil"/>
              <w:bottom w:val="single" w:color="auto" w:sz="4" w:space="0"/>
              <w:right w:val="single" w:color="auto" w:sz="4" w:space="0"/>
            </w:tcBorders>
            <w:shd w:val="clear" w:color="auto" w:fill="auto"/>
            <w:vAlign w:val="center"/>
          </w:tcPr>
          <w:p w14:paraId="2EBAE2DE">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6ED6BD29">
            <w:pPr>
              <w:widowControl/>
              <w:jc w:val="center"/>
              <w:rPr>
                <w:kern w:val="0"/>
                <w:szCs w:val="21"/>
              </w:rPr>
            </w:pPr>
            <w:r>
              <w:rPr>
                <w:kern w:val="0"/>
                <w:szCs w:val="21"/>
              </w:rPr>
              <w:t>34.6</w:t>
            </w:r>
          </w:p>
        </w:tc>
        <w:tc>
          <w:tcPr>
            <w:tcW w:w="584" w:type="dxa"/>
            <w:tcBorders>
              <w:top w:val="nil"/>
              <w:left w:val="nil"/>
              <w:bottom w:val="single" w:color="auto" w:sz="4" w:space="0"/>
              <w:right w:val="single" w:color="auto" w:sz="4" w:space="0"/>
            </w:tcBorders>
            <w:shd w:val="clear" w:color="auto" w:fill="auto"/>
            <w:vAlign w:val="center"/>
          </w:tcPr>
          <w:p w14:paraId="253EC5E7">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6B68A20F">
            <w:pPr>
              <w:widowControl/>
              <w:jc w:val="center"/>
              <w:rPr>
                <w:kern w:val="0"/>
                <w:szCs w:val="21"/>
              </w:rPr>
            </w:pPr>
            <w:r>
              <w:rPr>
                <w:kern w:val="0"/>
                <w:szCs w:val="21"/>
              </w:rPr>
              <w:t>35.2</w:t>
            </w:r>
          </w:p>
        </w:tc>
        <w:tc>
          <w:tcPr>
            <w:tcW w:w="584" w:type="dxa"/>
            <w:tcBorders>
              <w:top w:val="nil"/>
              <w:left w:val="nil"/>
              <w:bottom w:val="single" w:color="auto" w:sz="4" w:space="0"/>
              <w:right w:val="single" w:color="auto" w:sz="4" w:space="0"/>
            </w:tcBorders>
            <w:shd w:val="clear" w:color="auto" w:fill="auto"/>
            <w:vAlign w:val="center"/>
          </w:tcPr>
          <w:p w14:paraId="5B98A9D6">
            <w:pPr>
              <w:widowControl/>
              <w:jc w:val="center"/>
              <w:rPr>
                <w:kern w:val="0"/>
                <w:szCs w:val="21"/>
              </w:rPr>
            </w:pPr>
            <w:r>
              <w:rPr>
                <w:kern w:val="0"/>
                <w:szCs w:val="21"/>
              </w:rPr>
              <w:t>32.3</w:t>
            </w:r>
          </w:p>
        </w:tc>
        <w:tc>
          <w:tcPr>
            <w:tcW w:w="426" w:type="dxa"/>
            <w:tcBorders>
              <w:top w:val="nil"/>
              <w:left w:val="nil"/>
              <w:bottom w:val="single" w:color="auto" w:sz="4" w:space="0"/>
              <w:right w:val="single" w:color="auto" w:sz="4" w:space="0"/>
            </w:tcBorders>
            <w:shd w:val="clear" w:color="auto" w:fill="auto"/>
            <w:vAlign w:val="center"/>
          </w:tcPr>
          <w:p w14:paraId="0D7FA66C">
            <w:pPr>
              <w:widowControl/>
              <w:jc w:val="center"/>
              <w:rPr>
                <w:kern w:val="0"/>
                <w:szCs w:val="21"/>
              </w:rPr>
            </w:pPr>
            <w:r>
              <w:rPr>
                <w:kern w:val="0"/>
                <w:szCs w:val="21"/>
              </w:rPr>
              <w:t>1</w:t>
            </w:r>
          </w:p>
        </w:tc>
      </w:tr>
      <w:tr w14:paraId="203A3F9E">
        <w:tblPrEx>
          <w:tblCellMar>
            <w:top w:w="0" w:type="dxa"/>
            <w:left w:w="108" w:type="dxa"/>
            <w:bottom w:w="0" w:type="dxa"/>
            <w:right w:w="108" w:type="dxa"/>
          </w:tblCellMar>
        </w:tblPrEx>
        <w:trPr>
          <w:trHeight w:val="30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5CAB8EBA">
            <w:pPr>
              <w:widowControl/>
              <w:jc w:val="center"/>
              <w:rPr>
                <w:kern w:val="0"/>
                <w:szCs w:val="21"/>
              </w:rPr>
            </w:pPr>
            <w:r>
              <w:rPr>
                <w:kern w:val="0"/>
                <w:szCs w:val="21"/>
              </w:rPr>
              <w:t>24</w:t>
            </w:r>
          </w:p>
        </w:tc>
        <w:tc>
          <w:tcPr>
            <w:tcW w:w="426" w:type="dxa"/>
            <w:vMerge w:val="continue"/>
            <w:tcBorders>
              <w:top w:val="nil"/>
              <w:left w:val="single" w:color="auto" w:sz="4" w:space="0"/>
              <w:bottom w:val="single" w:color="auto" w:sz="4" w:space="0"/>
              <w:right w:val="single" w:color="auto" w:sz="4" w:space="0"/>
            </w:tcBorders>
            <w:vAlign w:val="center"/>
          </w:tcPr>
          <w:p w14:paraId="49F63344">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75C8DCC4">
            <w:pPr>
              <w:widowControl/>
              <w:jc w:val="center"/>
              <w:rPr>
                <w:kern w:val="0"/>
                <w:szCs w:val="21"/>
              </w:rPr>
            </w:pPr>
            <w:r>
              <w:rPr>
                <w:kern w:val="0"/>
                <w:szCs w:val="21"/>
              </w:rPr>
              <w:t>固化</w:t>
            </w:r>
            <w:r>
              <w:rPr>
                <w:rFonts w:hint="eastAsia"/>
                <w:kern w:val="0"/>
                <w:szCs w:val="21"/>
              </w:rPr>
              <w:t>间</w:t>
            </w:r>
          </w:p>
        </w:tc>
        <w:tc>
          <w:tcPr>
            <w:tcW w:w="426" w:type="dxa"/>
            <w:tcBorders>
              <w:top w:val="nil"/>
              <w:left w:val="nil"/>
              <w:bottom w:val="single" w:color="auto" w:sz="4" w:space="0"/>
              <w:right w:val="single" w:color="auto" w:sz="4" w:space="0"/>
            </w:tcBorders>
            <w:shd w:val="clear" w:color="auto" w:fill="auto"/>
            <w:vAlign w:val="center"/>
          </w:tcPr>
          <w:p w14:paraId="3FC47816">
            <w:pPr>
              <w:widowControl/>
              <w:jc w:val="center"/>
              <w:rPr>
                <w:kern w:val="0"/>
                <w:szCs w:val="21"/>
              </w:rPr>
            </w:pPr>
            <w:r>
              <w:rPr>
                <w:kern w:val="0"/>
                <w:szCs w:val="21"/>
              </w:rPr>
              <w:t>75</w:t>
            </w:r>
          </w:p>
        </w:tc>
        <w:tc>
          <w:tcPr>
            <w:tcW w:w="636" w:type="dxa"/>
            <w:tcBorders>
              <w:top w:val="nil"/>
              <w:left w:val="nil"/>
              <w:bottom w:val="single" w:color="auto" w:sz="4" w:space="0"/>
              <w:right w:val="single" w:color="auto" w:sz="4" w:space="0"/>
            </w:tcBorders>
            <w:shd w:val="clear" w:color="auto" w:fill="auto"/>
            <w:vAlign w:val="center"/>
          </w:tcPr>
          <w:p w14:paraId="21D4DAE0">
            <w:pPr>
              <w:widowControl/>
              <w:jc w:val="center"/>
              <w:rPr>
                <w:kern w:val="0"/>
                <w:szCs w:val="21"/>
              </w:rPr>
            </w:pPr>
            <w:r>
              <w:rPr>
                <w:kern w:val="0"/>
                <w:szCs w:val="21"/>
              </w:rPr>
              <w:t>1</w:t>
            </w:r>
          </w:p>
        </w:tc>
        <w:tc>
          <w:tcPr>
            <w:tcW w:w="636" w:type="dxa"/>
            <w:vMerge w:val="continue"/>
            <w:tcBorders>
              <w:left w:val="single" w:color="auto" w:sz="4" w:space="0"/>
              <w:right w:val="single" w:color="auto" w:sz="4" w:space="0"/>
            </w:tcBorders>
            <w:vAlign w:val="center"/>
          </w:tcPr>
          <w:p w14:paraId="588A5FD0">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4A58EEE4">
            <w:pPr>
              <w:widowControl/>
              <w:jc w:val="center"/>
              <w:rPr>
                <w:kern w:val="0"/>
                <w:szCs w:val="21"/>
              </w:rPr>
            </w:pPr>
            <w:r>
              <w:rPr>
                <w:kern w:val="0"/>
                <w:szCs w:val="21"/>
              </w:rPr>
              <w:t>42</w:t>
            </w:r>
          </w:p>
        </w:tc>
        <w:tc>
          <w:tcPr>
            <w:tcW w:w="531" w:type="dxa"/>
            <w:tcBorders>
              <w:top w:val="nil"/>
              <w:left w:val="nil"/>
              <w:bottom w:val="single" w:color="auto" w:sz="4" w:space="0"/>
              <w:right w:val="single" w:color="auto" w:sz="4" w:space="0"/>
            </w:tcBorders>
            <w:shd w:val="clear" w:color="auto" w:fill="auto"/>
            <w:vAlign w:val="center"/>
          </w:tcPr>
          <w:p w14:paraId="3137D87D">
            <w:pPr>
              <w:widowControl/>
              <w:jc w:val="center"/>
              <w:rPr>
                <w:kern w:val="0"/>
                <w:szCs w:val="21"/>
              </w:rPr>
            </w:pPr>
            <w:r>
              <w:rPr>
                <w:kern w:val="0"/>
                <w:szCs w:val="21"/>
              </w:rPr>
              <w:t>223</w:t>
            </w:r>
          </w:p>
        </w:tc>
        <w:tc>
          <w:tcPr>
            <w:tcW w:w="345" w:type="dxa"/>
            <w:tcBorders>
              <w:top w:val="nil"/>
              <w:left w:val="nil"/>
              <w:bottom w:val="single" w:color="auto" w:sz="4" w:space="0"/>
              <w:right w:val="single" w:color="auto" w:sz="4" w:space="0"/>
            </w:tcBorders>
            <w:shd w:val="clear" w:color="auto" w:fill="auto"/>
            <w:vAlign w:val="center"/>
          </w:tcPr>
          <w:p w14:paraId="489224C9">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0FC3E1E6">
            <w:pPr>
              <w:widowControl/>
              <w:jc w:val="center"/>
              <w:rPr>
                <w:kern w:val="0"/>
                <w:szCs w:val="21"/>
              </w:rPr>
            </w:pPr>
            <w:r>
              <w:rPr>
                <w:kern w:val="0"/>
                <w:szCs w:val="21"/>
              </w:rPr>
              <w:t>82</w:t>
            </w:r>
          </w:p>
        </w:tc>
        <w:tc>
          <w:tcPr>
            <w:tcW w:w="531" w:type="dxa"/>
            <w:tcBorders>
              <w:top w:val="nil"/>
              <w:left w:val="nil"/>
              <w:bottom w:val="single" w:color="auto" w:sz="4" w:space="0"/>
              <w:right w:val="single" w:color="auto" w:sz="4" w:space="0"/>
            </w:tcBorders>
            <w:shd w:val="clear" w:color="auto" w:fill="auto"/>
            <w:vAlign w:val="center"/>
          </w:tcPr>
          <w:p w14:paraId="4EDDD93F">
            <w:pPr>
              <w:widowControl/>
              <w:jc w:val="center"/>
              <w:rPr>
                <w:kern w:val="0"/>
                <w:szCs w:val="21"/>
              </w:rPr>
            </w:pPr>
            <w:r>
              <w:rPr>
                <w:kern w:val="0"/>
                <w:szCs w:val="21"/>
              </w:rPr>
              <w:t>223</w:t>
            </w:r>
          </w:p>
        </w:tc>
        <w:tc>
          <w:tcPr>
            <w:tcW w:w="426" w:type="dxa"/>
            <w:tcBorders>
              <w:top w:val="nil"/>
              <w:left w:val="nil"/>
              <w:bottom w:val="single" w:color="auto" w:sz="4" w:space="0"/>
              <w:right w:val="single" w:color="auto" w:sz="4" w:space="0"/>
            </w:tcBorders>
            <w:shd w:val="clear" w:color="auto" w:fill="auto"/>
            <w:vAlign w:val="center"/>
          </w:tcPr>
          <w:p w14:paraId="162777F1">
            <w:pPr>
              <w:widowControl/>
              <w:jc w:val="center"/>
              <w:rPr>
                <w:kern w:val="0"/>
                <w:szCs w:val="21"/>
              </w:rPr>
            </w:pPr>
            <w:r>
              <w:rPr>
                <w:kern w:val="0"/>
                <w:szCs w:val="21"/>
              </w:rPr>
              <w:t>42</w:t>
            </w:r>
          </w:p>
        </w:tc>
        <w:tc>
          <w:tcPr>
            <w:tcW w:w="531" w:type="dxa"/>
            <w:tcBorders>
              <w:top w:val="nil"/>
              <w:left w:val="nil"/>
              <w:bottom w:val="single" w:color="auto" w:sz="4" w:space="0"/>
              <w:right w:val="single" w:color="auto" w:sz="4" w:space="0"/>
            </w:tcBorders>
            <w:shd w:val="clear" w:color="auto" w:fill="auto"/>
            <w:vAlign w:val="center"/>
          </w:tcPr>
          <w:p w14:paraId="05EAFD34">
            <w:pPr>
              <w:widowControl/>
              <w:jc w:val="center"/>
              <w:rPr>
                <w:kern w:val="0"/>
                <w:szCs w:val="21"/>
              </w:rPr>
            </w:pPr>
            <w:r>
              <w:rPr>
                <w:kern w:val="0"/>
                <w:szCs w:val="21"/>
              </w:rPr>
              <w:t>218</w:t>
            </w:r>
          </w:p>
        </w:tc>
        <w:tc>
          <w:tcPr>
            <w:tcW w:w="584" w:type="dxa"/>
            <w:tcBorders>
              <w:top w:val="nil"/>
              <w:left w:val="nil"/>
              <w:bottom w:val="single" w:color="auto" w:sz="4" w:space="0"/>
              <w:right w:val="single" w:color="auto" w:sz="4" w:space="0"/>
            </w:tcBorders>
            <w:shd w:val="clear" w:color="auto" w:fill="auto"/>
            <w:vAlign w:val="center"/>
          </w:tcPr>
          <w:p w14:paraId="7CDB363E">
            <w:pPr>
              <w:widowControl/>
              <w:jc w:val="center"/>
              <w:rPr>
                <w:kern w:val="0"/>
                <w:szCs w:val="21"/>
              </w:rPr>
            </w:pPr>
            <w:r>
              <w:rPr>
                <w:kern w:val="0"/>
                <w:szCs w:val="21"/>
              </w:rPr>
              <w:t>60.8</w:t>
            </w:r>
          </w:p>
        </w:tc>
        <w:tc>
          <w:tcPr>
            <w:tcW w:w="584" w:type="dxa"/>
            <w:tcBorders>
              <w:top w:val="nil"/>
              <w:left w:val="nil"/>
              <w:bottom w:val="single" w:color="auto" w:sz="4" w:space="0"/>
              <w:right w:val="single" w:color="auto" w:sz="4" w:space="0"/>
            </w:tcBorders>
            <w:shd w:val="clear" w:color="auto" w:fill="auto"/>
            <w:vAlign w:val="center"/>
          </w:tcPr>
          <w:p w14:paraId="35622417">
            <w:pPr>
              <w:widowControl/>
              <w:jc w:val="center"/>
              <w:rPr>
                <w:kern w:val="0"/>
                <w:szCs w:val="21"/>
              </w:rPr>
            </w:pPr>
            <w:r>
              <w:rPr>
                <w:kern w:val="0"/>
                <w:szCs w:val="21"/>
              </w:rPr>
              <w:t>58.8</w:t>
            </w:r>
          </w:p>
        </w:tc>
        <w:tc>
          <w:tcPr>
            <w:tcW w:w="584" w:type="dxa"/>
            <w:tcBorders>
              <w:top w:val="nil"/>
              <w:left w:val="nil"/>
              <w:bottom w:val="single" w:color="auto" w:sz="4" w:space="0"/>
              <w:right w:val="single" w:color="auto" w:sz="4" w:space="0"/>
            </w:tcBorders>
            <w:shd w:val="clear" w:color="auto" w:fill="auto"/>
            <w:vAlign w:val="center"/>
          </w:tcPr>
          <w:p w14:paraId="0003F516">
            <w:pPr>
              <w:widowControl/>
              <w:jc w:val="center"/>
              <w:rPr>
                <w:kern w:val="0"/>
                <w:szCs w:val="21"/>
              </w:rPr>
            </w:pPr>
            <w:r>
              <w:rPr>
                <w:kern w:val="0"/>
                <w:szCs w:val="21"/>
              </w:rPr>
              <w:t>61.1</w:t>
            </w:r>
          </w:p>
        </w:tc>
        <w:tc>
          <w:tcPr>
            <w:tcW w:w="584" w:type="dxa"/>
            <w:tcBorders>
              <w:top w:val="nil"/>
              <w:left w:val="nil"/>
              <w:bottom w:val="single" w:color="auto" w:sz="4" w:space="0"/>
              <w:right w:val="single" w:color="auto" w:sz="4" w:space="0"/>
            </w:tcBorders>
            <w:shd w:val="clear" w:color="auto" w:fill="auto"/>
            <w:vAlign w:val="center"/>
          </w:tcPr>
          <w:p w14:paraId="2BF2E564">
            <w:pPr>
              <w:widowControl/>
              <w:jc w:val="center"/>
              <w:rPr>
                <w:kern w:val="0"/>
                <w:szCs w:val="21"/>
              </w:rPr>
            </w:pPr>
            <w:r>
              <w:rPr>
                <w:kern w:val="0"/>
                <w:szCs w:val="21"/>
              </w:rPr>
              <w:t>58.3</w:t>
            </w:r>
          </w:p>
        </w:tc>
        <w:tc>
          <w:tcPr>
            <w:tcW w:w="636" w:type="dxa"/>
            <w:tcBorders>
              <w:top w:val="nil"/>
              <w:left w:val="nil"/>
              <w:bottom w:val="single" w:color="auto" w:sz="4" w:space="0"/>
              <w:right w:val="single" w:color="auto" w:sz="4" w:space="0"/>
            </w:tcBorders>
            <w:shd w:val="clear" w:color="auto" w:fill="auto"/>
            <w:vAlign w:val="center"/>
          </w:tcPr>
          <w:p w14:paraId="1AFB38A9">
            <w:pPr>
              <w:widowControl/>
              <w:jc w:val="center"/>
              <w:rPr>
                <w:kern w:val="0"/>
                <w:szCs w:val="21"/>
              </w:rPr>
            </w:pPr>
            <w:r>
              <w:rPr>
                <w:kern w:val="0"/>
                <w:szCs w:val="21"/>
              </w:rPr>
              <w:t>1800</w:t>
            </w:r>
          </w:p>
        </w:tc>
        <w:tc>
          <w:tcPr>
            <w:tcW w:w="788" w:type="dxa"/>
            <w:tcBorders>
              <w:top w:val="nil"/>
              <w:left w:val="nil"/>
              <w:bottom w:val="single" w:color="auto" w:sz="4" w:space="0"/>
              <w:right w:val="single" w:color="auto" w:sz="4" w:space="0"/>
            </w:tcBorders>
            <w:shd w:val="clear" w:color="auto" w:fill="auto"/>
            <w:vAlign w:val="center"/>
          </w:tcPr>
          <w:p w14:paraId="101C0A78">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01FF9A81">
            <w:pPr>
              <w:widowControl/>
              <w:jc w:val="center"/>
              <w:rPr>
                <w:kern w:val="0"/>
                <w:szCs w:val="21"/>
              </w:rPr>
            </w:pPr>
            <w:r>
              <w:rPr>
                <w:kern w:val="0"/>
                <w:szCs w:val="21"/>
              </w:rPr>
              <w:t>34.8</w:t>
            </w:r>
          </w:p>
        </w:tc>
        <w:tc>
          <w:tcPr>
            <w:tcW w:w="584" w:type="dxa"/>
            <w:tcBorders>
              <w:top w:val="nil"/>
              <w:left w:val="nil"/>
              <w:bottom w:val="single" w:color="auto" w:sz="4" w:space="0"/>
              <w:right w:val="single" w:color="auto" w:sz="4" w:space="0"/>
            </w:tcBorders>
            <w:shd w:val="clear" w:color="auto" w:fill="auto"/>
            <w:vAlign w:val="center"/>
          </w:tcPr>
          <w:p w14:paraId="71A1A117">
            <w:pPr>
              <w:widowControl/>
              <w:jc w:val="center"/>
              <w:rPr>
                <w:kern w:val="0"/>
                <w:szCs w:val="21"/>
              </w:rPr>
            </w:pPr>
            <w:r>
              <w:rPr>
                <w:kern w:val="0"/>
                <w:szCs w:val="21"/>
              </w:rPr>
              <w:t>32.8</w:t>
            </w:r>
          </w:p>
        </w:tc>
        <w:tc>
          <w:tcPr>
            <w:tcW w:w="584" w:type="dxa"/>
            <w:tcBorders>
              <w:top w:val="nil"/>
              <w:left w:val="nil"/>
              <w:bottom w:val="single" w:color="auto" w:sz="4" w:space="0"/>
              <w:right w:val="single" w:color="auto" w:sz="4" w:space="0"/>
            </w:tcBorders>
            <w:shd w:val="clear" w:color="auto" w:fill="auto"/>
            <w:vAlign w:val="center"/>
          </w:tcPr>
          <w:p w14:paraId="1D2266C4">
            <w:pPr>
              <w:widowControl/>
              <w:jc w:val="center"/>
              <w:rPr>
                <w:kern w:val="0"/>
                <w:szCs w:val="21"/>
              </w:rPr>
            </w:pPr>
            <w:r>
              <w:rPr>
                <w:kern w:val="0"/>
                <w:szCs w:val="21"/>
              </w:rPr>
              <w:t>35.1</w:t>
            </w:r>
          </w:p>
        </w:tc>
        <w:tc>
          <w:tcPr>
            <w:tcW w:w="584" w:type="dxa"/>
            <w:tcBorders>
              <w:top w:val="nil"/>
              <w:left w:val="nil"/>
              <w:bottom w:val="single" w:color="auto" w:sz="4" w:space="0"/>
              <w:right w:val="single" w:color="auto" w:sz="4" w:space="0"/>
            </w:tcBorders>
            <w:shd w:val="clear" w:color="auto" w:fill="auto"/>
            <w:vAlign w:val="center"/>
          </w:tcPr>
          <w:p w14:paraId="76CB172F">
            <w:pPr>
              <w:widowControl/>
              <w:jc w:val="center"/>
              <w:rPr>
                <w:kern w:val="0"/>
                <w:szCs w:val="21"/>
              </w:rPr>
            </w:pPr>
            <w:r>
              <w:rPr>
                <w:kern w:val="0"/>
                <w:szCs w:val="21"/>
              </w:rPr>
              <w:t>32.3</w:t>
            </w:r>
          </w:p>
        </w:tc>
        <w:tc>
          <w:tcPr>
            <w:tcW w:w="426" w:type="dxa"/>
            <w:tcBorders>
              <w:top w:val="nil"/>
              <w:left w:val="nil"/>
              <w:bottom w:val="single" w:color="auto" w:sz="4" w:space="0"/>
              <w:right w:val="single" w:color="auto" w:sz="4" w:space="0"/>
            </w:tcBorders>
            <w:shd w:val="clear" w:color="auto" w:fill="auto"/>
            <w:vAlign w:val="center"/>
          </w:tcPr>
          <w:p w14:paraId="733A78D1">
            <w:pPr>
              <w:widowControl/>
              <w:jc w:val="center"/>
              <w:rPr>
                <w:kern w:val="0"/>
                <w:szCs w:val="21"/>
              </w:rPr>
            </w:pPr>
            <w:r>
              <w:rPr>
                <w:kern w:val="0"/>
                <w:szCs w:val="21"/>
              </w:rPr>
              <w:t>1</w:t>
            </w:r>
          </w:p>
        </w:tc>
      </w:tr>
      <w:tr w14:paraId="780E508C">
        <w:tblPrEx>
          <w:tblCellMar>
            <w:top w:w="0" w:type="dxa"/>
            <w:left w:w="108" w:type="dxa"/>
            <w:bottom w:w="0" w:type="dxa"/>
            <w:right w:w="108" w:type="dxa"/>
          </w:tblCellMar>
        </w:tblPrEx>
        <w:trPr>
          <w:trHeight w:val="27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35FED3C4">
            <w:pPr>
              <w:widowControl/>
              <w:jc w:val="center"/>
              <w:rPr>
                <w:kern w:val="0"/>
                <w:szCs w:val="21"/>
              </w:rPr>
            </w:pPr>
            <w:r>
              <w:rPr>
                <w:kern w:val="0"/>
                <w:szCs w:val="21"/>
              </w:rPr>
              <w:t>25</w:t>
            </w:r>
          </w:p>
        </w:tc>
        <w:tc>
          <w:tcPr>
            <w:tcW w:w="426" w:type="dxa"/>
            <w:vMerge w:val="continue"/>
            <w:tcBorders>
              <w:top w:val="nil"/>
              <w:left w:val="single" w:color="auto" w:sz="4" w:space="0"/>
              <w:bottom w:val="single" w:color="auto" w:sz="4" w:space="0"/>
              <w:right w:val="single" w:color="auto" w:sz="4" w:space="0"/>
            </w:tcBorders>
            <w:vAlign w:val="center"/>
          </w:tcPr>
          <w:p w14:paraId="722F08B2">
            <w:pPr>
              <w:widowControl/>
              <w:jc w:val="left"/>
              <w:rPr>
                <w:kern w:val="0"/>
                <w:szCs w:val="21"/>
              </w:rPr>
            </w:pPr>
          </w:p>
        </w:tc>
        <w:tc>
          <w:tcPr>
            <w:tcW w:w="555" w:type="dxa"/>
            <w:tcBorders>
              <w:top w:val="nil"/>
              <w:left w:val="nil"/>
              <w:bottom w:val="single" w:color="auto" w:sz="4" w:space="0"/>
              <w:right w:val="single" w:color="auto" w:sz="4" w:space="0"/>
            </w:tcBorders>
            <w:shd w:val="clear" w:color="auto" w:fill="auto"/>
            <w:vAlign w:val="center"/>
          </w:tcPr>
          <w:p w14:paraId="28F987D1">
            <w:pPr>
              <w:widowControl/>
              <w:jc w:val="center"/>
              <w:rPr>
                <w:kern w:val="0"/>
                <w:szCs w:val="21"/>
              </w:rPr>
            </w:pPr>
            <w:r>
              <w:rPr>
                <w:kern w:val="0"/>
                <w:szCs w:val="21"/>
              </w:rPr>
              <w:t>风机</w:t>
            </w:r>
          </w:p>
        </w:tc>
        <w:tc>
          <w:tcPr>
            <w:tcW w:w="426" w:type="dxa"/>
            <w:tcBorders>
              <w:top w:val="nil"/>
              <w:left w:val="nil"/>
              <w:bottom w:val="single" w:color="auto" w:sz="4" w:space="0"/>
              <w:right w:val="single" w:color="auto" w:sz="4" w:space="0"/>
            </w:tcBorders>
            <w:shd w:val="clear" w:color="auto" w:fill="auto"/>
            <w:vAlign w:val="center"/>
          </w:tcPr>
          <w:p w14:paraId="3932231F">
            <w:pPr>
              <w:widowControl/>
              <w:jc w:val="center"/>
              <w:rPr>
                <w:kern w:val="0"/>
                <w:szCs w:val="21"/>
              </w:rPr>
            </w:pPr>
            <w:r>
              <w:rPr>
                <w:kern w:val="0"/>
                <w:szCs w:val="21"/>
              </w:rPr>
              <w:t>90</w:t>
            </w:r>
          </w:p>
        </w:tc>
        <w:tc>
          <w:tcPr>
            <w:tcW w:w="636" w:type="dxa"/>
            <w:tcBorders>
              <w:top w:val="nil"/>
              <w:left w:val="nil"/>
              <w:bottom w:val="single" w:color="auto" w:sz="4" w:space="0"/>
              <w:right w:val="single" w:color="auto" w:sz="4" w:space="0"/>
            </w:tcBorders>
            <w:shd w:val="clear" w:color="auto" w:fill="auto"/>
            <w:vAlign w:val="center"/>
          </w:tcPr>
          <w:p w14:paraId="584DF74B">
            <w:pPr>
              <w:widowControl/>
              <w:jc w:val="center"/>
              <w:rPr>
                <w:kern w:val="0"/>
                <w:szCs w:val="21"/>
              </w:rPr>
            </w:pPr>
            <w:r>
              <w:rPr>
                <w:kern w:val="0"/>
                <w:szCs w:val="21"/>
              </w:rPr>
              <w:t>3</w:t>
            </w:r>
          </w:p>
        </w:tc>
        <w:tc>
          <w:tcPr>
            <w:tcW w:w="636" w:type="dxa"/>
            <w:vMerge w:val="continue"/>
            <w:tcBorders>
              <w:left w:val="single" w:color="auto" w:sz="4" w:space="0"/>
              <w:right w:val="single" w:color="auto" w:sz="4" w:space="0"/>
            </w:tcBorders>
            <w:vAlign w:val="center"/>
          </w:tcPr>
          <w:p w14:paraId="4838AE1B">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03A06BE9">
            <w:pPr>
              <w:widowControl/>
              <w:jc w:val="center"/>
              <w:rPr>
                <w:kern w:val="0"/>
                <w:szCs w:val="21"/>
              </w:rPr>
            </w:pPr>
            <w:r>
              <w:rPr>
                <w:kern w:val="0"/>
                <w:szCs w:val="21"/>
              </w:rPr>
              <w:t>48</w:t>
            </w:r>
          </w:p>
        </w:tc>
        <w:tc>
          <w:tcPr>
            <w:tcW w:w="531" w:type="dxa"/>
            <w:tcBorders>
              <w:top w:val="nil"/>
              <w:left w:val="nil"/>
              <w:bottom w:val="single" w:color="auto" w:sz="4" w:space="0"/>
              <w:right w:val="single" w:color="auto" w:sz="4" w:space="0"/>
            </w:tcBorders>
            <w:shd w:val="clear" w:color="auto" w:fill="auto"/>
            <w:vAlign w:val="center"/>
          </w:tcPr>
          <w:p w14:paraId="02018C13">
            <w:pPr>
              <w:widowControl/>
              <w:jc w:val="center"/>
              <w:rPr>
                <w:kern w:val="0"/>
                <w:szCs w:val="21"/>
              </w:rPr>
            </w:pPr>
            <w:r>
              <w:rPr>
                <w:kern w:val="0"/>
                <w:szCs w:val="21"/>
              </w:rPr>
              <w:t>226</w:t>
            </w:r>
          </w:p>
        </w:tc>
        <w:tc>
          <w:tcPr>
            <w:tcW w:w="345" w:type="dxa"/>
            <w:tcBorders>
              <w:top w:val="nil"/>
              <w:left w:val="nil"/>
              <w:bottom w:val="single" w:color="auto" w:sz="4" w:space="0"/>
              <w:right w:val="single" w:color="auto" w:sz="4" w:space="0"/>
            </w:tcBorders>
            <w:shd w:val="clear" w:color="auto" w:fill="auto"/>
            <w:vAlign w:val="center"/>
          </w:tcPr>
          <w:p w14:paraId="1451057B">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493D5441">
            <w:pPr>
              <w:widowControl/>
              <w:jc w:val="center"/>
              <w:rPr>
                <w:kern w:val="0"/>
                <w:szCs w:val="21"/>
              </w:rPr>
            </w:pPr>
            <w:r>
              <w:rPr>
                <w:kern w:val="0"/>
                <w:szCs w:val="21"/>
              </w:rPr>
              <w:t>76</w:t>
            </w:r>
          </w:p>
        </w:tc>
        <w:tc>
          <w:tcPr>
            <w:tcW w:w="531" w:type="dxa"/>
            <w:tcBorders>
              <w:top w:val="nil"/>
              <w:left w:val="nil"/>
              <w:bottom w:val="single" w:color="auto" w:sz="4" w:space="0"/>
              <w:right w:val="single" w:color="auto" w:sz="4" w:space="0"/>
            </w:tcBorders>
            <w:shd w:val="clear" w:color="auto" w:fill="auto"/>
            <w:vAlign w:val="center"/>
          </w:tcPr>
          <w:p w14:paraId="0B555B1D">
            <w:pPr>
              <w:widowControl/>
              <w:jc w:val="center"/>
              <w:rPr>
                <w:kern w:val="0"/>
                <w:szCs w:val="21"/>
              </w:rPr>
            </w:pPr>
            <w:r>
              <w:rPr>
                <w:kern w:val="0"/>
                <w:szCs w:val="21"/>
              </w:rPr>
              <w:t>226</w:t>
            </w:r>
          </w:p>
        </w:tc>
        <w:tc>
          <w:tcPr>
            <w:tcW w:w="426" w:type="dxa"/>
            <w:tcBorders>
              <w:top w:val="nil"/>
              <w:left w:val="nil"/>
              <w:bottom w:val="single" w:color="auto" w:sz="4" w:space="0"/>
              <w:right w:val="single" w:color="auto" w:sz="4" w:space="0"/>
            </w:tcBorders>
            <w:shd w:val="clear" w:color="auto" w:fill="auto"/>
            <w:vAlign w:val="center"/>
          </w:tcPr>
          <w:p w14:paraId="77F5B050">
            <w:pPr>
              <w:widowControl/>
              <w:jc w:val="center"/>
              <w:rPr>
                <w:kern w:val="0"/>
                <w:szCs w:val="21"/>
              </w:rPr>
            </w:pPr>
            <w:r>
              <w:rPr>
                <w:kern w:val="0"/>
                <w:szCs w:val="21"/>
              </w:rPr>
              <w:t>48</w:t>
            </w:r>
          </w:p>
        </w:tc>
        <w:tc>
          <w:tcPr>
            <w:tcW w:w="531" w:type="dxa"/>
            <w:tcBorders>
              <w:top w:val="nil"/>
              <w:left w:val="nil"/>
              <w:bottom w:val="single" w:color="auto" w:sz="4" w:space="0"/>
              <w:right w:val="single" w:color="auto" w:sz="4" w:space="0"/>
            </w:tcBorders>
            <w:shd w:val="clear" w:color="auto" w:fill="auto"/>
            <w:vAlign w:val="center"/>
          </w:tcPr>
          <w:p w14:paraId="63D9F1A2">
            <w:pPr>
              <w:widowControl/>
              <w:jc w:val="center"/>
              <w:rPr>
                <w:kern w:val="0"/>
                <w:szCs w:val="21"/>
              </w:rPr>
            </w:pPr>
            <w:r>
              <w:rPr>
                <w:kern w:val="0"/>
                <w:szCs w:val="21"/>
              </w:rPr>
              <w:t>215</w:t>
            </w:r>
          </w:p>
        </w:tc>
        <w:tc>
          <w:tcPr>
            <w:tcW w:w="584" w:type="dxa"/>
            <w:tcBorders>
              <w:top w:val="nil"/>
              <w:left w:val="nil"/>
              <w:bottom w:val="single" w:color="auto" w:sz="4" w:space="0"/>
              <w:right w:val="single" w:color="auto" w:sz="4" w:space="0"/>
            </w:tcBorders>
            <w:shd w:val="clear" w:color="auto" w:fill="auto"/>
            <w:vAlign w:val="center"/>
          </w:tcPr>
          <w:p w14:paraId="4224D942">
            <w:pPr>
              <w:widowControl/>
              <w:jc w:val="center"/>
              <w:rPr>
                <w:kern w:val="0"/>
                <w:szCs w:val="21"/>
              </w:rPr>
            </w:pPr>
            <w:r>
              <w:rPr>
                <w:kern w:val="0"/>
                <w:szCs w:val="21"/>
              </w:rPr>
              <w:t>60.9</w:t>
            </w:r>
          </w:p>
        </w:tc>
        <w:tc>
          <w:tcPr>
            <w:tcW w:w="584" w:type="dxa"/>
            <w:tcBorders>
              <w:top w:val="nil"/>
              <w:left w:val="nil"/>
              <w:bottom w:val="single" w:color="auto" w:sz="4" w:space="0"/>
              <w:right w:val="single" w:color="auto" w:sz="4" w:space="0"/>
            </w:tcBorders>
            <w:shd w:val="clear" w:color="auto" w:fill="auto"/>
            <w:vAlign w:val="center"/>
          </w:tcPr>
          <w:p w14:paraId="2909AD6B">
            <w:pPr>
              <w:widowControl/>
              <w:jc w:val="center"/>
              <w:rPr>
                <w:kern w:val="0"/>
                <w:szCs w:val="21"/>
              </w:rPr>
            </w:pPr>
            <w:r>
              <w:rPr>
                <w:kern w:val="0"/>
                <w:szCs w:val="21"/>
              </w:rPr>
              <w:t>58.6</w:t>
            </w:r>
          </w:p>
        </w:tc>
        <w:tc>
          <w:tcPr>
            <w:tcW w:w="584" w:type="dxa"/>
            <w:tcBorders>
              <w:top w:val="nil"/>
              <w:left w:val="nil"/>
              <w:bottom w:val="single" w:color="auto" w:sz="4" w:space="0"/>
              <w:right w:val="single" w:color="auto" w:sz="4" w:space="0"/>
            </w:tcBorders>
            <w:shd w:val="clear" w:color="auto" w:fill="auto"/>
            <w:vAlign w:val="center"/>
          </w:tcPr>
          <w:p w14:paraId="50863270">
            <w:pPr>
              <w:widowControl/>
              <w:jc w:val="center"/>
              <w:rPr>
                <w:kern w:val="0"/>
                <w:szCs w:val="21"/>
              </w:rPr>
            </w:pPr>
            <w:r>
              <w:rPr>
                <w:kern w:val="0"/>
                <w:szCs w:val="21"/>
              </w:rPr>
              <w:t>60.4</w:t>
            </w:r>
          </w:p>
        </w:tc>
        <w:tc>
          <w:tcPr>
            <w:tcW w:w="584" w:type="dxa"/>
            <w:tcBorders>
              <w:top w:val="nil"/>
              <w:left w:val="nil"/>
              <w:bottom w:val="single" w:color="auto" w:sz="4" w:space="0"/>
              <w:right w:val="single" w:color="auto" w:sz="4" w:space="0"/>
            </w:tcBorders>
            <w:shd w:val="clear" w:color="auto" w:fill="auto"/>
            <w:vAlign w:val="center"/>
          </w:tcPr>
          <w:p w14:paraId="3D023FFC">
            <w:pPr>
              <w:widowControl/>
              <w:jc w:val="center"/>
              <w:rPr>
                <w:kern w:val="0"/>
                <w:szCs w:val="21"/>
              </w:rPr>
            </w:pPr>
            <w:r>
              <w:rPr>
                <w:kern w:val="0"/>
                <w:szCs w:val="21"/>
              </w:rPr>
              <w:t>58.3</w:t>
            </w:r>
          </w:p>
        </w:tc>
        <w:tc>
          <w:tcPr>
            <w:tcW w:w="636" w:type="dxa"/>
            <w:tcBorders>
              <w:top w:val="nil"/>
              <w:left w:val="nil"/>
              <w:bottom w:val="single" w:color="auto" w:sz="4" w:space="0"/>
              <w:right w:val="single" w:color="auto" w:sz="4" w:space="0"/>
            </w:tcBorders>
            <w:shd w:val="clear" w:color="auto" w:fill="auto"/>
            <w:vAlign w:val="center"/>
          </w:tcPr>
          <w:p w14:paraId="47F65C25">
            <w:pPr>
              <w:widowControl/>
              <w:jc w:val="center"/>
              <w:rPr>
                <w:kern w:val="0"/>
                <w:szCs w:val="21"/>
              </w:rPr>
            </w:pPr>
            <w:r>
              <w:rPr>
                <w:kern w:val="0"/>
                <w:szCs w:val="21"/>
              </w:rPr>
              <w:t>2400</w:t>
            </w:r>
          </w:p>
        </w:tc>
        <w:tc>
          <w:tcPr>
            <w:tcW w:w="788" w:type="dxa"/>
            <w:tcBorders>
              <w:top w:val="nil"/>
              <w:left w:val="nil"/>
              <w:bottom w:val="single" w:color="auto" w:sz="4" w:space="0"/>
              <w:right w:val="single" w:color="auto" w:sz="4" w:space="0"/>
            </w:tcBorders>
            <w:shd w:val="clear" w:color="auto" w:fill="auto"/>
            <w:vAlign w:val="center"/>
          </w:tcPr>
          <w:p w14:paraId="370901A9">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48BE9E5A">
            <w:pPr>
              <w:widowControl/>
              <w:jc w:val="center"/>
              <w:rPr>
                <w:kern w:val="0"/>
                <w:szCs w:val="21"/>
              </w:rPr>
            </w:pPr>
            <w:r>
              <w:rPr>
                <w:kern w:val="0"/>
                <w:szCs w:val="21"/>
              </w:rPr>
              <w:t>34.9</w:t>
            </w:r>
          </w:p>
        </w:tc>
        <w:tc>
          <w:tcPr>
            <w:tcW w:w="584" w:type="dxa"/>
            <w:tcBorders>
              <w:top w:val="nil"/>
              <w:left w:val="nil"/>
              <w:bottom w:val="single" w:color="auto" w:sz="4" w:space="0"/>
              <w:right w:val="single" w:color="auto" w:sz="4" w:space="0"/>
            </w:tcBorders>
            <w:shd w:val="clear" w:color="auto" w:fill="auto"/>
            <w:vAlign w:val="center"/>
          </w:tcPr>
          <w:p w14:paraId="7C67844E">
            <w:pPr>
              <w:widowControl/>
              <w:jc w:val="center"/>
              <w:rPr>
                <w:kern w:val="0"/>
                <w:szCs w:val="21"/>
              </w:rPr>
            </w:pPr>
            <w:r>
              <w:rPr>
                <w:kern w:val="0"/>
                <w:szCs w:val="21"/>
              </w:rPr>
              <w:t>32.6</w:t>
            </w:r>
          </w:p>
        </w:tc>
        <w:tc>
          <w:tcPr>
            <w:tcW w:w="584" w:type="dxa"/>
            <w:tcBorders>
              <w:top w:val="nil"/>
              <w:left w:val="nil"/>
              <w:bottom w:val="single" w:color="auto" w:sz="4" w:space="0"/>
              <w:right w:val="single" w:color="auto" w:sz="4" w:space="0"/>
            </w:tcBorders>
            <w:shd w:val="clear" w:color="auto" w:fill="auto"/>
            <w:vAlign w:val="center"/>
          </w:tcPr>
          <w:p w14:paraId="6F48DF08">
            <w:pPr>
              <w:widowControl/>
              <w:jc w:val="center"/>
              <w:rPr>
                <w:kern w:val="0"/>
                <w:szCs w:val="21"/>
              </w:rPr>
            </w:pPr>
            <w:r>
              <w:rPr>
                <w:kern w:val="0"/>
                <w:szCs w:val="21"/>
              </w:rPr>
              <w:t>34.4</w:t>
            </w:r>
          </w:p>
        </w:tc>
        <w:tc>
          <w:tcPr>
            <w:tcW w:w="584" w:type="dxa"/>
            <w:tcBorders>
              <w:top w:val="nil"/>
              <w:left w:val="nil"/>
              <w:bottom w:val="single" w:color="auto" w:sz="4" w:space="0"/>
              <w:right w:val="single" w:color="auto" w:sz="4" w:space="0"/>
            </w:tcBorders>
            <w:shd w:val="clear" w:color="auto" w:fill="auto"/>
            <w:vAlign w:val="center"/>
          </w:tcPr>
          <w:p w14:paraId="0B4BB1AF">
            <w:pPr>
              <w:widowControl/>
              <w:jc w:val="center"/>
              <w:rPr>
                <w:kern w:val="0"/>
                <w:szCs w:val="21"/>
              </w:rPr>
            </w:pPr>
            <w:r>
              <w:rPr>
                <w:kern w:val="0"/>
                <w:szCs w:val="21"/>
              </w:rPr>
              <w:t>32.3</w:t>
            </w:r>
          </w:p>
        </w:tc>
        <w:tc>
          <w:tcPr>
            <w:tcW w:w="426" w:type="dxa"/>
            <w:tcBorders>
              <w:top w:val="nil"/>
              <w:left w:val="nil"/>
              <w:bottom w:val="single" w:color="auto" w:sz="4" w:space="0"/>
              <w:right w:val="single" w:color="auto" w:sz="4" w:space="0"/>
            </w:tcBorders>
            <w:shd w:val="clear" w:color="auto" w:fill="auto"/>
            <w:vAlign w:val="center"/>
          </w:tcPr>
          <w:p w14:paraId="6EE8CB1A">
            <w:pPr>
              <w:widowControl/>
              <w:jc w:val="center"/>
              <w:rPr>
                <w:kern w:val="0"/>
                <w:szCs w:val="21"/>
              </w:rPr>
            </w:pPr>
            <w:r>
              <w:rPr>
                <w:kern w:val="0"/>
                <w:szCs w:val="21"/>
              </w:rPr>
              <w:t>1</w:t>
            </w:r>
          </w:p>
        </w:tc>
      </w:tr>
      <w:tr w14:paraId="5CB237C8">
        <w:tblPrEx>
          <w:tblCellMar>
            <w:top w:w="0" w:type="dxa"/>
            <w:left w:w="108" w:type="dxa"/>
            <w:bottom w:w="0" w:type="dxa"/>
            <w:right w:w="108" w:type="dxa"/>
          </w:tblCellMar>
        </w:tblPrEx>
        <w:trPr>
          <w:trHeight w:val="480" w:hRule="atLeast"/>
          <w:jc w:val="center"/>
        </w:trPr>
        <w:tc>
          <w:tcPr>
            <w:tcW w:w="426" w:type="dxa"/>
            <w:tcBorders>
              <w:top w:val="nil"/>
              <w:left w:val="single" w:color="auto" w:sz="4" w:space="0"/>
              <w:bottom w:val="single" w:color="auto" w:sz="4" w:space="0"/>
              <w:right w:val="single" w:color="auto" w:sz="4" w:space="0"/>
            </w:tcBorders>
            <w:shd w:val="clear" w:color="auto" w:fill="auto"/>
            <w:vAlign w:val="center"/>
          </w:tcPr>
          <w:p w14:paraId="027A262F">
            <w:pPr>
              <w:widowControl/>
              <w:jc w:val="center"/>
              <w:rPr>
                <w:kern w:val="0"/>
                <w:szCs w:val="21"/>
              </w:rPr>
            </w:pPr>
            <w:r>
              <w:rPr>
                <w:kern w:val="0"/>
                <w:szCs w:val="21"/>
              </w:rPr>
              <w:t>2</w:t>
            </w:r>
            <w:r>
              <w:rPr>
                <w:rFonts w:hint="eastAsia"/>
                <w:kern w:val="0"/>
                <w:szCs w:val="21"/>
              </w:rPr>
              <w:t>6</w:t>
            </w:r>
          </w:p>
        </w:tc>
        <w:tc>
          <w:tcPr>
            <w:tcW w:w="426" w:type="dxa"/>
            <w:tcBorders>
              <w:top w:val="nil"/>
              <w:left w:val="nil"/>
              <w:bottom w:val="single" w:color="auto" w:sz="4" w:space="0"/>
              <w:right w:val="single" w:color="auto" w:sz="4" w:space="0"/>
            </w:tcBorders>
            <w:shd w:val="clear" w:color="auto" w:fill="auto"/>
            <w:vAlign w:val="center"/>
          </w:tcPr>
          <w:p w14:paraId="11CEEE13">
            <w:pPr>
              <w:widowControl/>
              <w:jc w:val="center"/>
              <w:rPr>
                <w:kern w:val="0"/>
                <w:szCs w:val="21"/>
              </w:rPr>
            </w:pPr>
            <w:r>
              <w:rPr>
                <w:kern w:val="0"/>
                <w:szCs w:val="21"/>
              </w:rPr>
              <w:t>检测中心</w:t>
            </w:r>
          </w:p>
        </w:tc>
        <w:tc>
          <w:tcPr>
            <w:tcW w:w="555" w:type="dxa"/>
            <w:tcBorders>
              <w:top w:val="nil"/>
              <w:left w:val="nil"/>
              <w:bottom w:val="single" w:color="auto" w:sz="4" w:space="0"/>
              <w:right w:val="single" w:color="auto" w:sz="4" w:space="0"/>
            </w:tcBorders>
            <w:shd w:val="clear" w:color="auto" w:fill="auto"/>
            <w:vAlign w:val="center"/>
          </w:tcPr>
          <w:p w14:paraId="7C7F2DF4">
            <w:pPr>
              <w:widowControl/>
              <w:jc w:val="center"/>
              <w:rPr>
                <w:kern w:val="0"/>
                <w:szCs w:val="21"/>
              </w:rPr>
            </w:pPr>
            <w:r>
              <w:rPr>
                <w:kern w:val="0"/>
                <w:szCs w:val="21"/>
              </w:rPr>
              <w:t>冲击试验设备</w:t>
            </w:r>
          </w:p>
        </w:tc>
        <w:tc>
          <w:tcPr>
            <w:tcW w:w="426" w:type="dxa"/>
            <w:tcBorders>
              <w:top w:val="nil"/>
              <w:left w:val="nil"/>
              <w:bottom w:val="single" w:color="auto" w:sz="4" w:space="0"/>
              <w:right w:val="single" w:color="auto" w:sz="4" w:space="0"/>
            </w:tcBorders>
            <w:shd w:val="clear" w:color="auto" w:fill="auto"/>
            <w:vAlign w:val="center"/>
          </w:tcPr>
          <w:p w14:paraId="7A118A0E">
            <w:pPr>
              <w:widowControl/>
              <w:jc w:val="center"/>
              <w:rPr>
                <w:kern w:val="0"/>
                <w:szCs w:val="21"/>
              </w:rPr>
            </w:pPr>
            <w:r>
              <w:rPr>
                <w:kern w:val="0"/>
                <w:szCs w:val="21"/>
              </w:rPr>
              <w:t>75</w:t>
            </w:r>
          </w:p>
        </w:tc>
        <w:tc>
          <w:tcPr>
            <w:tcW w:w="636" w:type="dxa"/>
            <w:tcBorders>
              <w:top w:val="nil"/>
              <w:left w:val="nil"/>
              <w:bottom w:val="single" w:color="auto" w:sz="4" w:space="0"/>
              <w:right w:val="single" w:color="auto" w:sz="4" w:space="0"/>
            </w:tcBorders>
            <w:shd w:val="clear" w:color="auto" w:fill="auto"/>
            <w:vAlign w:val="center"/>
          </w:tcPr>
          <w:p w14:paraId="76188402">
            <w:pPr>
              <w:widowControl/>
              <w:jc w:val="center"/>
              <w:rPr>
                <w:kern w:val="0"/>
                <w:szCs w:val="21"/>
              </w:rPr>
            </w:pPr>
            <w:r>
              <w:rPr>
                <w:kern w:val="0"/>
                <w:szCs w:val="21"/>
              </w:rPr>
              <w:t>1</w:t>
            </w:r>
          </w:p>
        </w:tc>
        <w:tc>
          <w:tcPr>
            <w:tcW w:w="636" w:type="dxa"/>
            <w:vMerge w:val="continue"/>
            <w:tcBorders>
              <w:left w:val="single" w:color="auto" w:sz="4" w:space="0"/>
              <w:bottom w:val="single" w:color="auto" w:sz="4" w:space="0"/>
              <w:right w:val="single" w:color="auto" w:sz="4" w:space="0"/>
            </w:tcBorders>
            <w:vAlign w:val="center"/>
          </w:tcPr>
          <w:p w14:paraId="355ADF3B">
            <w:pPr>
              <w:widowControl/>
              <w:jc w:val="left"/>
              <w:rPr>
                <w:kern w:val="0"/>
                <w:szCs w:val="21"/>
              </w:rPr>
            </w:pPr>
          </w:p>
        </w:tc>
        <w:tc>
          <w:tcPr>
            <w:tcW w:w="426" w:type="dxa"/>
            <w:tcBorders>
              <w:top w:val="nil"/>
              <w:left w:val="nil"/>
              <w:bottom w:val="single" w:color="auto" w:sz="4" w:space="0"/>
              <w:right w:val="single" w:color="auto" w:sz="4" w:space="0"/>
            </w:tcBorders>
            <w:shd w:val="clear" w:color="auto" w:fill="auto"/>
            <w:vAlign w:val="center"/>
          </w:tcPr>
          <w:p w14:paraId="03538474">
            <w:pPr>
              <w:widowControl/>
              <w:jc w:val="center"/>
              <w:rPr>
                <w:kern w:val="0"/>
                <w:szCs w:val="21"/>
              </w:rPr>
            </w:pPr>
            <w:r>
              <w:rPr>
                <w:kern w:val="0"/>
                <w:szCs w:val="21"/>
              </w:rPr>
              <w:t>30</w:t>
            </w:r>
          </w:p>
        </w:tc>
        <w:tc>
          <w:tcPr>
            <w:tcW w:w="531" w:type="dxa"/>
            <w:tcBorders>
              <w:top w:val="nil"/>
              <w:left w:val="nil"/>
              <w:bottom w:val="single" w:color="auto" w:sz="4" w:space="0"/>
              <w:right w:val="single" w:color="auto" w:sz="4" w:space="0"/>
            </w:tcBorders>
            <w:shd w:val="clear" w:color="auto" w:fill="auto"/>
            <w:vAlign w:val="center"/>
          </w:tcPr>
          <w:p w14:paraId="493BDAAD">
            <w:pPr>
              <w:widowControl/>
              <w:jc w:val="center"/>
              <w:rPr>
                <w:kern w:val="0"/>
                <w:szCs w:val="21"/>
              </w:rPr>
            </w:pPr>
            <w:r>
              <w:rPr>
                <w:kern w:val="0"/>
                <w:szCs w:val="21"/>
              </w:rPr>
              <w:t>53</w:t>
            </w:r>
          </w:p>
        </w:tc>
        <w:tc>
          <w:tcPr>
            <w:tcW w:w="345" w:type="dxa"/>
            <w:tcBorders>
              <w:top w:val="nil"/>
              <w:left w:val="nil"/>
              <w:bottom w:val="single" w:color="auto" w:sz="4" w:space="0"/>
              <w:right w:val="single" w:color="auto" w:sz="4" w:space="0"/>
            </w:tcBorders>
            <w:shd w:val="clear" w:color="auto" w:fill="auto"/>
            <w:vAlign w:val="center"/>
          </w:tcPr>
          <w:p w14:paraId="163FDFEC">
            <w:pPr>
              <w:widowControl/>
              <w:jc w:val="center"/>
              <w:rPr>
                <w:kern w:val="0"/>
                <w:szCs w:val="21"/>
              </w:rPr>
            </w:pPr>
            <w:r>
              <w:rPr>
                <w:kern w:val="0"/>
                <w:szCs w:val="21"/>
              </w:rPr>
              <w:t>1</w:t>
            </w:r>
          </w:p>
        </w:tc>
        <w:tc>
          <w:tcPr>
            <w:tcW w:w="531" w:type="dxa"/>
            <w:tcBorders>
              <w:top w:val="nil"/>
              <w:left w:val="nil"/>
              <w:bottom w:val="single" w:color="auto" w:sz="4" w:space="0"/>
              <w:right w:val="single" w:color="auto" w:sz="4" w:space="0"/>
            </w:tcBorders>
            <w:shd w:val="clear" w:color="auto" w:fill="auto"/>
            <w:vAlign w:val="center"/>
          </w:tcPr>
          <w:p w14:paraId="18148E8A">
            <w:pPr>
              <w:widowControl/>
              <w:jc w:val="center"/>
              <w:rPr>
                <w:kern w:val="0"/>
                <w:szCs w:val="21"/>
              </w:rPr>
            </w:pPr>
            <w:r>
              <w:rPr>
                <w:kern w:val="0"/>
                <w:szCs w:val="21"/>
              </w:rPr>
              <w:t>94</w:t>
            </w:r>
          </w:p>
        </w:tc>
        <w:tc>
          <w:tcPr>
            <w:tcW w:w="531" w:type="dxa"/>
            <w:tcBorders>
              <w:top w:val="nil"/>
              <w:left w:val="nil"/>
              <w:bottom w:val="single" w:color="auto" w:sz="4" w:space="0"/>
              <w:right w:val="single" w:color="auto" w:sz="4" w:space="0"/>
            </w:tcBorders>
            <w:shd w:val="clear" w:color="auto" w:fill="auto"/>
            <w:vAlign w:val="center"/>
          </w:tcPr>
          <w:p w14:paraId="36A65650">
            <w:pPr>
              <w:widowControl/>
              <w:jc w:val="center"/>
              <w:rPr>
                <w:kern w:val="0"/>
                <w:szCs w:val="21"/>
              </w:rPr>
            </w:pPr>
            <w:r>
              <w:rPr>
                <w:kern w:val="0"/>
                <w:szCs w:val="21"/>
              </w:rPr>
              <w:t>53</w:t>
            </w:r>
          </w:p>
        </w:tc>
        <w:tc>
          <w:tcPr>
            <w:tcW w:w="426" w:type="dxa"/>
            <w:tcBorders>
              <w:top w:val="nil"/>
              <w:left w:val="nil"/>
              <w:bottom w:val="single" w:color="auto" w:sz="4" w:space="0"/>
              <w:right w:val="single" w:color="auto" w:sz="4" w:space="0"/>
            </w:tcBorders>
            <w:shd w:val="clear" w:color="auto" w:fill="auto"/>
            <w:vAlign w:val="center"/>
          </w:tcPr>
          <w:p w14:paraId="3E78AAA1">
            <w:pPr>
              <w:widowControl/>
              <w:jc w:val="center"/>
              <w:rPr>
                <w:kern w:val="0"/>
                <w:szCs w:val="21"/>
              </w:rPr>
            </w:pPr>
            <w:r>
              <w:rPr>
                <w:kern w:val="0"/>
                <w:szCs w:val="21"/>
              </w:rPr>
              <w:t>30</w:t>
            </w:r>
          </w:p>
        </w:tc>
        <w:tc>
          <w:tcPr>
            <w:tcW w:w="531" w:type="dxa"/>
            <w:tcBorders>
              <w:top w:val="nil"/>
              <w:left w:val="nil"/>
              <w:bottom w:val="single" w:color="auto" w:sz="4" w:space="0"/>
              <w:right w:val="single" w:color="auto" w:sz="4" w:space="0"/>
            </w:tcBorders>
            <w:shd w:val="clear" w:color="auto" w:fill="auto"/>
            <w:vAlign w:val="center"/>
          </w:tcPr>
          <w:p w14:paraId="0458791F">
            <w:pPr>
              <w:widowControl/>
              <w:jc w:val="center"/>
              <w:rPr>
                <w:kern w:val="0"/>
                <w:szCs w:val="21"/>
              </w:rPr>
            </w:pPr>
            <w:r>
              <w:rPr>
                <w:kern w:val="0"/>
                <w:szCs w:val="21"/>
              </w:rPr>
              <w:t>388</w:t>
            </w:r>
          </w:p>
        </w:tc>
        <w:tc>
          <w:tcPr>
            <w:tcW w:w="584" w:type="dxa"/>
            <w:tcBorders>
              <w:top w:val="nil"/>
              <w:left w:val="nil"/>
              <w:bottom w:val="single" w:color="auto" w:sz="4" w:space="0"/>
              <w:right w:val="single" w:color="auto" w:sz="4" w:space="0"/>
            </w:tcBorders>
            <w:shd w:val="clear" w:color="auto" w:fill="auto"/>
            <w:vAlign w:val="center"/>
          </w:tcPr>
          <w:p w14:paraId="3F91BE62">
            <w:pPr>
              <w:widowControl/>
              <w:jc w:val="center"/>
              <w:rPr>
                <w:kern w:val="0"/>
                <w:szCs w:val="21"/>
              </w:rPr>
            </w:pPr>
            <w:r>
              <w:rPr>
                <w:kern w:val="0"/>
                <w:szCs w:val="21"/>
              </w:rPr>
              <w:t>60.8</w:t>
            </w:r>
          </w:p>
        </w:tc>
        <w:tc>
          <w:tcPr>
            <w:tcW w:w="584" w:type="dxa"/>
            <w:tcBorders>
              <w:top w:val="nil"/>
              <w:left w:val="nil"/>
              <w:bottom w:val="single" w:color="auto" w:sz="4" w:space="0"/>
              <w:right w:val="single" w:color="auto" w:sz="4" w:space="0"/>
            </w:tcBorders>
            <w:shd w:val="clear" w:color="auto" w:fill="auto"/>
            <w:vAlign w:val="center"/>
          </w:tcPr>
          <w:p w14:paraId="6DEF74A4">
            <w:pPr>
              <w:widowControl/>
              <w:jc w:val="center"/>
              <w:rPr>
                <w:kern w:val="0"/>
                <w:szCs w:val="21"/>
              </w:rPr>
            </w:pPr>
            <w:r>
              <w:rPr>
                <w:kern w:val="0"/>
                <w:szCs w:val="21"/>
              </w:rPr>
              <w:t>61.5</w:t>
            </w:r>
          </w:p>
        </w:tc>
        <w:tc>
          <w:tcPr>
            <w:tcW w:w="584" w:type="dxa"/>
            <w:tcBorders>
              <w:top w:val="nil"/>
              <w:left w:val="nil"/>
              <w:bottom w:val="single" w:color="auto" w:sz="4" w:space="0"/>
              <w:right w:val="single" w:color="auto" w:sz="4" w:space="0"/>
            </w:tcBorders>
            <w:shd w:val="clear" w:color="auto" w:fill="auto"/>
            <w:vAlign w:val="center"/>
          </w:tcPr>
          <w:p w14:paraId="4AB05746">
            <w:pPr>
              <w:widowControl/>
              <w:jc w:val="center"/>
              <w:rPr>
                <w:kern w:val="0"/>
                <w:szCs w:val="21"/>
              </w:rPr>
            </w:pPr>
            <w:r>
              <w:rPr>
                <w:kern w:val="0"/>
                <w:szCs w:val="21"/>
              </w:rPr>
              <w:t>62.4</w:t>
            </w:r>
          </w:p>
        </w:tc>
        <w:tc>
          <w:tcPr>
            <w:tcW w:w="584" w:type="dxa"/>
            <w:tcBorders>
              <w:top w:val="nil"/>
              <w:left w:val="nil"/>
              <w:bottom w:val="single" w:color="auto" w:sz="4" w:space="0"/>
              <w:right w:val="single" w:color="auto" w:sz="4" w:space="0"/>
            </w:tcBorders>
            <w:shd w:val="clear" w:color="auto" w:fill="auto"/>
            <w:vAlign w:val="center"/>
          </w:tcPr>
          <w:p w14:paraId="669EA817">
            <w:pPr>
              <w:widowControl/>
              <w:jc w:val="center"/>
              <w:rPr>
                <w:kern w:val="0"/>
                <w:szCs w:val="21"/>
              </w:rPr>
            </w:pPr>
            <w:r>
              <w:rPr>
                <w:kern w:val="0"/>
                <w:szCs w:val="21"/>
              </w:rPr>
              <w:t>58.1</w:t>
            </w:r>
          </w:p>
        </w:tc>
        <w:tc>
          <w:tcPr>
            <w:tcW w:w="636" w:type="dxa"/>
            <w:tcBorders>
              <w:top w:val="nil"/>
              <w:left w:val="nil"/>
              <w:bottom w:val="single" w:color="auto" w:sz="4" w:space="0"/>
              <w:right w:val="single" w:color="auto" w:sz="4" w:space="0"/>
            </w:tcBorders>
            <w:shd w:val="clear" w:color="auto" w:fill="auto"/>
            <w:noWrap/>
            <w:vAlign w:val="center"/>
          </w:tcPr>
          <w:p w14:paraId="721EB7F0">
            <w:pPr>
              <w:widowControl/>
              <w:jc w:val="right"/>
              <w:rPr>
                <w:kern w:val="0"/>
                <w:szCs w:val="21"/>
              </w:rPr>
            </w:pPr>
            <w:r>
              <w:rPr>
                <w:kern w:val="0"/>
                <w:szCs w:val="21"/>
              </w:rPr>
              <w:t>600</w:t>
            </w:r>
          </w:p>
        </w:tc>
        <w:tc>
          <w:tcPr>
            <w:tcW w:w="788" w:type="dxa"/>
            <w:tcBorders>
              <w:top w:val="nil"/>
              <w:left w:val="nil"/>
              <w:bottom w:val="single" w:color="auto" w:sz="4" w:space="0"/>
              <w:right w:val="single" w:color="auto" w:sz="4" w:space="0"/>
            </w:tcBorders>
            <w:shd w:val="clear" w:color="auto" w:fill="auto"/>
            <w:vAlign w:val="center"/>
          </w:tcPr>
          <w:p w14:paraId="4FF0F0F8">
            <w:pPr>
              <w:widowControl/>
              <w:jc w:val="center"/>
              <w:rPr>
                <w:kern w:val="0"/>
                <w:szCs w:val="21"/>
              </w:rPr>
            </w:pPr>
            <w:r>
              <w:rPr>
                <w:kern w:val="0"/>
                <w:szCs w:val="21"/>
              </w:rPr>
              <w:t>20</w:t>
            </w:r>
          </w:p>
        </w:tc>
        <w:tc>
          <w:tcPr>
            <w:tcW w:w="584" w:type="dxa"/>
            <w:tcBorders>
              <w:top w:val="nil"/>
              <w:left w:val="nil"/>
              <w:bottom w:val="single" w:color="auto" w:sz="4" w:space="0"/>
              <w:right w:val="single" w:color="auto" w:sz="4" w:space="0"/>
            </w:tcBorders>
            <w:shd w:val="clear" w:color="auto" w:fill="auto"/>
            <w:vAlign w:val="center"/>
          </w:tcPr>
          <w:p w14:paraId="098A9594">
            <w:pPr>
              <w:widowControl/>
              <w:jc w:val="center"/>
              <w:rPr>
                <w:kern w:val="0"/>
                <w:szCs w:val="21"/>
              </w:rPr>
            </w:pPr>
            <w:r>
              <w:rPr>
                <w:kern w:val="0"/>
                <w:szCs w:val="21"/>
              </w:rPr>
              <w:t>34.8</w:t>
            </w:r>
          </w:p>
        </w:tc>
        <w:tc>
          <w:tcPr>
            <w:tcW w:w="584" w:type="dxa"/>
            <w:tcBorders>
              <w:top w:val="nil"/>
              <w:left w:val="nil"/>
              <w:bottom w:val="single" w:color="auto" w:sz="4" w:space="0"/>
              <w:right w:val="single" w:color="auto" w:sz="4" w:space="0"/>
            </w:tcBorders>
            <w:shd w:val="clear" w:color="auto" w:fill="auto"/>
            <w:vAlign w:val="center"/>
          </w:tcPr>
          <w:p w14:paraId="66925C8C">
            <w:pPr>
              <w:widowControl/>
              <w:jc w:val="center"/>
              <w:rPr>
                <w:kern w:val="0"/>
                <w:szCs w:val="21"/>
              </w:rPr>
            </w:pPr>
            <w:r>
              <w:rPr>
                <w:kern w:val="0"/>
                <w:szCs w:val="21"/>
              </w:rPr>
              <w:t>35.5</w:t>
            </w:r>
          </w:p>
        </w:tc>
        <w:tc>
          <w:tcPr>
            <w:tcW w:w="584" w:type="dxa"/>
            <w:tcBorders>
              <w:top w:val="nil"/>
              <w:left w:val="nil"/>
              <w:bottom w:val="single" w:color="auto" w:sz="4" w:space="0"/>
              <w:right w:val="single" w:color="auto" w:sz="4" w:space="0"/>
            </w:tcBorders>
            <w:shd w:val="clear" w:color="auto" w:fill="auto"/>
            <w:vAlign w:val="center"/>
          </w:tcPr>
          <w:p w14:paraId="5E476674">
            <w:pPr>
              <w:widowControl/>
              <w:jc w:val="center"/>
              <w:rPr>
                <w:kern w:val="0"/>
                <w:szCs w:val="21"/>
              </w:rPr>
            </w:pPr>
            <w:r>
              <w:rPr>
                <w:kern w:val="0"/>
                <w:szCs w:val="21"/>
              </w:rPr>
              <w:t>36.4</w:t>
            </w:r>
          </w:p>
        </w:tc>
        <w:tc>
          <w:tcPr>
            <w:tcW w:w="584" w:type="dxa"/>
            <w:tcBorders>
              <w:top w:val="nil"/>
              <w:left w:val="nil"/>
              <w:bottom w:val="single" w:color="auto" w:sz="4" w:space="0"/>
              <w:right w:val="single" w:color="auto" w:sz="4" w:space="0"/>
            </w:tcBorders>
            <w:shd w:val="clear" w:color="auto" w:fill="auto"/>
            <w:vAlign w:val="center"/>
          </w:tcPr>
          <w:p w14:paraId="1E207DA3">
            <w:pPr>
              <w:widowControl/>
              <w:jc w:val="center"/>
              <w:rPr>
                <w:kern w:val="0"/>
                <w:szCs w:val="21"/>
              </w:rPr>
            </w:pPr>
            <w:r>
              <w:rPr>
                <w:kern w:val="0"/>
                <w:szCs w:val="21"/>
              </w:rPr>
              <w:t>32.1</w:t>
            </w:r>
          </w:p>
        </w:tc>
        <w:tc>
          <w:tcPr>
            <w:tcW w:w="426" w:type="dxa"/>
            <w:tcBorders>
              <w:top w:val="nil"/>
              <w:left w:val="nil"/>
              <w:bottom w:val="single" w:color="auto" w:sz="4" w:space="0"/>
              <w:right w:val="single" w:color="auto" w:sz="4" w:space="0"/>
            </w:tcBorders>
            <w:shd w:val="clear" w:color="auto" w:fill="auto"/>
            <w:vAlign w:val="center"/>
          </w:tcPr>
          <w:p w14:paraId="13EB2717">
            <w:pPr>
              <w:widowControl/>
              <w:jc w:val="center"/>
              <w:rPr>
                <w:kern w:val="0"/>
                <w:szCs w:val="21"/>
              </w:rPr>
            </w:pPr>
            <w:r>
              <w:rPr>
                <w:kern w:val="0"/>
                <w:szCs w:val="21"/>
              </w:rPr>
              <w:t>1</w:t>
            </w:r>
          </w:p>
        </w:tc>
      </w:tr>
      <w:tr w14:paraId="466A6783">
        <w:tblPrEx>
          <w:tblCellMar>
            <w:top w:w="0" w:type="dxa"/>
            <w:left w:w="108" w:type="dxa"/>
            <w:bottom w:w="0" w:type="dxa"/>
            <w:right w:w="108" w:type="dxa"/>
          </w:tblCellMar>
        </w:tblPrEx>
        <w:trPr>
          <w:trHeight w:val="285" w:hRule="atLeast"/>
          <w:jc w:val="center"/>
        </w:trPr>
        <w:tc>
          <w:tcPr>
            <w:tcW w:w="12948" w:type="dxa"/>
            <w:gridSpan w:val="24"/>
            <w:tcBorders>
              <w:top w:val="nil"/>
              <w:left w:val="single" w:color="auto" w:sz="8" w:space="0"/>
              <w:bottom w:val="single" w:color="auto" w:sz="8" w:space="0"/>
              <w:right w:val="single" w:color="000000" w:sz="8" w:space="0"/>
            </w:tcBorders>
            <w:shd w:val="clear" w:color="auto" w:fill="auto"/>
            <w:vAlign w:val="center"/>
          </w:tcPr>
          <w:p w14:paraId="2CF4BFC1">
            <w:pPr>
              <w:widowControl/>
              <w:jc w:val="center"/>
              <w:rPr>
                <w:kern w:val="0"/>
                <w:szCs w:val="21"/>
              </w:rPr>
            </w:pPr>
            <w:r>
              <w:rPr>
                <w:kern w:val="0"/>
                <w:szCs w:val="21"/>
              </w:rPr>
              <w:t>注：本项目设备空间相对位置以厂界西南角为原点，东为X轴正方向，北为Y轴正方向计，Z轴为设备距离地面高度。</w:t>
            </w:r>
          </w:p>
        </w:tc>
      </w:tr>
    </w:tbl>
    <w:p w14:paraId="72D6745F">
      <w:pPr>
        <w:pStyle w:val="21"/>
        <w:spacing w:before="0" w:beforeAutospacing="0" w:after="0" w:afterAutospacing="0" w:line="360" w:lineRule="auto"/>
        <w:outlineLvl w:val="0"/>
        <w:sectPr>
          <w:pgSz w:w="16840" w:h="11907" w:orient="landscape"/>
          <w:pgMar w:top="1361" w:right="1701" w:bottom="1304" w:left="1644" w:header="851" w:footer="851" w:gutter="0"/>
          <w:cols w:space="720" w:num="1"/>
          <w:docGrid w:linePitch="312" w:charSpace="0"/>
        </w:sectPr>
      </w:pPr>
    </w:p>
    <w:p w14:paraId="7C813EE3">
      <w:pPr>
        <w:widowControl/>
        <w:jc w:val="left"/>
        <w:rPr>
          <w:rFonts w:ascii="宋体" w:hAnsi="宋体"/>
          <w:kern w:val="0"/>
          <w:sz w:val="24"/>
          <w:szCs w:val="20"/>
        </w:rPr>
      </w:pPr>
    </w:p>
    <w:tbl>
      <w:tblPr>
        <w:tblStyle w:val="2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993"/>
      </w:tblGrid>
      <w:tr w14:paraId="35059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8" w:type="pct"/>
            <w:vAlign w:val="center"/>
          </w:tcPr>
          <w:p w14:paraId="26339931">
            <w:pPr>
              <w:adjustRightInd w:val="0"/>
              <w:snapToGrid w:val="0"/>
              <w:jc w:val="center"/>
              <w:rPr>
                <w:bCs/>
                <w:sz w:val="24"/>
              </w:rPr>
            </w:pPr>
            <w:r>
              <w:rPr>
                <w:bCs/>
                <w:sz w:val="24"/>
              </w:rPr>
              <w:t>运营</w:t>
            </w:r>
          </w:p>
          <w:p w14:paraId="2FE3EE01">
            <w:pPr>
              <w:adjustRightInd w:val="0"/>
              <w:snapToGrid w:val="0"/>
              <w:jc w:val="center"/>
              <w:rPr>
                <w:bCs/>
                <w:sz w:val="24"/>
              </w:rPr>
            </w:pPr>
            <w:r>
              <w:rPr>
                <w:bCs/>
                <w:sz w:val="24"/>
              </w:rPr>
              <w:t>期环</w:t>
            </w:r>
          </w:p>
          <w:p w14:paraId="29F4FFF8">
            <w:pPr>
              <w:adjustRightInd w:val="0"/>
              <w:snapToGrid w:val="0"/>
              <w:jc w:val="center"/>
              <w:rPr>
                <w:bCs/>
                <w:sz w:val="24"/>
              </w:rPr>
            </w:pPr>
            <w:r>
              <w:rPr>
                <w:bCs/>
                <w:sz w:val="24"/>
              </w:rPr>
              <w:t>境影</w:t>
            </w:r>
          </w:p>
          <w:p w14:paraId="3F507F48">
            <w:pPr>
              <w:adjustRightInd w:val="0"/>
              <w:snapToGrid w:val="0"/>
              <w:jc w:val="center"/>
              <w:rPr>
                <w:bCs/>
                <w:sz w:val="24"/>
              </w:rPr>
            </w:pPr>
            <w:r>
              <w:rPr>
                <w:bCs/>
                <w:sz w:val="24"/>
              </w:rPr>
              <w:t>响和</w:t>
            </w:r>
          </w:p>
          <w:p w14:paraId="26A2C269">
            <w:pPr>
              <w:widowControl/>
              <w:jc w:val="left"/>
              <w:rPr>
                <w:rFonts w:ascii="宋体" w:hAnsi="宋体"/>
                <w:kern w:val="0"/>
                <w:sz w:val="24"/>
                <w:szCs w:val="20"/>
              </w:rPr>
            </w:pPr>
            <w:r>
              <w:rPr>
                <w:bCs/>
                <w:sz w:val="24"/>
              </w:rPr>
              <w:t>保护措施</w:t>
            </w:r>
          </w:p>
        </w:tc>
        <w:tc>
          <w:tcPr>
            <w:tcW w:w="4772" w:type="pct"/>
          </w:tcPr>
          <w:p w14:paraId="4FFB950C">
            <w:pPr>
              <w:adjustRightInd w:val="0"/>
              <w:snapToGrid w:val="0"/>
              <w:spacing w:line="360" w:lineRule="auto"/>
              <w:ind w:firstLine="472" w:firstLineChars="196"/>
              <w:rPr>
                <w:b/>
                <w:kern w:val="0"/>
                <w:sz w:val="24"/>
              </w:rPr>
            </w:pPr>
            <w:r>
              <w:rPr>
                <w:b/>
                <w:kern w:val="0"/>
                <w:sz w:val="24"/>
              </w:rPr>
              <w:t>2、噪声厂界达标情况分析</w:t>
            </w:r>
          </w:p>
          <w:p w14:paraId="58DA8D17">
            <w:pPr>
              <w:pStyle w:val="74"/>
              <w:ind w:firstLine="482"/>
              <w:jc w:val="both"/>
              <w:rPr>
                <w:rFonts w:cs="Times New Roman"/>
                <w:b/>
                <w:bCs/>
                <w:szCs w:val="24"/>
              </w:rPr>
            </w:pPr>
            <w:r>
              <w:rPr>
                <w:rFonts w:cs="Times New Roman"/>
                <w:b/>
                <w:bCs/>
                <w:szCs w:val="24"/>
              </w:rPr>
              <w:t>（1）噪声影响预测分析</w:t>
            </w:r>
          </w:p>
          <w:p w14:paraId="1EAEA897">
            <w:pPr>
              <w:adjustRightInd w:val="0"/>
              <w:snapToGrid w:val="0"/>
              <w:spacing w:line="360" w:lineRule="auto"/>
              <w:ind w:firstLine="480" w:firstLineChars="200"/>
              <w:jc w:val="left"/>
              <w:rPr>
                <w:kern w:val="0"/>
                <w:sz w:val="24"/>
              </w:rPr>
            </w:pPr>
            <w:r>
              <w:rPr>
                <w:kern w:val="0"/>
                <w:sz w:val="24"/>
              </w:rPr>
              <w:t>本次评价采用《环境影响评价技术导则</w:t>
            </w:r>
            <w:r>
              <w:rPr>
                <w:spacing w:val="56"/>
                <w:kern w:val="0"/>
                <w:sz w:val="24"/>
              </w:rPr>
              <w:t xml:space="preserve"> </w:t>
            </w:r>
            <w:r>
              <w:rPr>
                <w:kern w:val="0"/>
                <w:sz w:val="24"/>
              </w:rPr>
              <w:t>声环境》（HJ2.4-2021）中附录A、附录B中推荐的模式进行预测，具体为：</w:t>
            </w:r>
          </w:p>
          <w:p w14:paraId="539EFB5C">
            <w:pPr>
              <w:spacing w:line="360" w:lineRule="auto"/>
              <w:ind w:firstLine="480" w:firstLineChars="200"/>
              <w:rPr>
                <w:sz w:val="24"/>
              </w:rPr>
            </w:pPr>
            <w:r>
              <w:rPr>
                <w:sz w:val="24"/>
              </w:rPr>
              <w:t>（一）户外声传播衰减计算</w:t>
            </w:r>
          </w:p>
          <w:p w14:paraId="280A6A40">
            <w:pPr>
              <w:spacing w:line="360" w:lineRule="auto"/>
              <w:ind w:firstLine="480" w:firstLineChars="200"/>
              <w:rPr>
                <w:sz w:val="24"/>
              </w:rPr>
            </w:pPr>
            <w:r>
              <w:rPr>
                <w:sz w:val="24"/>
              </w:rPr>
              <w:t>（1）预测点处声级计算公式</w:t>
            </w:r>
          </w:p>
          <w:p w14:paraId="3ABDF8DB">
            <w:pPr>
              <w:spacing w:line="360" w:lineRule="auto"/>
              <w:rPr>
                <w:kern w:val="0"/>
                <w:sz w:val="24"/>
              </w:rPr>
            </w:pPr>
            <w:r>
              <w:rPr>
                <w:kern w:val="0"/>
                <w:sz w:val="24"/>
              </w:rPr>
              <w:t xml:space="preserve">       </w:t>
            </w:r>
            <w:r>
              <w:rPr>
                <w:sz w:val="24"/>
              </w:rPr>
              <w:drawing>
                <wp:inline distT="0" distB="0" distL="0" distR="0">
                  <wp:extent cx="3048000" cy="32766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048000" cy="327660"/>
                          </a:xfrm>
                          <a:prstGeom prst="rect">
                            <a:avLst/>
                          </a:prstGeom>
                          <a:noFill/>
                          <a:ln>
                            <a:noFill/>
                          </a:ln>
                        </pic:spPr>
                      </pic:pic>
                    </a:graphicData>
                  </a:graphic>
                </wp:inline>
              </w:drawing>
            </w:r>
          </w:p>
          <w:p w14:paraId="50AE9A2B">
            <w:pPr>
              <w:spacing w:line="360" w:lineRule="auto"/>
              <w:rPr>
                <w:kern w:val="0"/>
                <w:sz w:val="24"/>
              </w:rPr>
            </w:pPr>
            <w:r>
              <w:rPr>
                <w:kern w:val="0"/>
                <w:sz w:val="24"/>
              </w:rPr>
              <w:t>式中：</w:t>
            </w:r>
            <w:r>
              <w:rPr>
                <w:i/>
                <w:kern w:val="0"/>
                <w:sz w:val="24"/>
              </w:rPr>
              <w:t>L</w:t>
            </w:r>
            <w:r>
              <w:rPr>
                <w:i/>
                <w:kern w:val="0"/>
                <w:sz w:val="24"/>
                <w:vertAlign w:val="subscript"/>
              </w:rPr>
              <w:t>p</w:t>
            </w:r>
            <w:r>
              <w:rPr>
                <w:i/>
                <w:kern w:val="0"/>
                <w:sz w:val="24"/>
              </w:rPr>
              <w:t>(r)</w:t>
            </w:r>
            <w:r>
              <w:rPr>
                <w:kern w:val="0"/>
                <w:sz w:val="24"/>
              </w:rPr>
              <w:t>—预测点处声压级，dB；</w:t>
            </w:r>
          </w:p>
          <w:p w14:paraId="19E91DCB">
            <w:pPr>
              <w:spacing w:line="360" w:lineRule="auto"/>
              <w:ind w:firstLine="480"/>
              <w:rPr>
                <w:sz w:val="24"/>
              </w:rPr>
            </w:pPr>
            <w:r>
              <w:rPr>
                <w:sz w:val="24"/>
              </w:rPr>
              <w:t xml:space="preserve">      </w:t>
            </w:r>
            <w:r>
              <w:rPr>
                <w:i/>
                <w:sz w:val="24"/>
              </w:rPr>
              <w:t>L</w:t>
            </w:r>
            <w:r>
              <w:rPr>
                <w:i/>
                <w:sz w:val="24"/>
                <w:vertAlign w:val="subscript"/>
              </w:rPr>
              <w:t>pi</w:t>
            </w:r>
            <w:r>
              <w:rPr>
                <w:i/>
                <w:sz w:val="24"/>
              </w:rPr>
              <w:t>(r</w:t>
            </w:r>
            <w:r>
              <w:rPr>
                <w:i/>
                <w:sz w:val="24"/>
                <w:vertAlign w:val="subscript"/>
              </w:rPr>
              <w:t>0</w:t>
            </w:r>
            <w:r>
              <w:rPr>
                <w:i/>
                <w:sz w:val="24"/>
              </w:rPr>
              <w:t>)</w:t>
            </w:r>
            <w:r>
              <w:rPr>
                <w:sz w:val="24"/>
              </w:rPr>
              <w:t>—参考位置r</w:t>
            </w:r>
            <w:r>
              <w:rPr>
                <w:sz w:val="24"/>
                <w:vertAlign w:val="subscript"/>
              </w:rPr>
              <w:t>0</w:t>
            </w:r>
            <w:r>
              <w:rPr>
                <w:sz w:val="24"/>
              </w:rPr>
              <w:t>处的声压级，dB；</w:t>
            </w:r>
          </w:p>
          <w:p w14:paraId="4244989B">
            <w:pPr>
              <w:spacing w:line="360" w:lineRule="auto"/>
              <w:ind w:firstLine="960" w:firstLineChars="400"/>
              <w:rPr>
                <w:sz w:val="24"/>
              </w:rPr>
            </w:pPr>
            <w:r>
              <w:rPr>
                <w:i/>
                <w:sz w:val="24"/>
              </w:rPr>
              <w:t>Dc</w:t>
            </w:r>
            <w:r>
              <w:rPr>
                <w:sz w:val="24"/>
              </w:rPr>
              <w:t>—指向性校正，它描述点声源的等效连续声压级与产生声功率级</w:t>
            </w:r>
            <w:r>
              <w:rPr>
                <w:i/>
                <w:iCs/>
                <w:sz w:val="24"/>
              </w:rPr>
              <w:t>Lw</w:t>
            </w:r>
            <w:r>
              <w:rPr>
                <w:sz w:val="24"/>
              </w:rPr>
              <w:t>的全向点声源在规定方向的声级的偏差程度，dB；</w:t>
            </w:r>
          </w:p>
          <w:p w14:paraId="49BC72E9">
            <w:pPr>
              <w:spacing w:line="360" w:lineRule="auto"/>
              <w:ind w:firstLine="1200" w:firstLineChars="500"/>
              <w:rPr>
                <w:sz w:val="24"/>
              </w:rPr>
            </w:pPr>
            <w:r>
              <w:rPr>
                <w:sz w:val="24"/>
              </w:rPr>
              <w:t>A</w:t>
            </w:r>
            <w:r>
              <w:rPr>
                <w:sz w:val="24"/>
                <w:vertAlign w:val="subscript"/>
              </w:rPr>
              <w:t>div</w:t>
            </w:r>
            <w:r>
              <w:rPr>
                <w:sz w:val="24"/>
              </w:rPr>
              <w:t>―几何发散引起的衰减，dB；</w:t>
            </w:r>
          </w:p>
          <w:p w14:paraId="5FDD299F">
            <w:pPr>
              <w:spacing w:line="360" w:lineRule="auto"/>
              <w:ind w:firstLine="1140" w:firstLineChars="475"/>
              <w:rPr>
                <w:sz w:val="24"/>
              </w:rPr>
            </w:pPr>
            <w:r>
              <w:rPr>
                <w:sz w:val="24"/>
              </w:rPr>
              <w:t>A</w:t>
            </w:r>
            <w:r>
              <w:rPr>
                <w:sz w:val="24"/>
                <w:vertAlign w:val="subscript"/>
              </w:rPr>
              <w:t>atm</w:t>
            </w:r>
            <w:r>
              <w:rPr>
                <w:sz w:val="24"/>
              </w:rPr>
              <w:t>－大气吸收引起的衰减，dB；</w:t>
            </w:r>
          </w:p>
          <w:p w14:paraId="7FF66F24">
            <w:pPr>
              <w:spacing w:line="360" w:lineRule="auto"/>
              <w:ind w:firstLine="1140" w:firstLineChars="475"/>
              <w:rPr>
                <w:sz w:val="24"/>
              </w:rPr>
            </w:pPr>
            <w:r>
              <w:rPr>
                <w:sz w:val="24"/>
              </w:rPr>
              <w:t>A</w:t>
            </w:r>
            <w:r>
              <w:rPr>
                <w:sz w:val="24"/>
                <w:vertAlign w:val="subscript"/>
              </w:rPr>
              <w:t>gr</w:t>
            </w:r>
            <w:r>
              <w:rPr>
                <w:sz w:val="24"/>
              </w:rPr>
              <w:t>－地面效应引起的衰减，dB；</w:t>
            </w:r>
          </w:p>
          <w:p w14:paraId="71F15039">
            <w:pPr>
              <w:spacing w:line="360" w:lineRule="auto"/>
              <w:ind w:firstLine="1140" w:firstLineChars="475"/>
              <w:rPr>
                <w:sz w:val="24"/>
              </w:rPr>
            </w:pPr>
            <w:r>
              <w:rPr>
                <w:sz w:val="24"/>
              </w:rPr>
              <w:t>A</w:t>
            </w:r>
            <w:r>
              <w:rPr>
                <w:sz w:val="24"/>
                <w:vertAlign w:val="subscript"/>
              </w:rPr>
              <w:t>bar</w:t>
            </w:r>
            <w:r>
              <w:rPr>
                <w:sz w:val="24"/>
              </w:rPr>
              <w:t>－障碍物屏蔽引起的衰减，dB；</w:t>
            </w:r>
          </w:p>
          <w:p w14:paraId="245262AA">
            <w:pPr>
              <w:spacing w:line="360" w:lineRule="auto"/>
              <w:ind w:firstLine="1140" w:firstLineChars="475"/>
              <w:rPr>
                <w:sz w:val="24"/>
              </w:rPr>
            </w:pPr>
            <w:r>
              <w:rPr>
                <w:sz w:val="24"/>
              </w:rPr>
              <w:t>A</w:t>
            </w:r>
            <w:r>
              <w:rPr>
                <w:sz w:val="24"/>
                <w:vertAlign w:val="subscript"/>
              </w:rPr>
              <w:t>misc</w:t>
            </w:r>
            <w:r>
              <w:rPr>
                <w:sz w:val="24"/>
              </w:rPr>
              <w:t>－其他多方面效应引起的衰减，dB。</w:t>
            </w:r>
          </w:p>
          <w:p w14:paraId="43EE730F">
            <w:pPr>
              <w:spacing w:line="360" w:lineRule="auto"/>
              <w:ind w:firstLine="480" w:firstLineChars="200"/>
              <w:rPr>
                <w:sz w:val="24"/>
              </w:rPr>
            </w:pPr>
            <w:r>
              <w:rPr>
                <w:sz w:val="24"/>
              </w:rPr>
              <w:t>（2）预测点的A声级计算公式</w:t>
            </w:r>
          </w:p>
          <w:p w14:paraId="38DCDF7F">
            <w:pPr>
              <w:spacing w:line="360" w:lineRule="auto"/>
              <w:rPr>
                <w:sz w:val="24"/>
              </w:rPr>
            </w:pPr>
            <w:r>
              <w:rPr>
                <w:sz w:val="24"/>
              </w:rPr>
              <w:drawing>
                <wp:anchor distT="0" distB="0" distL="114300" distR="114300" simplePos="0" relativeHeight="251660288" behindDoc="0" locked="0" layoutInCell="1" allowOverlap="1">
                  <wp:simplePos x="0" y="0"/>
                  <wp:positionH relativeFrom="column">
                    <wp:posOffset>708660</wp:posOffset>
                  </wp:positionH>
                  <wp:positionV relativeFrom="paragraph">
                    <wp:posOffset>5080</wp:posOffset>
                  </wp:positionV>
                  <wp:extent cx="1929130" cy="456565"/>
                  <wp:effectExtent l="0" t="0" r="0" b="63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929130" cy="456565"/>
                          </a:xfrm>
                          <a:prstGeom prst="rect">
                            <a:avLst/>
                          </a:prstGeom>
                          <a:noFill/>
                          <a:ln>
                            <a:noFill/>
                          </a:ln>
                        </pic:spPr>
                      </pic:pic>
                    </a:graphicData>
                  </a:graphic>
                </wp:anchor>
              </w:drawing>
            </w:r>
          </w:p>
          <w:p w14:paraId="616BD673">
            <w:pPr>
              <w:spacing w:line="360" w:lineRule="auto"/>
              <w:ind w:firstLine="1140" w:firstLineChars="475"/>
              <w:rPr>
                <w:i/>
                <w:sz w:val="24"/>
              </w:rPr>
            </w:pPr>
          </w:p>
          <w:p w14:paraId="0E5F380A">
            <w:pPr>
              <w:spacing w:line="360" w:lineRule="auto"/>
              <w:ind w:left="420" w:leftChars="200"/>
              <w:rPr>
                <w:kern w:val="0"/>
                <w:sz w:val="24"/>
              </w:rPr>
            </w:pPr>
            <w:r>
              <w:rPr>
                <w:kern w:val="0"/>
                <w:sz w:val="24"/>
              </w:rPr>
              <w:t>式中：</w:t>
            </w:r>
            <w:r>
              <w:rPr>
                <w:i/>
                <w:kern w:val="0"/>
                <w:sz w:val="24"/>
              </w:rPr>
              <w:t>L</w:t>
            </w:r>
            <w:r>
              <w:rPr>
                <w:i/>
                <w:kern w:val="0"/>
                <w:sz w:val="24"/>
                <w:vertAlign w:val="subscript"/>
              </w:rPr>
              <w:t>A</w:t>
            </w:r>
            <w:r>
              <w:rPr>
                <w:i/>
                <w:kern w:val="0"/>
                <w:sz w:val="24"/>
              </w:rPr>
              <w:t>(r)</w:t>
            </w:r>
            <w:r>
              <w:rPr>
                <w:kern w:val="0"/>
                <w:sz w:val="24"/>
              </w:rPr>
              <w:t>—距声源r处的A声级，dB(A)；</w:t>
            </w:r>
          </w:p>
          <w:p w14:paraId="38CE7C7F">
            <w:pPr>
              <w:spacing w:line="360" w:lineRule="auto"/>
              <w:ind w:firstLine="1140" w:firstLineChars="475"/>
              <w:rPr>
                <w:i/>
                <w:sz w:val="24"/>
              </w:rPr>
            </w:pPr>
            <w:r>
              <w:rPr>
                <w:i/>
                <w:sz w:val="24"/>
              </w:rPr>
              <w:t>L</w:t>
            </w:r>
            <w:r>
              <w:rPr>
                <w:i/>
                <w:sz w:val="24"/>
                <w:vertAlign w:val="subscript"/>
              </w:rPr>
              <w:t>pi</w:t>
            </w:r>
            <w:r>
              <w:rPr>
                <w:i/>
                <w:sz w:val="24"/>
              </w:rPr>
              <w:t>(r)</w:t>
            </w:r>
            <w:r>
              <w:rPr>
                <w:sz w:val="24"/>
              </w:rPr>
              <w:t>—预测点（r）处，第i倍频带声压级，dB；</w:t>
            </w:r>
          </w:p>
          <w:p w14:paraId="0E653BED">
            <w:pPr>
              <w:spacing w:line="360" w:lineRule="auto"/>
              <w:ind w:firstLine="1140" w:firstLineChars="475"/>
              <w:rPr>
                <w:sz w:val="24"/>
              </w:rPr>
            </w:pPr>
            <w:r>
              <w:rPr>
                <w:i/>
                <w:sz w:val="24"/>
              </w:rPr>
              <w:t>ΔL</w:t>
            </w:r>
            <w:r>
              <w:rPr>
                <w:i/>
                <w:sz w:val="24"/>
                <w:vertAlign w:val="subscript"/>
              </w:rPr>
              <w:t>i</w:t>
            </w:r>
            <w:r>
              <w:rPr>
                <w:sz w:val="24"/>
              </w:rPr>
              <w:t>—第</w:t>
            </w:r>
            <w:r>
              <w:rPr>
                <w:i/>
                <w:sz w:val="24"/>
              </w:rPr>
              <w:t>i</w:t>
            </w:r>
            <w:r>
              <w:rPr>
                <w:sz w:val="24"/>
              </w:rPr>
              <w:t>倍频带的A计权网络修正值，dB。</w:t>
            </w:r>
          </w:p>
          <w:p w14:paraId="2B652DDE">
            <w:pPr>
              <w:spacing w:line="360" w:lineRule="auto"/>
              <w:ind w:firstLine="556" w:firstLineChars="232"/>
              <w:rPr>
                <w:sz w:val="24"/>
              </w:rPr>
            </w:pPr>
            <w:r>
              <w:rPr>
                <w:sz w:val="24"/>
              </w:rPr>
              <w:t>（二）室内声源等效室外声源功率级计算方法</w:t>
            </w:r>
          </w:p>
          <w:p w14:paraId="2EEF2E6A">
            <w:pPr>
              <w:spacing w:line="360" w:lineRule="auto"/>
              <w:ind w:firstLine="960" w:firstLineChars="400"/>
              <w:rPr>
                <w:sz w:val="24"/>
              </w:rPr>
            </w:pPr>
            <w:r>
              <w:rPr>
                <w:i/>
                <w:iCs/>
                <w:sz w:val="24"/>
              </w:rPr>
              <w:t>Lp</w:t>
            </w:r>
            <w:r>
              <w:rPr>
                <w:i/>
                <w:iCs/>
                <w:sz w:val="24"/>
                <w:vertAlign w:val="subscript"/>
              </w:rPr>
              <w:t>2</w:t>
            </w:r>
            <w:r>
              <w:rPr>
                <w:sz w:val="24"/>
              </w:rPr>
              <w:t>=</w:t>
            </w:r>
            <w:r>
              <w:rPr>
                <w:i/>
                <w:iCs/>
                <w:sz w:val="24"/>
              </w:rPr>
              <w:t>Lp</w:t>
            </w:r>
            <w:r>
              <w:rPr>
                <w:i/>
                <w:iCs/>
                <w:sz w:val="24"/>
                <w:vertAlign w:val="subscript"/>
              </w:rPr>
              <w:t xml:space="preserve">1 </w:t>
            </w:r>
            <w:r>
              <w:rPr>
                <w:sz w:val="24"/>
              </w:rPr>
              <w:t>-（</w:t>
            </w:r>
            <w:r>
              <w:rPr>
                <w:i/>
                <w:iCs/>
                <w:sz w:val="24"/>
              </w:rPr>
              <w:t>TL</w:t>
            </w:r>
            <w:r>
              <w:rPr>
                <w:sz w:val="24"/>
              </w:rPr>
              <w:t>+6）</w:t>
            </w:r>
          </w:p>
          <w:p w14:paraId="10763AAF">
            <w:pPr>
              <w:spacing w:line="360" w:lineRule="auto"/>
              <w:ind w:firstLine="240" w:firstLineChars="100"/>
              <w:rPr>
                <w:sz w:val="24"/>
              </w:rPr>
            </w:pPr>
            <w:r>
              <w:rPr>
                <w:sz w:val="24"/>
              </w:rPr>
              <w:t>式中：</w:t>
            </w:r>
            <w:r>
              <w:rPr>
                <w:i/>
                <w:iCs/>
                <w:sz w:val="24"/>
              </w:rPr>
              <w:t>Lp</w:t>
            </w:r>
            <w:r>
              <w:rPr>
                <w:i/>
                <w:iCs/>
                <w:sz w:val="24"/>
                <w:vertAlign w:val="subscript"/>
              </w:rPr>
              <w:t>1</w:t>
            </w:r>
            <w:r>
              <w:rPr>
                <w:sz w:val="24"/>
              </w:rPr>
              <w:t>—靠近开口处（或窗户）室内某倍频带的声压级或A声级，dB；</w:t>
            </w:r>
          </w:p>
          <w:p w14:paraId="6E6454EE">
            <w:pPr>
              <w:spacing w:line="360" w:lineRule="auto"/>
              <w:ind w:firstLine="960" w:firstLineChars="400"/>
              <w:rPr>
                <w:sz w:val="24"/>
              </w:rPr>
            </w:pPr>
            <w:r>
              <w:rPr>
                <w:i/>
                <w:iCs/>
                <w:sz w:val="24"/>
              </w:rPr>
              <w:t>Lp</w:t>
            </w:r>
            <w:r>
              <w:rPr>
                <w:i/>
                <w:iCs/>
                <w:sz w:val="24"/>
                <w:vertAlign w:val="subscript"/>
              </w:rPr>
              <w:t>2</w:t>
            </w:r>
            <w:r>
              <w:rPr>
                <w:sz w:val="24"/>
              </w:rPr>
              <w:t>—靠近开口处（或窗户）室外某倍频带的声压级或A声级，dB；</w:t>
            </w:r>
          </w:p>
          <w:p w14:paraId="7AE3D162">
            <w:pPr>
              <w:spacing w:line="360" w:lineRule="auto"/>
              <w:ind w:firstLine="960" w:firstLineChars="400"/>
              <w:rPr>
                <w:sz w:val="24"/>
              </w:rPr>
            </w:pPr>
            <w:r>
              <w:rPr>
                <w:i/>
                <w:iCs/>
                <w:sz w:val="24"/>
              </w:rPr>
              <w:t>TL</w:t>
            </w:r>
            <w:r>
              <w:rPr>
                <w:sz w:val="24"/>
              </w:rPr>
              <w:t>—隔墙（或窗户）倍频带或A声级的隔声量，dB。</w:t>
            </w:r>
          </w:p>
          <w:p w14:paraId="33400808">
            <w:pPr>
              <w:spacing w:line="360" w:lineRule="auto"/>
              <w:ind w:firstLine="480" w:firstLineChars="200"/>
              <w:jc w:val="left"/>
              <w:rPr>
                <w:sz w:val="24"/>
              </w:rPr>
            </w:pPr>
            <w:r>
              <w:rPr>
                <w:sz w:val="24"/>
              </w:rPr>
              <w:t>（三）拟建工程声源对预测点产生的贡献值计算公式</w:t>
            </w:r>
          </w:p>
          <w:p w14:paraId="33781C4F">
            <w:pPr>
              <w:spacing w:line="360" w:lineRule="auto"/>
              <w:rPr>
                <w:b/>
              </w:rPr>
            </w:pPr>
            <w:r>
              <w:rPr>
                <w:b/>
                <w:kern w:val="0"/>
                <w:sz w:val="24"/>
              </w:rPr>
              <w:drawing>
                <wp:anchor distT="0" distB="0" distL="114300" distR="114300" simplePos="0" relativeHeight="251662336" behindDoc="0" locked="0" layoutInCell="1" allowOverlap="1">
                  <wp:simplePos x="0" y="0"/>
                  <wp:positionH relativeFrom="column">
                    <wp:posOffset>1019175</wp:posOffset>
                  </wp:positionH>
                  <wp:positionV relativeFrom="paragraph">
                    <wp:posOffset>113030</wp:posOffset>
                  </wp:positionV>
                  <wp:extent cx="2616200" cy="508000"/>
                  <wp:effectExtent l="0" t="0" r="0" b="635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616200" cy="508000"/>
                          </a:xfrm>
                          <a:prstGeom prst="rect">
                            <a:avLst/>
                          </a:prstGeom>
                          <a:noFill/>
                          <a:ln>
                            <a:noFill/>
                          </a:ln>
                        </pic:spPr>
                      </pic:pic>
                    </a:graphicData>
                  </a:graphic>
                </wp:anchor>
              </w:drawing>
            </w:r>
          </w:p>
          <w:p w14:paraId="68271B50">
            <w:pPr>
              <w:spacing w:line="360" w:lineRule="auto"/>
              <w:ind w:firstLine="480" w:firstLineChars="200"/>
              <w:rPr>
                <w:bCs/>
                <w:sz w:val="24"/>
              </w:rPr>
            </w:pPr>
          </w:p>
          <w:p w14:paraId="74B3EE9D">
            <w:pPr>
              <w:spacing w:line="360" w:lineRule="auto"/>
              <w:rPr>
                <w:bCs/>
                <w:sz w:val="24"/>
              </w:rPr>
            </w:pPr>
          </w:p>
          <w:p w14:paraId="41005181">
            <w:pPr>
              <w:spacing w:line="360" w:lineRule="auto"/>
              <w:ind w:firstLine="480" w:firstLineChars="200"/>
              <w:jc w:val="left"/>
              <w:rPr>
                <w:sz w:val="24"/>
              </w:rPr>
            </w:pPr>
            <w:r>
              <w:rPr>
                <w:sz w:val="24"/>
              </w:rPr>
              <w:t>式中：</w:t>
            </w:r>
            <w:r>
              <w:rPr>
                <w:i/>
                <w:sz w:val="24"/>
              </w:rPr>
              <w:t>L</w:t>
            </w:r>
            <w:r>
              <w:rPr>
                <w:i/>
                <w:sz w:val="24"/>
                <w:vertAlign w:val="subscript"/>
              </w:rPr>
              <w:t>eqg</w:t>
            </w:r>
            <w:r>
              <w:rPr>
                <w:sz w:val="24"/>
              </w:rPr>
              <w:t>—建设项目声源在预测点产生的噪声贡献值，dB；</w:t>
            </w:r>
          </w:p>
          <w:p w14:paraId="125C4A2B">
            <w:pPr>
              <w:spacing w:line="360" w:lineRule="auto"/>
              <w:ind w:firstLine="1200" w:firstLineChars="500"/>
              <w:jc w:val="left"/>
              <w:rPr>
                <w:sz w:val="24"/>
              </w:rPr>
            </w:pPr>
            <w:r>
              <w:rPr>
                <w:i/>
                <w:sz w:val="24"/>
              </w:rPr>
              <w:t>L</w:t>
            </w:r>
            <w:r>
              <w:rPr>
                <w:i/>
                <w:sz w:val="24"/>
                <w:vertAlign w:val="subscript"/>
              </w:rPr>
              <w:t>Ai</w:t>
            </w:r>
            <w:r>
              <w:rPr>
                <w:sz w:val="24"/>
              </w:rPr>
              <w:t>—第</w:t>
            </w:r>
            <w:r>
              <w:rPr>
                <w:i/>
                <w:sz w:val="24"/>
              </w:rPr>
              <w:t>i</w:t>
            </w:r>
            <w:r>
              <w:rPr>
                <w:iCs/>
                <w:sz w:val="24"/>
              </w:rPr>
              <w:t>个室外</w:t>
            </w:r>
            <w:r>
              <w:rPr>
                <w:sz w:val="24"/>
              </w:rPr>
              <w:t>声源在预测点产生的A声级，dB(A)；</w:t>
            </w:r>
          </w:p>
          <w:p w14:paraId="5BA9668B">
            <w:pPr>
              <w:spacing w:line="360" w:lineRule="auto"/>
              <w:ind w:firstLine="1200" w:firstLineChars="500"/>
              <w:jc w:val="left"/>
              <w:rPr>
                <w:sz w:val="24"/>
              </w:rPr>
            </w:pPr>
            <w:r>
              <w:rPr>
                <w:i/>
                <w:sz w:val="24"/>
              </w:rPr>
              <w:t>T</w:t>
            </w:r>
            <w:r>
              <w:rPr>
                <w:sz w:val="24"/>
              </w:rPr>
              <w:t>—用于计算等效声级的时间，s；</w:t>
            </w:r>
          </w:p>
          <w:p w14:paraId="06AAB7BC">
            <w:pPr>
              <w:spacing w:line="360" w:lineRule="auto"/>
              <w:ind w:firstLine="1200" w:firstLineChars="500"/>
              <w:jc w:val="left"/>
              <w:rPr>
                <w:sz w:val="24"/>
              </w:rPr>
            </w:pPr>
            <w:r>
              <w:rPr>
                <w:i/>
                <w:sz w:val="24"/>
              </w:rPr>
              <w:t>N</w:t>
            </w:r>
            <w:r>
              <w:rPr>
                <w:sz w:val="24"/>
              </w:rPr>
              <w:t>—室外声源个数；</w:t>
            </w:r>
          </w:p>
          <w:p w14:paraId="5BFBD8C5">
            <w:pPr>
              <w:spacing w:line="360" w:lineRule="auto"/>
              <w:ind w:firstLine="1200" w:firstLineChars="500"/>
              <w:jc w:val="left"/>
              <w:rPr>
                <w:sz w:val="24"/>
              </w:rPr>
            </w:pPr>
            <w:r>
              <w:rPr>
                <w:i/>
                <w:sz w:val="24"/>
              </w:rPr>
              <w:t>t</w:t>
            </w:r>
            <w:r>
              <w:rPr>
                <w:i/>
                <w:sz w:val="24"/>
                <w:vertAlign w:val="subscript"/>
              </w:rPr>
              <w:t>i</w:t>
            </w:r>
            <w:r>
              <w:rPr>
                <w:sz w:val="24"/>
              </w:rPr>
              <w:t>—在</w:t>
            </w:r>
            <w:r>
              <w:rPr>
                <w:i/>
                <w:sz w:val="24"/>
              </w:rPr>
              <w:t>T</w:t>
            </w:r>
            <w:r>
              <w:rPr>
                <w:sz w:val="24"/>
              </w:rPr>
              <w:t>时间内</w:t>
            </w:r>
            <w:r>
              <w:rPr>
                <w:i/>
                <w:sz w:val="24"/>
              </w:rPr>
              <w:t>i</w:t>
            </w:r>
            <w:r>
              <w:rPr>
                <w:sz w:val="24"/>
              </w:rPr>
              <w:t>声源工作时间，s；</w:t>
            </w:r>
          </w:p>
          <w:p w14:paraId="09621172">
            <w:pPr>
              <w:spacing w:line="360" w:lineRule="auto"/>
              <w:ind w:firstLine="1200" w:firstLineChars="500"/>
              <w:jc w:val="left"/>
              <w:rPr>
                <w:sz w:val="24"/>
              </w:rPr>
            </w:pPr>
            <w:r>
              <w:rPr>
                <w:i/>
                <w:sz w:val="24"/>
              </w:rPr>
              <w:t>M</w:t>
            </w:r>
            <w:r>
              <w:rPr>
                <w:sz w:val="24"/>
              </w:rPr>
              <w:t>—等效室外声源个数；</w:t>
            </w:r>
          </w:p>
          <w:p w14:paraId="49E61E94">
            <w:pPr>
              <w:spacing w:line="360" w:lineRule="auto"/>
              <w:ind w:firstLine="1200" w:firstLineChars="500"/>
              <w:jc w:val="left"/>
              <w:rPr>
                <w:sz w:val="24"/>
              </w:rPr>
            </w:pPr>
            <w:r>
              <w:rPr>
                <w:i/>
                <w:sz w:val="24"/>
              </w:rPr>
              <w:t>t</w:t>
            </w:r>
            <w:r>
              <w:rPr>
                <w:i/>
                <w:sz w:val="24"/>
                <w:vertAlign w:val="subscript"/>
              </w:rPr>
              <w:t>j</w:t>
            </w:r>
            <w:r>
              <w:rPr>
                <w:sz w:val="24"/>
              </w:rPr>
              <w:t>—在</w:t>
            </w:r>
            <w:r>
              <w:rPr>
                <w:i/>
                <w:sz w:val="24"/>
              </w:rPr>
              <w:t>T</w:t>
            </w:r>
            <w:r>
              <w:rPr>
                <w:sz w:val="24"/>
              </w:rPr>
              <w:t>时间内</w:t>
            </w:r>
            <w:r>
              <w:rPr>
                <w:i/>
                <w:sz w:val="24"/>
              </w:rPr>
              <w:t>j</w:t>
            </w:r>
            <w:r>
              <w:rPr>
                <w:sz w:val="24"/>
              </w:rPr>
              <w:t>声源工作时间，s。</w:t>
            </w:r>
          </w:p>
          <w:p w14:paraId="3470748C">
            <w:pPr>
              <w:spacing w:line="360" w:lineRule="auto"/>
              <w:ind w:firstLine="480"/>
              <w:rPr>
                <w:sz w:val="24"/>
              </w:rPr>
            </w:pPr>
            <w:r>
              <w:rPr>
                <w:sz w:val="24"/>
              </w:rPr>
              <w:t>（四）噪声预测值计算公式</w:t>
            </w:r>
          </w:p>
          <w:p w14:paraId="3FA82C6E">
            <w:pPr>
              <w:spacing w:line="360" w:lineRule="auto"/>
              <w:ind w:firstLine="2520" w:firstLineChars="1050"/>
              <w:rPr>
                <w:sz w:val="24"/>
              </w:rPr>
            </w:pPr>
            <w:r>
              <w:rPr>
                <w:sz w:val="24"/>
              </w:rPr>
              <w:drawing>
                <wp:anchor distT="0" distB="0" distL="114300" distR="114300" simplePos="0" relativeHeight="251661312" behindDoc="0" locked="0" layoutInCell="1" allowOverlap="1">
                  <wp:simplePos x="0" y="0"/>
                  <wp:positionH relativeFrom="column">
                    <wp:posOffset>795655</wp:posOffset>
                  </wp:positionH>
                  <wp:positionV relativeFrom="paragraph">
                    <wp:posOffset>31750</wp:posOffset>
                  </wp:positionV>
                  <wp:extent cx="1875155" cy="279400"/>
                  <wp:effectExtent l="0" t="0" r="0" b="635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875155" cy="279400"/>
                          </a:xfrm>
                          <a:prstGeom prst="rect">
                            <a:avLst/>
                          </a:prstGeom>
                          <a:noFill/>
                          <a:ln>
                            <a:noFill/>
                          </a:ln>
                        </pic:spPr>
                      </pic:pic>
                    </a:graphicData>
                  </a:graphic>
                </wp:anchor>
              </w:drawing>
            </w:r>
          </w:p>
          <w:p w14:paraId="13CA7792">
            <w:pPr>
              <w:spacing w:before="120" w:beforeLines="50" w:line="360" w:lineRule="auto"/>
              <w:ind w:firstLine="482"/>
              <w:rPr>
                <w:sz w:val="24"/>
              </w:rPr>
            </w:pPr>
            <w:r>
              <w:rPr>
                <w:sz w:val="24"/>
              </w:rPr>
              <w:t>式中：</w:t>
            </w:r>
            <w:r>
              <w:rPr>
                <w:i/>
                <w:sz w:val="24"/>
              </w:rPr>
              <w:t>L</w:t>
            </w:r>
            <w:r>
              <w:rPr>
                <w:i/>
                <w:sz w:val="24"/>
                <w:vertAlign w:val="subscript"/>
              </w:rPr>
              <w:t>eq</w:t>
            </w:r>
            <w:r>
              <w:rPr>
                <w:sz w:val="24"/>
              </w:rPr>
              <w:t>—预测点的噪声预测值，dB；</w:t>
            </w:r>
          </w:p>
          <w:p w14:paraId="03AA4A8A">
            <w:pPr>
              <w:spacing w:line="360" w:lineRule="auto"/>
              <w:ind w:firstLine="1200" w:firstLineChars="500"/>
              <w:rPr>
                <w:sz w:val="24"/>
              </w:rPr>
            </w:pPr>
            <w:r>
              <w:rPr>
                <w:i/>
                <w:sz w:val="24"/>
              </w:rPr>
              <w:t>L</w:t>
            </w:r>
            <w:r>
              <w:rPr>
                <w:i/>
                <w:sz w:val="24"/>
                <w:vertAlign w:val="subscript"/>
              </w:rPr>
              <w:t>eqg</w:t>
            </w:r>
            <w:r>
              <w:rPr>
                <w:sz w:val="24"/>
              </w:rPr>
              <w:t>—建设项目声源在预测点产生的噪声贡献值，dB；</w:t>
            </w:r>
          </w:p>
          <w:p w14:paraId="4D74BC9A">
            <w:pPr>
              <w:spacing w:line="360" w:lineRule="auto"/>
              <w:ind w:firstLine="480" w:firstLineChars="200"/>
              <w:rPr>
                <w:kern w:val="0"/>
                <w:sz w:val="24"/>
              </w:rPr>
            </w:pPr>
            <w:r>
              <w:rPr>
                <w:i/>
                <w:sz w:val="24"/>
              </w:rPr>
              <w:t>L</w:t>
            </w:r>
            <w:r>
              <w:rPr>
                <w:i/>
                <w:sz w:val="24"/>
                <w:vertAlign w:val="subscript"/>
              </w:rPr>
              <w:t>eqb</w:t>
            </w:r>
            <w:r>
              <w:rPr>
                <w:sz w:val="24"/>
              </w:rPr>
              <w:t>—预测点的背景噪声值，dB</w:t>
            </w:r>
            <w:r>
              <w:rPr>
                <w:kern w:val="0"/>
                <w:sz w:val="24"/>
              </w:rPr>
              <w:t>。</w:t>
            </w:r>
          </w:p>
          <w:p w14:paraId="74EC2EEC">
            <w:pPr>
              <w:spacing w:line="360" w:lineRule="auto"/>
              <w:ind w:firstLine="482"/>
              <w:rPr>
                <w:b/>
                <w:sz w:val="24"/>
              </w:rPr>
            </w:pPr>
            <w:r>
              <w:rPr>
                <w:rFonts w:hint="eastAsia"/>
                <w:b/>
                <w:sz w:val="24"/>
              </w:rPr>
              <w:t>（2）</w:t>
            </w:r>
            <w:r>
              <w:rPr>
                <w:b/>
                <w:sz w:val="24"/>
              </w:rPr>
              <w:t>预测结果</w:t>
            </w:r>
          </w:p>
          <w:p w14:paraId="343CDDCB">
            <w:pPr>
              <w:spacing w:line="360" w:lineRule="auto"/>
              <w:ind w:firstLine="482"/>
              <w:rPr>
                <w:sz w:val="24"/>
              </w:rPr>
            </w:pPr>
            <w:r>
              <w:rPr>
                <w:rFonts w:hint="eastAsia"/>
                <w:sz w:val="24"/>
              </w:rPr>
              <w:t>①厂界预测结果</w:t>
            </w:r>
          </w:p>
          <w:p w14:paraId="0D0AFE8D">
            <w:pPr>
              <w:spacing w:line="360" w:lineRule="auto"/>
              <w:ind w:firstLine="482"/>
              <w:rPr>
                <w:sz w:val="24"/>
              </w:rPr>
            </w:pPr>
            <w:r>
              <w:rPr>
                <w:sz w:val="24"/>
              </w:rPr>
              <w:t>根据本项目主要设备经采取相应治理措施后的噪声值，利用以上预测模式和参数计算得出本项目主要噪声设备对厂界及项目环境敏感目标的噪声贡献值</w:t>
            </w:r>
            <w:r>
              <w:rPr>
                <w:rFonts w:hint="eastAsia"/>
                <w:sz w:val="24"/>
              </w:rPr>
              <w:t>。</w:t>
            </w:r>
            <w:r>
              <w:rPr>
                <w:sz w:val="24"/>
              </w:rPr>
              <w:t>本项目对各厂界</w:t>
            </w:r>
            <w:r>
              <w:rPr>
                <w:rFonts w:hint="eastAsia"/>
                <w:sz w:val="24"/>
              </w:rPr>
              <w:t>噪声贡献值</w:t>
            </w:r>
            <w:r>
              <w:rPr>
                <w:sz w:val="24"/>
              </w:rPr>
              <w:t>进行预测，噪声预测结果见下表。</w:t>
            </w:r>
          </w:p>
          <w:p w14:paraId="25EB8501">
            <w:pPr>
              <w:spacing w:line="360" w:lineRule="auto"/>
              <w:jc w:val="center"/>
              <w:rPr>
                <w:b/>
                <w:sz w:val="24"/>
              </w:rPr>
            </w:pPr>
            <w:r>
              <w:rPr>
                <w:b/>
                <w:sz w:val="24"/>
              </w:rPr>
              <w:t>表32 噪声预测</w:t>
            </w:r>
            <w:r>
              <w:rPr>
                <w:rFonts w:hint="eastAsia"/>
                <w:b/>
                <w:sz w:val="24"/>
              </w:rPr>
              <w:t>结果</w:t>
            </w:r>
            <w:r>
              <w:rPr>
                <w:b/>
                <w:sz w:val="24"/>
              </w:rPr>
              <w:t>一览表  单位：dB(A)</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2246"/>
              <w:gridCol w:w="2572"/>
              <w:gridCol w:w="2218"/>
            </w:tblGrid>
            <w:tr w14:paraId="4CF79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87" w:type="pct"/>
                  <w:vMerge w:val="restart"/>
                  <w:vAlign w:val="center"/>
                </w:tcPr>
                <w:p w14:paraId="0598F29E">
                  <w:pPr>
                    <w:adjustRightInd w:val="0"/>
                    <w:snapToGrid w:val="0"/>
                    <w:spacing w:line="360" w:lineRule="exact"/>
                    <w:jc w:val="center"/>
                    <w:rPr>
                      <w:szCs w:val="21"/>
                    </w:rPr>
                  </w:pPr>
                  <w:r>
                    <w:rPr>
                      <w:szCs w:val="21"/>
                    </w:rPr>
                    <w:t>名称</w:t>
                  </w:r>
                </w:p>
              </w:tc>
              <w:tc>
                <w:tcPr>
                  <w:tcW w:w="1281" w:type="pct"/>
                  <w:vMerge w:val="restart"/>
                  <w:vAlign w:val="center"/>
                </w:tcPr>
                <w:p w14:paraId="090EC4A2">
                  <w:pPr>
                    <w:adjustRightInd w:val="0"/>
                    <w:snapToGrid w:val="0"/>
                    <w:spacing w:line="360" w:lineRule="exact"/>
                    <w:jc w:val="center"/>
                    <w:rPr>
                      <w:szCs w:val="21"/>
                    </w:rPr>
                  </w:pPr>
                  <w:r>
                    <w:rPr>
                      <w:szCs w:val="21"/>
                    </w:rPr>
                    <w:t>测点</w:t>
                  </w:r>
                </w:p>
              </w:tc>
              <w:tc>
                <w:tcPr>
                  <w:tcW w:w="1467" w:type="pct"/>
                  <w:vAlign w:val="center"/>
                </w:tcPr>
                <w:p w14:paraId="6DE035B8">
                  <w:pPr>
                    <w:adjustRightInd w:val="0"/>
                    <w:snapToGrid w:val="0"/>
                    <w:spacing w:line="360" w:lineRule="exact"/>
                    <w:jc w:val="center"/>
                    <w:rPr>
                      <w:szCs w:val="21"/>
                    </w:rPr>
                  </w:pPr>
                  <w:r>
                    <w:rPr>
                      <w:szCs w:val="21"/>
                    </w:rPr>
                    <w:t>昼间（夜间不生产）</w:t>
                  </w:r>
                </w:p>
              </w:tc>
              <w:tc>
                <w:tcPr>
                  <w:tcW w:w="1265" w:type="pct"/>
                  <w:vMerge w:val="restart"/>
                  <w:vAlign w:val="center"/>
                </w:tcPr>
                <w:p w14:paraId="06D787E5">
                  <w:pPr>
                    <w:adjustRightInd w:val="0"/>
                    <w:snapToGrid w:val="0"/>
                    <w:spacing w:line="360" w:lineRule="exact"/>
                    <w:jc w:val="center"/>
                    <w:rPr>
                      <w:szCs w:val="21"/>
                    </w:rPr>
                  </w:pPr>
                  <w:r>
                    <w:rPr>
                      <w:szCs w:val="21"/>
                    </w:rPr>
                    <w:t>标准值</w:t>
                  </w:r>
                </w:p>
              </w:tc>
            </w:tr>
            <w:tr w14:paraId="79AFF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7" w:type="pct"/>
                  <w:vMerge w:val="continue"/>
                  <w:vAlign w:val="center"/>
                </w:tcPr>
                <w:p w14:paraId="2FD5B11A">
                  <w:pPr>
                    <w:adjustRightInd w:val="0"/>
                    <w:snapToGrid w:val="0"/>
                    <w:spacing w:line="360" w:lineRule="exact"/>
                    <w:jc w:val="center"/>
                    <w:rPr>
                      <w:szCs w:val="21"/>
                    </w:rPr>
                  </w:pPr>
                </w:p>
              </w:tc>
              <w:tc>
                <w:tcPr>
                  <w:tcW w:w="1281" w:type="pct"/>
                  <w:vMerge w:val="continue"/>
                  <w:vAlign w:val="center"/>
                </w:tcPr>
                <w:p w14:paraId="28663A0F">
                  <w:pPr>
                    <w:adjustRightInd w:val="0"/>
                    <w:snapToGrid w:val="0"/>
                    <w:spacing w:line="360" w:lineRule="exact"/>
                    <w:jc w:val="center"/>
                    <w:rPr>
                      <w:szCs w:val="21"/>
                    </w:rPr>
                  </w:pPr>
                </w:p>
              </w:tc>
              <w:tc>
                <w:tcPr>
                  <w:tcW w:w="1467" w:type="pct"/>
                  <w:vAlign w:val="center"/>
                </w:tcPr>
                <w:p w14:paraId="740E05D2">
                  <w:pPr>
                    <w:pStyle w:val="103"/>
                    <w:spacing w:line="360" w:lineRule="exact"/>
                    <w:rPr>
                      <w:bCs w:val="0"/>
                    </w:rPr>
                  </w:pPr>
                  <w:r>
                    <w:rPr>
                      <w:bCs w:val="0"/>
                    </w:rPr>
                    <w:t>贡献值</w:t>
                  </w:r>
                </w:p>
              </w:tc>
              <w:tc>
                <w:tcPr>
                  <w:tcW w:w="1265" w:type="pct"/>
                  <w:vMerge w:val="continue"/>
                </w:tcPr>
                <w:p w14:paraId="6029548C">
                  <w:pPr>
                    <w:pStyle w:val="103"/>
                    <w:spacing w:line="360" w:lineRule="exact"/>
                    <w:rPr>
                      <w:bCs w:val="0"/>
                    </w:rPr>
                  </w:pPr>
                </w:p>
              </w:tc>
            </w:tr>
            <w:tr w14:paraId="5C507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7" w:type="pct"/>
                  <w:vMerge w:val="restart"/>
                  <w:vAlign w:val="center"/>
                </w:tcPr>
                <w:p w14:paraId="47D05607">
                  <w:pPr>
                    <w:adjustRightInd w:val="0"/>
                    <w:snapToGrid w:val="0"/>
                    <w:spacing w:line="360" w:lineRule="exact"/>
                    <w:jc w:val="center"/>
                    <w:rPr>
                      <w:szCs w:val="21"/>
                    </w:rPr>
                  </w:pPr>
                  <w:r>
                    <w:rPr>
                      <w:szCs w:val="21"/>
                    </w:rPr>
                    <w:t>厂界噪声</w:t>
                  </w:r>
                </w:p>
              </w:tc>
              <w:tc>
                <w:tcPr>
                  <w:tcW w:w="1281" w:type="pct"/>
                  <w:vAlign w:val="center"/>
                </w:tcPr>
                <w:p w14:paraId="02EDB3D2">
                  <w:pPr>
                    <w:adjustRightInd w:val="0"/>
                    <w:snapToGrid w:val="0"/>
                    <w:spacing w:line="360" w:lineRule="exact"/>
                    <w:jc w:val="center"/>
                    <w:rPr>
                      <w:szCs w:val="21"/>
                    </w:rPr>
                  </w:pPr>
                  <w:r>
                    <w:rPr>
                      <w:szCs w:val="21"/>
                    </w:rPr>
                    <w:t>东边界</w:t>
                  </w:r>
                </w:p>
              </w:tc>
              <w:tc>
                <w:tcPr>
                  <w:tcW w:w="1467" w:type="pct"/>
                  <w:vAlign w:val="center"/>
                </w:tcPr>
                <w:p w14:paraId="6B14C74C">
                  <w:pPr>
                    <w:adjustRightInd w:val="0"/>
                    <w:snapToGrid w:val="0"/>
                    <w:spacing w:line="360" w:lineRule="exact"/>
                    <w:jc w:val="center"/>
                    <w:rPr>
                      <w:szCs w:val="21"/>
                    </w:rPr>
                  </w:pPr>
                  <w:r>
                    <w:rPr>
                      <w:szCs w:val="21"/>
                    </w:rPr>
                    <w:t>42.4</w:t>
                  </w:r>
                </w:p>
              </w:tc>
              <w:tc>
                <w:tcPr>
                  <w:tcW w:w="1265" w:type="pct"/>
                  <w:vAlign w:val="center"/>
                </w:tcPr>
                <w:p w14:paraId="380C378F">
                  <w:pPr>
                    <w:adjustRightInd w:val="0"/>
                    <w:snapToGrid w:val="0"/>
                    <w:spacing w:line="360" w:lineRule="exact"/>
                    <w:jc w:val="center"/>
                  </w:pPr>
                  <w:r>
                    <w:rPr>
                      <w:rFonts w:hint="eastAsia"/>
                    </w:rPr>
                    <w:t>6</w:t>
                  </w:r>
                  <w:r>
                    <w:t>0</w:t>
                  </w:r>
                </w:p>
              </w:tc>
            </w:tr>
            <w:tr w14:paraId="0D2E6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87" w:type="pct"/>
                  <w:vMerge w:val="continue"/>
                  <w:vAlign w:val="center"/>
                </w:tcPr>
                <w:p w14:paraId="6CB41A0A">
                  <w:pPr>
                    <w:adjustRightInd w:val="0"/>
                    <w:snapToGrid w:val="0"/>
                    <w:spacing w:line="360" w:lineRule="exact"/>
                    <w:jc w:val="center"/>
                    <w:rPr>
                      <w:szCs w:val="21"/>
                    </w:rPr>
                  </w:pPr>
                </w:p>
              </w:tc>
              <w:tc>
                <w:tcPr>
                  <w:tcW w:w="1281" w:type="pct"/>
                  <w:vAlign w:val="center"/>
                </w:tcPr>
                <w:p w14:paraId="7B294011">
                  <w:pPr>
                    <w:pStyle w:val="103"/>
                    <w:spacing w:line="360" w:lineRule="exact"/>
                    <w:rPr>
                      <w:bCs w:val="0"/>
                    </w:rPr>
                  </w:pPr>
                  <w:r>
                    <w:rPr>
                      <w:bCs w:val="0"/>
                    </w:rPr>
                    <w:t>南边界</w:t>
                  </w:r>
                </w:p>
              </w:tc>
              <w:tc>
                <w:tcPr>
                  <w:tcW w:w="1467" w:type="pct"/>
                  <w:vAlign w:val="center"/>
                </w:tcPr>
                <w:p w14:paraId="6F9B0F71">
                  <w:pPr>
                    <w:adjustRightInd w:val="0"/>
                    <w:snapToGrid w:val="0"/>
                    <w:spacing w:line="360" w:lineRule="exact"/>
                    <w:jc w:val="center"/>
                    <w:rPr>
                      <w:szCs w:val="21"/>
                    </w:rPr>
                  </w:pPr>
                  <w:r>
                    <w:rPr>
                      <w:szCs w:val="21"/>
                    </w:rPr>
                    <w:t>31.1</w:t>
                  </w:r>
                </w:p>
              </w:tc>
              <w:tc>
                <w:tcPr>
                  <w:tcW w:w="1265" w:type="pct"/>
                  <w:vAlign w:val="center"/>
                </w:tcPr>
                <w:p w14:paraId="5D8643B9">
                  <w:pPr>
                    <w:adjustRightInd w:val="0"/>
                    <w:snapToGrid w:val="0"/>
                    <w:spacing w:line="360" w:lineRule="exact"/>
                    <w:jc w:val="center"/>
                  </w:pPr>
                  <w:r>
                    <w:rPr>
                      <w:rFonts w:hint="eastAsia"/>
                    </w:rPr>
                    <w:t>6</w:t>
                  </w:r>
                  <w:r>
                    <w:t>0</w:t>
                  </w:r>
                </w:p>
              </w:tc>
            </w:tr>
            <w:tr w14:paraId="5BEEA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7" w:type="pct"/>
                  <w:vMerge w:val="continue"/>
                  <w:vAlign w:val="center"/>
                </w:tcPr>
                <w:p w14:paraId="39FBDD2F">
                  <w:pPr>
                    <w:adjustRightInd w:val="0"/>
                    <w:snapToGrid w:val="0"/>
                    <w:spacing w:line="360" w:lineRule="exact"/>
                    <w:jc w:val="center"/>
                    <w:rPr>
                      <w:szCs w:val="21"/>
                    </w:rPr>
                  </w:pPr>
                </w:p>
              </w:tc>
              <w:tc>
                <w:tcPr>
                  <w:tcW w:w="1281" w:type="pct"/>
                  <w:vAlign w:val="center"/>
                </w:tcPr>
                <w:p w14:paraId="51375D09">
                  <w:pPr>
                    <w:pStyle w:val="103"/>
                    <w:spacing w:line="360" w:lineRule="exact"/>
                    <w:rPr>
                      <w:bCs w:val="0"/>
                    </w:rPr>
                  </w:pPr>
                  <w:r>
                    <w:rPr>
                      <w:bCs w:val="0"/>
                    </w:rPr>
                    <w:t>西边界</w:t>
                  </w:r>
                </w:p>
              </w:tc>
              <w:tc>
                <w:tcPr>
                  <w:tcW w:w="1467" w:type="pct"/>
                  <w:vAlign w:val="center"/>
                </w:tcPr>
                <w:p w14:paraId="6931D630">
                  <w:pPr>
                    <w:adjustRightInd w:val="0"/>
                    <w:snapToGrid w:val="0"/>
                    <w:spacing w:line="360" w:lineRule="exact"/>
                    <w:jc w:val="center"/>
                    <w:rPr>
                      <w:szCs w:val="21"/>
                    </w:rPr>
                  </w:pPr>
                  <w:r>
                    <w:rPr>
                      <w:szCs w:val="21"/>
                    </w:rPr>
                    <w:t>48.7</w:t>
                  </w:r>
                </w:p>
              </w:tc>
              <w:tc>
                <w:tcPr>
                  <w:tcW w:w="1265" w:type="pct"/>
                  <w:vAlign w:val="center"/>
                </w:tcPr>
                <w:p w14:paraId="3AB53D64">
                  <w:pPr>
                    <w:adjustRightInd w:val="0"/>
                    <w:snapToGrid w:val="0"/>
                    <w:spacing w:line="360" w:lineRule="exact"/>
                    <w:jc w:val="center"/>
                  </w:pPr>
                  <w:r>
                    <w:rPr>
                      <w:rFonts w:hint="eastAsia"/>
                    </w:rPr>
                    <w:t>6</w:t>
                  </w:r>
                  <w:r>
                    <w:t>0</w:t>
                  </w:r>
                </w:p>
              </w:tc>
            </w:tr>
            <w:tr w14:paraId="66988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7" w:type="pct"/>
                  <w:vMerge w:val="continue"/>
                  <w:vAlign w:val="center"/>
                </w:tcPr>
                <w:p w14:paraId="42487A0B">
                  <w:pPr>
                    <w:adjustRightInd w:val="0"/>
                    <w:snapToGrid w:val="0"/>
                    <w:spacing w:line="360" w:lineRule="exact"/>
                    <w:jc w:val="center"/>
                    <w:rPr>
                      <w:szCs w:val="21"/>
                    </w:rPr>
                  </w:pPr>
                </w:p>
              </w:tc>
              <w:tc>
                <w:tcPr>
                  <w:tcW w:w="1281" w:type="pct"/>
                  <w:vAlign w:val="center"/>
                </w:tcPr>
                <w:p w14:paraId="15EE6DE5">
                  <w:pPr>
                    <w:pStyle w:val="103"/>
                    <w:spacing w:line="360" w:lineRule="exact"/>
                    <w:rPr>
                      <w:bCs w:val="0"/>
                    </w:rPr>
                  </w:pPr>
                  <w:r>
                    <w:rPr>
                      <w:bCs w:val="0"/>
                    </w:rPr>
                    <w:t>北边界</w:t>
                  </w:r>
                </w:p>
              </w:tc>
              <w:tc>
                <w:tcPr>
                  <w:tcW w:w="1467" w:type="pct"/>
                  <w:vAlign w:val="center"/>
                </w:tcPr>
                <w:p w14:paraId="5B8EBC84">
                  <w:pPr>
                    <w:adjustRightInd w:val="0"/>
                    <w:snapToGrid w:val="0"/>
                    <w:spacing w:line="360" w:lineRule="exact"/>
                    <w:jc w:val="center"/>
                    <w:rPr>
                      <w:szCs w:val="21"/>
                    </w:rPr>
                  </w:pPr>
                  <w:r>
                    <w:rPr>
                      <w:szCs w:val="21"/>
                    </w:rPr>
                    <w:t>45.0</w:t>
                  </w:r>
                </w:p>
              </w:tc>
              <w:tc>
                <w:tcPr>
                  <w:tcW w:w="1265" w:type="pct"/>
                  <w:vAlign w:val="center"/>
                </w:tcPr>
                <w:p w14:paraId="4E0FD83B">
                  <w:pPr>
                    <w:adjustRightInd w:val="0"/>
                    <w:snapToGrid w:val="0"/>
                    <w:spacing w:line="360" w:lineRule="exact"/>
                    <w:jc w:val="center"/>
                  </w:pPr>
                  <w:r>
                    <w:rPr>
                      <w:rFonts w:hint="eastAsia"/>
                    </w:rPr>
                    <w:t>6</w:t>
                  </w:r>
                  <w:r>
                    <w:t>0</w:t>
                  </w:r>
                </w:p>
              </w:tc>
            </w:tr>
          </w:tbl>
          <w:p w14:paraId="11F5A2A2">
            <w:pPr>
              <w:pStyle w:val="11"/>
              <w:spacing w:line="400" w:lineRule="atLeast"/>
              <w:ind w:firstLine="482"/>
              <w:jc w:val="center"/>
              <w:rPr>
                <w:rFonts w:ascii="Times New Roman" w:hAnsi="Times New Roman"/>
                <w:b/>
                <w:bCs/>
                <w:sz w:val="24"/>
                <w:szCs w:val="24"/>
              </w:rPr>
            </w:pPr>
            <w:r>
              <w:rPr>
                <w:rFonts w:ascii="Times New Roman" w:hAnsi="Times New Roman"/>
                <w:b/>
                <w:bCs/>
                <w:sz w:val="24"/>
                <w:szCs w:val="24"/>
              </w:rPr>
              <w:t>表</w:t>
            </w:r>
            <w:r>
              <w:rPr>
                <w:rFonts w:hint="eastAsia" w:ascii="Times New Roman" w:hAnsi="Times New Roman"/>
                <w:b/>
                <w:bCs/>
                <w:sz w:val="24"/>
                <w:szCs w:val="24"/>
              </w:rPr>
              <w:t xml:space="preserve">4-14 </w:t>
            </w:r>
            <w:r>
              <w:rPr>
                <w:rFonts w:ascii="Times New Roman" w:hAnsi="Times New Roman"/>
                <w:b/>
                <w:bCs/>
                <w:sz w:val="24"/>
                <w:szCs w:val="24"/>
              </w:rPr>
              <w:t>主要噪声源距</w:t>
            </w:r>
            <w:r>
              <w:rPr>
                <w:rFonts w:hint="eastAsia" w:ascii="Times New Roman" w:hAnsi="Times New Roman"/>
                <w:b/>
                <w:bCs/>
                <w:sz w:val="24"/>
                <w:szCs w:val="24"/>
              </w:rPr>
              <w:t>敏感点</w:t>
            </w:r>
            <w:r>
              <w:rPr>
                <w:rFonts w:ascii="Times New Roman" w:hAnsi="Times New Roman"/>
                <w:b/>
                <w:bCs/>
                <w:sz w:val="24"/>
                <w:szCs w:val="24"/>
              </w:rPr>
              <w:t>距离（m）</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90"/>
              <w:gridCol w:w="1716"/>
              <w:gridCol w:w="2828"/>
              <w:gridCol w:w="2828"/>
            </w:tblGrid>
            <w:tr w14:paraId="4AAC28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93" w:type="pct"/>
                  <w:vAlign w:val="center"/>
                </w:tcPr>
                <w:p w14:paraId="784B1AB9">
                  <w:pPr>
                    <w:tabs>
                      <w:tab w:val="left" w:pos="660"/>
                    </w:tabs>
                    <w:spacing w:line="400" w:lineRule="atLeast"/>
                    <w:jc w:val="center"/>
                    <w:rPr>
                      <w:szCs w:val="21"/>
                    </w:rPr>
                  </w:pPr>
                  <w:r>
                    <w:rPr>
                      <w:szCs w:val="21"/>
                    </w:rPr>
                    <w:t>序号</w:t>
                  </w:r>
                </w:p>
              </w:tc>
              <w:tc>
                <w:tcPr>
                  <w:tcW w:w="979" w:type="pct"/>
                  <w:vAlign w:val="center"/>
                </w:tcPr>
                <w:p w14:paraId="79515E42">
                  <w:pPr>
                    <w:tabs>
                      <w:tab w:val="left" w:pos="660"/>
                    </w:tabs>
                    <w:spacing w:line="400" w:lineRule="atLeast"/>
                    <w:jc w:val="center"/>
                    <w:rPr>
                      <w:szCs w:val="21"/>
                    </w:rPr>
                  </w:pPr>
                  <w:r>
                    <w:rPr>
                      <w:szCs w:val="21"/>
                    </w:rPr>
                    <w:t>噪声源</w:t>
                  </w:r>
                </w:p>
              </w:tc>
              <w:tc>
                <w:tcPr>
                  <w:tcW w:w="1614" w:type="pct"/>
                  <w:vAlign w:val="center"/>
                </w:tcPr>
                <w:p w14:paraId="4B88DED1">
                  <w:pPr>
                    <w:jc w:val="center"/>
                    <w:rPr>
                      <w:szCs w:val="21"/>
                    </w:rPr>
                  </w:pPr>
                  <w:r>
                    <w:rPr>
                      <w:rFonts w:hint="eastAsia"/>
                      <w:szCs w:val="21"/>
                    </w:rPr>
                    <w:t>环境敏感点</w:t>
                  </w:r>
                </w:p>
              </w:tc>
              <w:tc>
                <w:tcPr>
                  <w:tcW w:w="1614" w:type="pct"/>
                  <w:tcBorders>
                    <w:right w:val="single" w:color="auto" w:sz="4" w:space="0"/>
                  </w:tcBorders>
                  <w:vAlign w:val="center"/>
                </w:tcPr>
                <w:p w14:paraId="1191678A">
                  <w:pPr>
                    <w:jc w:val="center"/>
                    <w:rPr>
                      <w:szCs w:val="21"/>
                    </w:rPr>
                  </w:pPr>
                  <w:r>
                    <w:rPr>
                      <w:rFonts w:hint="eastAsia"/>
                      <w:szCs w:val="21"/>
                    </w:rPr>
                    <w:t>距离</w:t>
                  </w:r>
                </w:p>
              </w:tc>
            </w:tr>
            <w:tr w14:paraId="2772C7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93" w:type="pct"/>
                  <w:vMerge w:val="restart"/>
                  <w:vAlign w:val="center"/>
                </w:tcPr>
                <w:p w14:paraId="0BBB3FAD">
                  <w:pPr>
                    <w:widowControl/>
                    <w:spacing w:line="400" w:lineRule="atLeast"/>
                    <w:jc w:val="center"/>
                    <w:textAlignment w:val="center"/>
                    <w:rPr>
                      <w:szCs w:val="21"/>
                    </w:rPr>
                  </w:pPr>
                  <w:r>
                    <w:rPr>
                      <w:kern w:val="0"/>
                      <w:szCs w:val="21"/>
                    </w:rPr>
                    <w:t>1</w:t>
                  </w:r>
                </w:p>
              </w:tc>
              <w:tc>
                <w:tcPr>
                  <w:tcW w:w="979" w:type="pct"/>
                  <w:vMerge w:val="restart"/>
                  <w:vAlign w:val="center"/>
                </w:tcPr>
                <w:p w14:paraId="11128CDF">
                  <w:pPr>
                    <w:spacing w:line="400" w:lineRule="atLeast"/>
                    <w:jc w:val="center"/>
                    <w:rPr>
                      <w:szCs w:val="21"/>
                    </w:rPr>
                  </w:pPr>
                  <w:r>
                    <w:rPr>
                      <w:rFonts w:hint="eastAsia"/>
                      <w:szCs w:val="21"/>
                    </w:rPr>
                    <w:t>生产车间</w:t>
                  </w:r>
                </w:p>
              </w:tc>
              <w:tc>
                <w:tcPr>
                  <w:tcW w:w="1614" w:type="pct"/>
                  <w:vAlign w:val="center"/>
                </w:tcPr>
                <w:p w14:paraId="4AEE988B">
                  <w:pPr>
                    <w:jc w:val="center"/>
                    <w:rPr>
                      <w:szCs w:val="21"/>
                    </w:rPr>
                  </w:pPr>
                  <w:r>
                    <w:rPr>
                      <w:rFonts w:hint="eastAsia"/>
                      <w:szCs w:val="21"/>
                    </w:rPr>
                    <w:t>东王村</w:t>
                  </w:r>
                </w:p>
              </w:tc>
              <w:tc>
                <w:tcPr>
                  <w:tcW w:w="1614" w:type="pct"/>
                  <w:tcBorders>
                    <w:right w:val="single" w:color="auto" w:sz="4" w:space="0"/>
                  </w:tcBorders>
                  <w:vAlign w:val="center"/>
                </w:tcPr>
                <w:p w14:paraId="0E384553">
                  <w:pPr>
                    <w:jc w:val="center"/>
                    <w:rPr>
                      <w:szCs w:val="21"/>
                    </w:rPr>
                  </w:pPr>
                  <w:r>
                    <w:rPr>
                      <w:rFonts w:hint="eastAsia"/>
                      <w:szCs w:val="21"/>
                    </w:rPr>
                    <w:t>1</w:t>
                  </w:r>
                  <w:r>
                    <w:rPr>
                      <w:szCs w:val="21"/>
                    </w:rPr>
                    <w:t>80</w:t>
                  </w:r>
                </w:p>
              </w:tc>
            </w:tr>
            <w:tr w14:paraId="55BC84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793" w:type="pct"/>
                  <w:vMerge w:val="continue"/>
                  <w:vAlign w:val="center"/>
                </w:tcPr>
                <w:p w14:paraId="3D167277">
                  <w:pPr>
                    <w:widowControl/>
                    <w:spacing w:line="400" w:lineRule="atLeast"/>
                    <w:jc w:val="center"/>
                    <w:textAlignment w:val="center"/>
                    <w:rPr>
                      <w:kern w:val="0"/>
                      <w:szCs w:val="21"/>
                    </w:rPr>
                  </w:pPr>
                </w:p>
              </w:tc>
              <w:tc>
                <w:tcPr>
                  <w:tcW w:w="979" w:type="pct"/>
                  <w:vMerge w:val="continue"/>
                  <w:vAlign w:val="center"/>
                </w:tcPr>
                <w:p w14:paraId="38F4D15B">
                  <w:pPr>
                    <w:spacing w:line="400" w:lineRule="atLeast"/>
                    <w:jc w:val="center"/>
                    <w:rPr>
                      <w:szCs w:val="21"/>
                    </w:rPr>
                  </w:pPr>
                </w:p>
              </w:tc>
              <w:tc>
                <w:tcPr>
                  <w:tcW w:w="1614" w:type="pct"/>
                  <w:vAlign w:val="center"/>
                </w:tcPr>
                <w:p w14:paraId="39C58F29">
                  <w:pPr>
                    <w:jc w:val="center"/>
                    <w:rPr>
                      <w:szCs w:val="21"/>
                    </w:rPr>
                  </w:pPr>
                  <w:r>
                    <w:rPr>
                      <w:rFonts w:hint="eastAsia"/>
                      <w:szCs w:val="21"/>
                    </w:rPr>
                    <w:t>盛庄村</w:t>
                  </w:r>
                </w:p>
              </w:tc>
              <w:tc>
                <w:tcPr>
                  <w:tcW w:w="1614" w:type="pct"/>
                  <w:tcBorders>
                    <w:right w:val="single" w:color="auto" w:sz="4" w:space="0"/>
                  </w:tcBorders>
                  <w:vAlign w:val="center"/>
                </w:tcPr>
                <w:p w14:paraId="44F4CD88">
                  <w:pPr>
                    <w:jc w:val="center"/>
                    <w:rPr>
                      <w:szCs w:val="21"/>
                    </w:rPr>
                  </w:pPr>
                  <w:r>
                    <w:rPr>
                      <w:rFonts w:hint="eastAsia"/>
                      <w:szCs w:val="21"/>
                    </w:rPr>
                    <w:t>2</w:t>
                  </w:r>
                  <w:r>
                    <w:rPr>
                      <w:szCs w:val="21"/>
                    </w:rPr>
                    <w:t>04</w:t>
                  </w:r>
                </w:p>
              </w:tc>
            </w:tr>
          </w:tbl>
          <w:p w14:paraId="4C9540CE">
            <w:pPr>
              <w:pStyle w:val="11"/>
              <w:spacing w:line="400" w:lineRule="atLeast"/>
              <w:ind w:firstLine="482"/>
              <w:jc w:val="center"/>
              <w:rPr>
                <w:rFonts w:ascii="Times New Roman" w:hAnsi="Times New Roman"/>
                <w:b/>
                <w:bCs/>
                <w:sz w:val="24"/>
                <w:szCs w:val="24"/>
              </w:rPr>
            </w:pPr>
            <w:r>
              <w:rPr>
                <w:rFonts w:ascii="Times New Roman" w:hAnsi="Times New Roman"/>
                <w:b/>
                <w:bCs/>
                <w:sz w:val="24"/>
                <w:szCs w:val="24"/>
              </w:rPr>
              <w:t>表</w:t>
            </w:r>
            <w:r>
              <w:rPr>
                <w:rFonts w:hint="eastAsia" w:ascii="Times New Roman" w:hAnsi="Times New Roman"/>
                <w:b/>
                <w:bCs/>
                <w:sz w:val="24"/>
                <w:szCs w:val="24"/>
              </w:rPr>
              <w:t xml:space="preserve">4-15  </w:t>
            </w:r>
            <w:r>
              <w:rPr>
                <w:rFonts w:ascii="Times New Roman" w:hAnsi="Times New Roman"/>
                <w:b/>
                <w:bCs/>
                <w:sz w:val="24"/>
                <w:szCs w:val="24"/>
              </w:rPr>
              <w:t>项目对</w:t>
            </w:r>
            <w:r>
              <w:rPr>
                <w:rFonts w:hint="eastAsia" w:ascii="Times New Roman" w:hAnsi="Times New Roman"/>
                <w:b/>
                <w:bCs/>
                <w:sz w:val="24"/>
                <w:szCs w:val="24"/>
              </w:rPr>
              <w:t>敏感点</w:t>
            </w:r>
            <w:r>
              <w:rPr>
                <w:rFonts w:ascii="Times New Roman" w:hAnsi="Times New Roman"/>
                <w:b/>
                <w:bCs/>
                <w:sz w:val="24"/>
                <w:szCs w:val="24"/>
              </w:rPr>
              <w:t>噪声预测结果单位：dB(A)</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7" w:type="dxa"/>
                <w:bottom w:w="0" w:type="dxa"/>
                <w:right w:w="17" w:type="dxa"/>
              </w:tblCellMar>
            </w:tblPr>
            <w:tblGrid>
              <w:gridCol w:w="2427"/>
              <w:gridCol w:w="1668"/>
              <w:gridCol w:w="1668"/>
              <w:gridCol w:w="1449"/>
              <w:gridCol w:w="1550"/>
            </w:tblGrid>
            <w:tr w14:paraId="0F879F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7" w:type="dxa"/>
                  <w:bottom w:w="0" w:type="dxa"/>
                  <w:right w:w="17" w:type="dxa"/>
                </w:tblCellMar>
              </w:tblPrEx>
              <w:trPr>
                <w:trHeight w:val="374" w:hRule="atLeast"/>
                <w:jc w:val="center"/>
              </w:trPr>
              <w:tc>
                <w:tcPr>
                  <w:tcW w:w="1385" w:type="pct"/>
                  <w:vAlign w:val="center"/>
                </w:tcPr>
                <w:p w14:paraId="3F59EDA0">
                  <w:pPr>
                    <w:widowControl/>
                    <w:jc w:val="center"/>
                    <w:textAlignment w:val="center"/>
                    <w:rPr>
                      <w:szCs w:val="21"/>
                    </w:rPr>
                  </w:pPr>
                  <w:r>
                    <w:rPr>
                      <w:szCs w:val="21"/>
                    </w:rPr>
                    <w:t>预测点</w:t>
                  </w:r>
                </w:p>
              </w:tc>
              <w:tc>
                <w:tcPr>
                  <w:tcW w:w="952" w:type="pct"/>
                  <w:vAlign w:val="center"/>
                </w:tcPr>
                <w:p w14:paraId="22FB5DA9">
                  <w:pPr>
                    <w:widowControl/>
                    <w:jc w:val="center"/>
                    <w:textAlignment w:val="center"/>
                    <w:rPr>
                      <w:szCs w:val="21"/>
                    </w:rPr>
                  </w:pPr>
                  <w:r>
                    <w:rPr>
                      <w:szCs w:val="21"/>
                    </w:rPr>
                    <w:t>时间</w:t>
                  </w:r>
                </w:p>
              </w:tc>
              <w:tc>
                <w:tcPr>
                  <w:tcW w:w="952" w:type="pct"/>
                  <w:vAlign w:val="center"/>
                </w:tcPr>
                <w:p w14:paraId="528250E7">
                  <w:pPr>
                    <w:widowControl/>
                    <w:jc w:val="center"/>
                    <w:textAlignment w:val="center"/>
                    <w:rPr>
                      <w:szCs w:val="21"/>
                    </w:rPr>
                  </w:pPr>
                  <w:r>
                    <w:rPr>
                      <w:szCs w:val="21"/>
                    </w:rPr>
                    <w:t>贡献值</w:t>
                  </w:r>
                  <w:r>
                    <w:rPr>
                      <w:rFonts w:hint="eastAsia"/>
                      <w:szCs w:val="21"/>
                    </w:rPr>
                    <w:t>dB(A)</w:t>
                  </w:r>
                </w:p>
              </w:tc>
              <w:tc>
                <w:tcPr>
                  <w:tcW w:w="827" w:type="pct"/>
                  <w:tcBorders>
                    <w:left w:val="single" w:color="auto" w:sz="4" w:space="0"/>
                  </w:tcBorders>
                  <w:vAlign w:val="center"/>
                </w:tcPr>
                <w:p w14:paraId="3709A3AE">
                  <w:pPr>
                    <w:jc w:val="center"/>
                    <w:textAlignment w:val="center"/>
                    <w:rPr>
                      <w:szCs w:val="21"/>
                    </w:rPr>
                  </w:pPr>
                  <w:r>
                    <w:rPr>
                      <w:szCs w:val="21"/>
                    </w:rPr>
                    <w:t>评价标准</w:t>
                  </w:r>
                  <w:r>
                    <w:rPr>
                      <w:rFonts w:hint="eastAsia"/>
                      <w:szCs w:val="21"/>
                    </w:rPr>
                    <w:t>dB(A)</w:t>
                  </w:r>
                </w:p>
              </w:tc>
              <w:tc>
                <w:tcPr>
                  <w:tcW w:w="884" w:type="pct"/>
                  <w:vAlign w:val="center"/>
                </w:tcPr>
                <w:p w14:paraId="2190E294">
                  <w:pPr>
                    <w:widowControl/>
                    <w:jc w:val="center"/>
                    <w:textAlignment w:val="center"/>
                    <w:rPr>
                      <w:szCs w:val="21"/>
                    </w:rPr>
                  </w:pPr>
                  <w:r>
                    <w:rPr>
                      <w:szCs w:val="21"/>
                    </w:rPr>
                    <w:t>评价结果</w:t>
                  </w:r>
                </w:p>
              </w:tc>
            </w:tr>
            <w:tr w14:paraId="77ED78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7" w:type="dxa"/>
                  <w:bottom w:w="0" w:type="dxa"/>
                  <w:right w:w="17" w:type="dxa"/>
                </w:tblCellMar>
              </w:tblPrEx>
              <w:trPr>
                <w:trHeight w:val="459" w:hRule="atLeast"/>
                <w:jc w:val="center"/>
              </w:trPr>
              <w:tc>
                <w:tcPr>
                  <w:tcW w:w="1385" w:type="pct"/>
                  <w:vAlign w:val="center"/>
                </w:tcPr>
                <w:p w14:paraId="41519062">
                  <w:pPr>
                    <w:widowControl/>
                    <w:jc w:val="center"/>
                    <w:textAlignment w:val="center"/>
                    <w:rPr>
                      <w:szCs w:val="21"/>
                    </w:rPr>
                  </w:pPr>
                  <w:r>
                    <w:rPr>
                      <w:rFonts w:hint="eastAsia"/>
                      <w:szCs w:val="21"/>
                    </w:rPr>
                    <w:t>东王村</w:t>
                  </w:r>
                </w:p>
              </w:tc>
              <w:tc>
                <w:tcPr>
                  <w:tcW w:w="952" w:type="pct"/>
                  <w:vAlign w:val="center"/>
                </w:tcPr>
                <w:p w14:paraId="44B2A28B">
                  <w:pPr>
                    <w:tabs>
                      <w:tab w:val="left" w:pos="660"/>
                    </w:tabs>
                    <w:jc w:val="center"/>
                    <w:rPr>
                      <w:szCs w:val="21"/>
                    </w:rPr>
                  </w:pPr>
                  <w:r>
                    <w:rPr>
                      <w:rFonts w:hint="eastAsia"/>
                      <w:szCs w:val="21"/>
                    </w:rPr>
                    <w:t>昼间</w:t>
                  </w:r>
                </w:p>
              </w:tc>
              <w:tc>
                <w:tcPr>
                  <w:tcW w:w="952" w:type="pct"/>
                  <w:vAlign w:val="center"/>
                </w:tcPr>
                <w:p w14:paraId="31C35D83">
                  <w:pPr>
                    <w:tabs>
                      <w:tab w:val="left" w:pos="660"/>
                    </w:tabs>
                    <w:jc w:val="center"/>
                    <w:rPr>
                      <w:szCs w:val="21"/>
                    </w:rPr>
                  </w:pPr>
                  <w:r>
                    <w:rPr>
                      <w:rFonts w:hint="eastAsia"/>
                      <w:szCs w:val="21"/>
                    </w:rPr>
                    <w:t>3</w:t>
                  </w:r>
                  <w:r>
                    <w:rPr>
                      <w:szCs w:val="21"/>
                    </w:rPr>
                    <w:t>0.5</w:t>
                  </w:r>
                </w:p>
              </w:tc>
              <w:tc>
                <w:tcPr>
                  <w:tcW w:w="827" w:type="pct"/>
                  <w:tcBorders>
                    <w:left w:val="single" w:color="auto" w:sz="4" w:space="0"/>
                  </w:tcBorders>
                  <w:vAlign w:val="center"/>
                </w:tcPr>
                <w:p w14:paraId="66B7B259">
                  <w:pPr>
                    <w:jc w:val="center"/>
                    <w:textAlignment w:val="center"/>
                    <w:rPr>
                      <w:szCs w:val="21"/>
                    </w:rPr>
                  </w:pPr>
                  <w:r>
                    <w:rPr>
                      <w:rFonts w:hint="eastAsia"/>
                      <w:szCs w:val="21"/>
                    </w:rPr>
                    <w:t>60</w:t>
                  </w:r>
                </w:p>
              </w:tc>
              <w:tc>
                <w:tcPr>
                  <w:tcW w:w="884" w:type="pct"/>
                  <w:vAlign w:val="center"/>
                </w:tcPr>
                <w:p w14:paraId="1E99A0ED">
                  <w:pPr>
                    <w:widowControl/>
                    <w:jc w:val="center"/>
                    <w:textAlignment w:val="center"/>
                    <w:rPr>
                      <w:szCs w:val="21"/>
                    </w:rPr>
                  </w:pPr>
                  <w:r>
                    <w:rPr>
                      <w:szCs w:val="21"/>
                    </w:rPr>
                    <w:t>达标</w:t>
                  </w:r>
                </w:p>
              </w:tc>
            </w:tr>
            <w:tr w14:paraId="21345C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7" w:type="dxa"/>
                  <w:bottom w:w="0" w:type="dxa"/>
                  <w:right w:w="17" w:type="dxa"/>
                </w:tblCellMar>
              </w:tblPrEx>
              <w:trPr>
                <w:trHeight w:val="459" w:hRule="atLeast"/>
                <w:jc w:val="center"/>
              </w:trPr>
              <w:tc>
                <w:tcPr>
                  <w:tcW w:w="1385" w:type="pct"/>
                  <w:vAlign w:val="center"/>
                </w:tcPr>
                <w:p w14:paraId="16B7F587">
                  <w:pPr>
                    <w:widowControl/>
                    <w:jc w:val="center"/>
                    <w:textAlignment w:val="center"/>
                    <w:rPr>
                      <w:bCs/>
                      <w:szCs w:val="21"/>
                    </w:rPr>
                  </w:pPr>
                  <w:r>
                    <w:rPr>
                      <w:rFonts w:hint="eastAsia"/>
                      <w:szCs w:val="21"/>
                    </w:rPr>
                    <w:t>盛庄村</w:t>
                  </w:r>
                </w:p>
              </w:tc>
              <w:tc>
                <w:tcPr>
                  <w:tcW w:w="952" w:type="pct"/>
                  <w:vAlign w:val="center"/>
                </w:tcPr>
                <w:p w14:paraId="31E38A61">
                  <w:pPr>
                    <w:tabs>
                      <w:tab w:val="left" w:pos="660"/>
                    </w:tabs>
                    <w:jc w:val="center"/>
                    <w:rPr>
                      <w:szCs w:val="21"/>
                    </w:rPr>
                  </w:pPr>
                  <w:r>
                    <w:rPr>
                      <w:rFonts w:hint="eastAsia"/>
                      <w:szCs w:val="21"/>
                    </w:rPr>
                    <w:t>昼间</w:t>
                  </w:r>
                </w:p>
              </w:tc>
              <w:tc>
                <w:tcPr>
                  <w:tcW w:w="952" w:type="pct"/>
                  <w:vAlign w:val="center"/>
                </w:tcPr>
                <w:p w14:paraId="2DFFE727">
                  <w:pPr>
                    <w:tabs>
                      <w:tab w:val="left" w:pos="660"/>
                    </w:tabs>
                    <w:jc w:val="center"/>
                    <w:rPr>
                      <w:szCs w:val="21"/>
                    </w:rPr>
                  </w:pPr>
                  <w:r>
                    <w:rPr>
                      <w:szCs w:val="21"/>
                    </w:rPr>
                    <w:t>30.1</w:t>
                  </w:r>
                </w:p>
              </w:tc>
              <w:tc>
                <w:tcPr>
                  <w:tcW w:w="827" w:type="pct"/>
                  <w:tcBorders>
                    <w:left w:val="single" w:color="auto" w:sz="4" w:space="0"/>
                  </w:tcBorders>
                  <w:vAlign w:val="center"/>
                </w:tcPr>
                <w:p w14:paraId="3FF84D48">
                  <w:pPr>
                    <w:jc w:val="center"/>
                    <w:textAlignment w:val="center"/>
                    <w:rPr>
                      <w:szCs w:val="21"/>
                    </w:rPr>
                  </w:pPr>
                  <w:r>
                    <w:rPr>
                      <w:rFonts w:hint="eastAsia"/>
                      <w:szCs w:val="21"/>
                    </w:rPr>
                    <w:t>60</w:t>
                  </w:r>
                </w:p>
              </w:tc>
              <w:tc>
                <w:tcPr>
                  <w:tcW w:w="884" w:type="pct"/>
                  <w:vAlign w:val="center"/>
                </w:tcPr>
                <w:p w14:paraId="3D12557F">
                  <w:pPr>
                    <w:widowControl/>
                    <w:jc w:val="center"/>
                    <w:textAlignment w:val="center"/>
                    <w:rPr>
                      <w:szCs w:val="21"/>
                    </w:rPr>
                  </w:pPr>
                  <w:r>
                    <w:rPr>
                      <w:szCs w:val="21"/>
                    </w:rPr>
                    <w:t>达标</w:t>
                  </w:r>
                </w:p>
              </w:tc>
            </w:tr>
          </w:tbl>
          <w:p w14:paraId="74C49B47">
            <w:pPr>
              <w:spacing w:line="360" w:lineRule="auto"/>
              <w:ind w:firstLine="480" w:firstLineChars="200"/>
              <w:rPr>
                <w:sz w:val="24"/>
                <w:lang w:bidi="ar"/>
              </w:rPr>
            </w:pPr>
            <w:r>
              <w:rPr>
                <w:rFonts w:hint="eastAsia"/>
                <w:sz w:val="24"/>
              </w:rPr>
              <w:t>预测结果表明：经基础减振、墙体隔声及距离衰减后，项目区厂界噪声排放满足《工业企业厂界环境噪声排放标准》（GB12348-2008）2类标准要求，敏感点满足《声环境质量标准》（GB3096-2008）2类标准要求。</w:t>
            </w:r>
          </w:p>
          <w:p w14:paraId="6AFD3F6C">
            <w:pPr>
              <w:widowControl/>
              <w:spacing w:line="360" w:lineRule="auto"/>
              <w:ind w:firstLine="482" w:firstLineChars="200"/>
              <w:rPr>
                <w:b/>
                <w:bCs/>
                <w:sz w:val="24"/>
              </w:rPr>
            </w:pPr>
            <w:r>
              <w:rPr>
                <w:b/>
                <w:bCs/>
                <w:sz w:val="24"/>
              </w:rPr>
              <w:t>3、例行监测要求</w:t>
            </w:r>
          </w:p>
          <w:p w14:paraId="360F9F76">
            <w:pPr>
              <w:widowControl/>
              <w:spacing w:line="360" w:lineRule="auto"/>
              <w:ind w:firstLine="480" w:firstLineChars="200"/>
              <w:rPr>
                <w:bCs/>
                <w:sz w:val="24"/>
                <w:szCs w:val="22"/>
              </w:rPr>
            </w:pPr>
            <w:r>
              <w:rPr>
                <w:sz w:val="24"/>
                <w:szCs w:val="22"/>
              </w:rPr>
              <w:t>根据</w:t>
            </w:r>
            <w:r>
              <w:rPr>
                <w:rFonts w:hint="eastAsia"/>
                <w:sz w:val="24"/>
                <w:szCs w:val="22"/>
              </w:rPr>
              <w:t>《排污许可证申请与核发技术规范 工业噪声》（HJ 1301-2023）</w:t>
            </w:r>
            <w:r>
              <w:rPr>
                <w:bCs/>
                <w:sz w:val="24"/>
              </w:rPr>
              <w:t>的相关要求</w:t>
            </w:r>
            <w:r>
              <w:rPr>
                <w:sz w:val="24"/>
                <w:szCs w:val="22"/>
              </w:rPr>
              <w:t>，“</w:t>
            </w:r>
            <w:r>
              <w:rPr>
                <w:bCs/>
                <w:sz w:val="24"/>
                <w:szCs w:val="22"/>
              </w:rPr>
              <w:t>厂界环境噪声每季度至少开展一次监测，夜间生产的要监测夜间噪声</w:t>
            </w:r>
            <w:r>
              <w:rPr>
                <w:sz w:val="24"/>
                <w:szCs w:val="22"/>
              </w:rPr>
              <w:t>”。</w:t>
            </w:r>
            <w:r>
              <w:rPr>
                <w:rFonts w:hint="eastAsia"/>
              </w:rPr>
              <w:t xml:space="preserve"> </w:t>
            </w:r>
            <w:r>
              <w:rPr>
                <w:rFonts w:hint="eastAsia"/>
                <w:sz w:val="24"/>
                <w:szCs w:val="22"/>
              </w:rPr>
              <w:t>本项目与其他项目共用东厂界，因此</w:t>
            </w:r>
            <w:r>
              <w:rPr>
                <w:bCs/>
                <w:sz w:val="24"/>
                <w:szCs w:val="22"/>
              </w:rPr>
              <w:t>本项目噪声监测点位确定</w:t>
            </w:r>
            <w:r>
              <w:rPr>
                <w:rFonts w:hint="eastAsia"/>
                <w:bCs/>
                <w:sz w:val="24"/>
                <w:szCs w:val="22"/>
              </w:rPr>
              <w:t>为东、</w:t>
            </w:r>
            <w:r>
              <w:rPr>
                <w:rFonts w:hint="eastAsia"/>
                <w:sz w:val="24"/>
                <w:szCs w:val="22"/>
              </w:rPr>
              <w:t>西、南、北厂界</w:t>
            </w:r>
            <w:r>
              <w:rPr>
                <w:bCs/>
                <w:sz w:val="24"/>
                <w:szCs w:val="22"/>
              </w:rPr>
              <w:t>，监测因子为昼间噪声，监测频次为每季度一次。</w:t>
            </w:r>
          </w:p>
          <w:p w14:paraId="562B9978">
            <w:pPr>
              <w:spacing w:line="360" w:lineRule="auto"/>
              <w:ind w:firstLine="480" w:firstLineChars="200"/>
              <w:rPr>
                <w:sz w:val="24"/>
                <w:lang w:bidi="ar"/>
              </w:rPr>
            </w:pPr>
            <w:r>
              <w:rPr>
                <w:sz w:val="24"/>
                <w:lang w:bidi="ar"/>
              </w:rPr>
              <w:t>噪声环境管理台账记录要求：</w:t>
            </w:r>
          </w:p>
          <w:p w14:paraId="7A7CD08F">
            <w:pPr>
              <w:spacing w:line="360" w:lineRule="auto"/>
              <w:ind w:firstLine="480" w:firstLineChars="200"/>
              <w:rPr>
                <w:sz w:val="24"/>
                <w:lang w:bidi="ar"/>
              </w:rPr>
            </w:pPr>
            <w:r>
              <w:rPr>
                <w:rFonts w:hint="eastAsia" w:ascii="宋体" w:hAnsi="宋体" w:cs="宋体"/>
                <w:sz w:val="24"/>
                <w:lang w:bidi="ar"/>
              </w:rPr>
              <w:t>①</w:t>
            </w:r>
            <w:r>
              <w:rPr>
                <w:sz w:val="24"/>
                <w:lang w:bidi="ar"/>
              </w:rPr>
              <w:t>记录内容和频次：对于采用手工监测的工业噪声排污单位，应记录手工监测时段信息、噪声污染防治设施维修和更换情况。手工监测时段信息应记录监测时段内非正常工况情形、事件原因、是否报告、应对措施等。监测时段内工业噪声排放值超标情况，包括超标原因、是否报告、应对措施等。噪声污染防治设施维修和更换情况记录内容包括维修、更换时间，维修、更换内容。每发生一次记录 1 次。</w:t>
            </w:r>
          </w:p>
          <w:p w14:paraId="5C8E6D8D">
            <w:pPr>
              <w:spacing w:line="360" w:lineRule="auto"/>
              <w:ind w:firstLine="480" w:firstLineChars="200"/>
              <w:rPr>
                <w:sz w:val="24"/>
                <w:lang w:bidi="ar"/>
              </w:rPr>
            </w:pPr>
            <w:r>
              <w:rPr>
                <w:rFonts w:hint="eastAsia" w:ascii="宋体" w:hAnsi="宋体" w:cs="宋体"/>
                <w:sz w:val="24"/>
                <w:lang w:bidi="ar"/>
              </w:rPr>
              <w:t>②</w:t>
            </w:r>
            <w:r>
              <w:rPr>
                <w:sz w:val="24"/>
                <w:lang w:bidi="ar"/>
              </w:rPr>
              <w:t>记录存储及保存：台账应当按照纸质储存或电子化储存进行管理，台账保存期限不得少于 5 年。</w:t>
            </w:r>
          </w:p>
          <w:p w14:paraId="75FAE55D">
            <w:pPr>
              <w:spacing w:line="360" w:lineRule="auto"/>
              <w:ind w:firstLine="482" w:firstLineChars="200"/>
              <w:rPr>
                <w:b/>
                <w:sz w:val="24"/>
              </w:rPr>
            </w:pPr>
            <w:r>
              <w:rPr>
                <w:rFonts w:hint="eastAsia"/>
                <w:b/>
                <w:sz w:val="24"/>
              </w:rPr>
              <w:t>四</w:t>
            </w:r>
            <w:r>
              <w:rPr>
                <w:b/>
                <w:sz w:val="24"/>
              </w:rPr>
              <w:t>、固废环境影响分析</w:t>
            </w:r>
          </w:p>
          <w:p w14:paraId="21D127C0">
            <w:pPr>
              <w:spacing w:line="360" w:lineRule="auto"/>
              <w:ind w:firstLine="480" w:firstLineChars="200"/>
              <w:rPr>
                <w:bCs/>
                <w:sz w:val="24"/>
              </w:rPr>
            </w:pPr>
            <w:r>
              <w:rPr>
                <w:sz w:val="24"/>
              </w:rPr>
              <w:t>本项目</w:t>
            </w:r>
            <w:r>
              <w:rPr>
                <w:rFonts w:hint="eastAsia"/>
                <w:sz w:val="24"/>
              </w:rPr>
              <w:t>叉车维修保养时不在厂区内进行维修及保养，委托其他单位处置，维修及保养时产生的废机油、废机油桶由维修单位处置，本项目不涉及</w:t>
            </w:r>
            <w:r>
              <w:rPr>
                <w:sz w:val="24"/>
              </w:rPr>
              <w:t>。本项目产生生活垃圾，产生的一般固废主要包括废包装材料、除尘器收尘、</w:t>
            </w:r>
            <w:r>
              <w:rPr>
                <w:rFonts w:hint="eastAsia"/>
                <w:sz w:val="24"/>
              </w:rPr>
              <w:t>喷塑工序布袋</w:t>
            </w:r>
            <w:r>
              <w:rPr>
                <w:rFonts w:hint="eastAsia"/>
                <w:bCs/>
                <w:sz w:val="24"/>
              </w:rPr>
              <w:t>除尘器收集的塑粉</w:t>
            </w:r>
            <w:r>
              <w:rPr>
                <w:sz w:val="24"/>
              </w:rPr>
              <w:t>、焊渣、</w:t>
            </w:r>
            <w:r>
              <w:rPr>
                <w:rFonts w:hint="eastAsia"/>
                <w:sz w:val="24"/>
              </w:rPr>
              <w:t>下脚料</w:t>
            </w:r>
            <w:r>
              <w:rPr>
                <w:rFonts w:hint="eastAsia"/>
                <w:bCs/>
                <w:sz w:val="24"/>
              </w:rPr>
              <w:t>、废布袋、不合格品</w:t>
            </w:r>
            <w:r>
              <w:rPr>
                <w:sz w:val="24"/>
              </w:rPr>
              <w:t>；危险废物为废活性炭、废润滑油、废润滑油桶、废液压油、废液压油桶。</w:t>
            </w:r>
          </w:p>
          <w:p w14:paraId="0B794013">
            <w:pPr>
              <w:spacing w:line="360" w:lineRule="auto"/>
              <w:ind w:firstLine="480" w:firstLineChars="200"/>
              <w:rPr>
                <w:sz w:val="24"/>
              </w:rPr>
            </w:pPr>
            <w:r>
              <w:rPr>
                <w:sz w:val="24"/>
              </w:rPr>
              <w:t>（1）废包装材料</w:t>
            </w:r>
          </w:p>
          <w:p w14:paraId="42BB3320">
            <w:pPr>
              <w:spacing w:line="360" w:lineRule="auto"/>
              <w:ind w:firstLine="480" w:firstLineChars="200"/>
              <w:rPr>
                <w:sz w:val="24"/>
              </w:rPr>
            </w:pPr>
            <w:r>
              <w:rPr>
                <w:sz w:val="24"/>
              </w:rPr>
              <w:t>根据</w:t>
            </w:r>
            <w:r>
              <w:rPr>
                <w:rFonts w:hint="eastAsia"/>
                <w:sz w:val="24"/>
              </w:rPr>
              <w:t>建设单位</w:t>
            </w:r>
            <w:r>
              <w:rPr>
                <w:sz w:val="24"/>
              </w:rPr>
              <w:t>提供资料，本项目废包装材料产生量约为1</w:t>
            </w:r>
            <w:r>
              <w:rPr>
                <w:rFonts w:hint="eastAsia"/>
                <w:sz w:val="24"/>
              </w:rPr>
              <w:t>t</w:t>
            </w:r>
            <w:r>
              <w:rPr>
                <w:sz w:val="24"/>
              </w:rPr>
              <w:t>/a，固体废物代码为SW17可再生类废物900-099-S17其他可再生类废物，收集后外售物资回收单位。</w:t>
            </w:r>
          </w:p>
          <w:p w14:paraId="62471F57">
            <w:pPr>
              <w:spacing w:line="360" w:lineRule="auto"/>
              <w:ind w:firstLine="480" w:firstLineChars="200"/>
              <w:rPr>
                <w:sz w:val="24"/>
              </w:rPr>
            </w:pPr>
            <w:r>
              <w:rPr>
                <w:sz w:val="24"/>
              </w:rPr>
              <w:t>（2）除尘器收尘</w:t>
            </w:r>
          </w:p>
          <w:p w14:paraId="15B3ABCF">
            <w:pPr>
              <w:spacing w:line="360" w:lineRule="auto"/>
              <w:ind w:firstLine="480" w:firstLineChars="200"/>
              <w:rPr>
                <w:sz w:val="24"/>
              </w:rPr>
            </w:pPr>
            <w:r>
              <w:rPr>
                <w:sz w:val="24"/>
              </w:rPr>
              <w:t>切割、抛光</w:t>
            </w:r>
            <w:r>
              <w:rPr>
                <w:rFonts w:hint="eastAsia"/>
                <w:sz w:val="24"/>
              </w:rPr>
              <w:t>、焊接</w:t>
            </w:r>
            <w:r>
              <w:rPr>
                <w:sz w:val="24"/>
              </w:rPr>
              <w:t>工序粉尘经布袋除尘器处理后有组织排放，根据废气有组织排放计算可知，除尘器收尘量约为9.424t/a，固废代码为：SW17可再生类废物900-099-S17其他可再生类废物，收集后外售物资回收单位。</w:t>
            </w:r>
          </w:p>
          <w:p w14:paraId="3ADBF1AC">
            <w:pPr>
              <w:spacing w:line="360" w:lineRule="auto"/>
              <w:ind w:firstLine="480" w:firstLineChars="200"/>
              <w:rPr>
                <w:sz w:val="24"/>
              </w:rPr>
            </w:pPr>
            <w:r>
              <w:rPr>
                <w:sz w:val="24"/>
              </w:rPr>
              <w:t>（</w:t>
            </w:r>
            <w:r>
              <w:rPr>
                <w:rFonts w:hint="eastAsia"/>
                <w:sz w:val="24"/>
              </w:rPr>
              <w:t>3</w:t>
            </w:r>
            <w:r>
              <w:rPr>
                <w:sz w:val="24"/>
              </w:rPr>
              <w:t>）</w:t>
            </w:r>
            <w:r>
              <w:rPr>
                <w:rFonts w:hint="eastAsia"/>
                <w:sz w:val="24"/>
              </w:rPr>
              <w:t>喷塑工序布袋</w:t>
            </w:r>
            <w:r>
              <w:rPr>
                <w:rFonts w:hint="eastAsia"/>
                <w:bCs/>
                <w:sz w:val="24"/>
              </w:rPr>
              <w:t>除尘器收集的塑粉</w:t>
            </w:r>
          </w:p>
          <w:p w14:paraId="598E6A99">
            <w:pPr>
              <w:spacing w:line="360" w:lineRule="auto"/>
              <w:ind w:firstLine="480" w:firstLineChars="200"/>
              <w:rPr>
                <w:sz w:val="24"/>
              </w:rPr>
            </w:pPr>
            <w:r>
              <w:rPr>
                <w:kern w:val="0"/>
                <w:sz w:val="24"/>
              </w:rPr>
              <w:t>本项目塑粉采用单色塑粉，喷塑</w:t>
            </w:r>
            <w:r>
              <w:rPr>
                <w:rFonts w:hint="eastAsia"/>
                <w:kern w:val="0"/>
                <w:sz w:val="24"/>
              </w:rPr>
              <w:t>粉尘</w:t>
            </w:r>
            <w:r>
              <w:rPr>
                <w:kern w:val="0"/>
                <w:sz w:val="24"/>
              </w:rPr>
              <w:t>经</w:t>
            </w:r>
            <w:r>
              <w:rPr>
                <w:rFonts w:hint="eastAsia"/>
                <w:kern w:val="0"/>
                <w:sz w:val="24"/>
              </w:rPr>
              <w:t>收集后进入</w:t>
            </w:r>
            <w:r>
              <w:rPr>
                <w:kern w:val="0"/>
                <w:sz w:val="24"/>
              </w:rPr>
              <w:t>布袋除尘器处理</w:t>
            </w:r>
            <w:r>
              <w:rPr>
                <w:rFonts w:hint="eastAsia"/>
                <w:kern w:val="0"/>
                <w:sz w:val="24"/>
              </w:rPr>
              <w:t>，布袋</w:t>
            </w:r>
            <w:r>
              <w:rPr>
                <w:rFonts w:hint="eastAsia"/>
                <w:sz w:val="24"/>
              </w:rPr>
              <w:t>除尘器收集的塑粉量为</w:t>
            </w:r>
            <w:r>
              <w:rPr>
                <w:sz w:val="24"/>
              </w:rPr>
              <w:t>45.385</w:t>
            </w:r>
            <w:r>
              <w:rPr>
                <w:rFonts w:hint="eastAsia"/>
                <w:sz w:val="24"/>
              </w:rPr>
              <w:t>t/a，固体废物代码为</w:t>
            </w:r>
            <w:r>
              <w:rPr>
                <w:sz w:val="24"/>
              </w:rPr>
              <w:t>SW17可再生类废物900-099-S17其他可再生类废物，收集后</w:t>
            </w:r>
            <w:r>
              <w:rPr>
                <w:rFonts w:hint="eastAsia"/>
                <w:sz w:val="24"/>
              </w:rPr>
              <w:t>作为原料回用于喷塑工序</w:t>
            </w:r>
            <w:r>
              <w:rPr>
                <w:sz w:val="24"/>
              </w:rPr>
              <w:t>。</w:t>
            </w:r>
          </w:p>
          <w:p w14:paraId="010A5E06">
            <w:pPr>
              <w:spacing w:line="360" w:lineRule="auto"/>
              <w:ind w:firstLine="480" w:firstLineChars="200"/>
              <w:rPr>
                <w:sz w:val="24"/>
              </w:rPr>
            </w:pPr>
            <w:r>
              <w:rPr>
                <w:sz w:val="24"/>
              </w:rPr>
              <w:t>（4）焊渣</w:t>
            </w:r>
          </w:p>
          <w:p w14:paraId="40E226A3">
            <w:pPr>
              <w:spacing w:line="360" w:lineRule="auto"/>
              <w:ind w:firstLine="480" w:firstLineChars="200"/>
              <w:rPr>
                <w:sz w:val="24"/>
              </w:rPr>
            </w:pPr>
            <w:r>
              <w:rPr>
                <w:sz w:val="24"/>
              </w:rPr>
              <w:t>本项目焊接过程会产生一定量焊渣，根据</w:t>
            </w:r>
            <w:r>
              <w:rPr>
                <w:rFonts w:hint="eastAsia"/>
                <w:sz w:val="24"/>
              </w:rPr>
              <w:t>建设单位</w:t>
            </w:r>
            <w:r>
              <w:rPr>
                <w:sz w:val="24"/>
              </w:rPr>
              <w:t>提供资料，产生量为焊接材料使用量的1%，项目焊丝使用量为30t/a，则焊接废渣产生量为0.3t/a，固体废物代码为SW17可再生类废物900-099-S17其他可再生类废物，收集后外售物资回收单位。</w:t>
            </w:r>
          </w:p>
          <w:p w14:paraId="0A286399">
            <w:pPr>
              <w:spacing w:line="360" w:lineRule="auto"/>
              <w:ind w:firstLine="480" w:firstLineChars="200"/>
              <w:rPr>
                <w:sz w:val="24"/>
              </w:rPr>
            </w:pPr>
            <w:r>
              <w:rPr>
                <w:sz w:val="24"/>
              </w:rPr>
              <w:t>（5）</w:t>
            </w:r>
            <w:r>
              <w:rPr>
                <w:rFonts w:hint="eastAsia"/>
                <w:sz w:val="24"/>
              </w:rPr>
              <w:t>下脚料</w:t>
            </w:r>
          </w:p>
          <w:p w14:paraId="354F164B">
            <w:pPr>
              <w:spacing w:line="360" w:lineRule="auto"/>
              <w:ind w:firstLine="480" w:firstLineChars="200"/>
              <w:rPr>
                <w:sz w:val="24"/>
              </w:rPr>
            </w:pPr>
            <w:r>
              <w:rPr>
                <w:sz w:val="24"/>
              </w:rPr>
              <w:t>根据</w:t>
            </w:r>
            <w:r>
              <w:rPr>
                <w:rFonts w:hint="eastAsia"/>
                <w:sz w:val="24"/>
              </w:rPr>
              <w:t>建设单位</w:t>
            </w:r>
            <w:r>
              <w:rPr>
                <w:sz w:val="24"/>
              </w:rPr>
              <w:t>提供的资料，本项目在</w:t>
            </w:r>
            <w:r>
              <w:rPr>
                <w:rFonts w:hint="eastAsia"/>
                <w:sz w:val="24"/>
              </w:rPr>
              <w:t>下料</w:t>
            </w:r>
            <w:r>
              <w:rPr>
                <w:sz w:val="24"/>
              </w:rPr>
              <w:t>、成型工序会产生少量</w:t>
            </w:r>
            <w:r>
              <w:rPr>
                <w:rFonts w:hint="eastAsia"/>
                <w:sz w:val="24"/>
              </w:rPr>
              <w:t>下脚料</w:t>
            </w:r>
            <w:r>
              <w:rPr>
                <w:sz w:val="24"/>
              </w:rPr>
              <w:t>，其产生量为80t/a，</w:t>
            </w:r>
            <w:r>
              <w:rPr>
                <w:rFonts w:hint="eastAsia"/>
                <w:sz w:val="24"/>
              </w:rPr>
              <w:t>固体废物代码为S</w:t>
            </w:r>
            <w:r>
              <w:rPr>
                <w:sz w:val="24"/>
              </w:rPr>
              <w:t>W17</w:t>
            </w:r>
            <w:r>
              <w:rPr>
                <w:rFonts w:hint="eastAsia"/>
                <w:sz w:val="24"/>
              </w:rPr>
              <w:t>可再生类废物，</w:t>
            </w:r>
            <w:r>
              <w:rPr>
                <w:sz w:val="24"/>
              </w:rPr>
              <w:t>900-001-S17</w:t>
            </w:r>
            <w:r>
              <w:rPr>
                <w:rFonts w:hint="eastAsia"/>
                <w:sz w:val="24"/>
              </w:rPr>
              <w:t>废钢铁。收集后外售物资回收单位</w:t>
            </w:r>
            <w:r>
              <w:rPr>
                <w:sz w:val="24"/>
              </w:rPr>
              <w:t>。</w:t>
            </w:r>
          </w:p>
          <w:p w14:paraId="3245C770">
            <w:pPr>
              <w:spacing w:line="360" w:lineRule="auto"/>
              <w:ind w:firstLine="480" w:firstLineChars="200"/>
              <w:rPr>
                <w:sz w:val="24"/>
              </w:rPr>
            </w:pPr>
            <w:r>
              <w:rPr>
                <w:rFonts w:hint="eastAsia"/>
                <w:sz w:val="24"/>
              </w:rPr>
              <w:t>（</w:t>
            </w:r>
            <w:r>
              <w:rPr>
                <w:sz w:val="24"/>
              </w:rPr>
              <w:t>6</w:t>
            </w:r>
            <w:r>
              <w:rPr>
                <w:rFonts w:hint="eastAsia"/>
                <w:sz w:val="24"/>
              </w:rPr>
              <w:t>）废布袋</w:t>
            </w:r>
          </w:p>
          <w:p w14:paraId="19AD9DA0">
            <w:pPr>
              <w:spacing w:line="360" w:lineRule="auto"/>
              <w:ind w:firstLine="480" w:firstLineChars="200"/>
              <w:rPr>
                <w:sz w:val="24"/>
              </w:rPr>
            </w:pPr>
            <w:r>
              <w:rPr>
                <w:sz w:val="24"/>
              </w:rPr>
              <w:t>本项目布袋除尘器的布袋需要每年更换一次，布袋</w:t>
            </w:r>
            <w:r>
              <w:rPr>
                <w:rFonts w:hint="eastAsia"/>
                <w:sz w:val="24"/>
              </w:rPr>
              <w:t>总</w:t>
            </w:r>
            <w:r>
              <w:rPr>
                <w:sz w:val="24"/>
              </w:rPr>
              <w:t>重量为2kg，</w:t>
            </w:r>
            <w:r>
              <w:rPr>
                <w:rFonts w:hint="eastAsia"/>
                <w:sz w:val="24"/>
              </w:rPr>
              <w:t>则</w:t>
            </w:r>
            <w:r>
              <w:rPr>
                <w:sz w:val="24"/>
              </w:rPr>
              <w:t>废布袋</w:t>
            </w:r>
            <w:r>
              <w:rPr>
                <w:rFonts w:hint="eastAsia"/>
                <w:sz w:val="24"/>
              </w:rPr>
              <w:t>产生量</w:t>
            </w:r>
            <w:r>
              <w:rPr>
                <w:sz w:val="24"/>
              </w:rPr>
              <w:t>为0.002t/a，固废代码为：SW59其他工业固体废物 900-099-S59其他工业生产过程中产生的固体废物，收集后外售物资回收单位。</w:t>
            </w:r>
          </w:p>
          <w:p w14:paraId="0A895E57">
            <w:pPr>
              <w:spacing w:line="360" w:lineRule="auto"/>
              <w:ind w:firstLine="480" w:firstLineChars="200"/>
              <w:rPr>
                <w:sz w:val="24"/>
              </w:rPr>
            </w:pPr>
            <w:r>
              <w:rPr>
                <w:sz w:val="24"/>
              </w:rPr>
              <w:t>（</w:t>
            </w:r>
            <w:r>
              <w:rPr>
                <w:rFonts w:hint="eastAsia"/>
                <w:sz w:val="24"/>
              </w:rPr>
              <w:t>7</w:t>
            </w:r>
            <w:r>
              <w:rPr>
                <w:sz w:val="24"/>
              </w:rPr>
              <w:t>）</w:t>
            </w:r>
            <w:r>
              <w:rPr>
                <w:rFonts w:hint="eastAsia"/>
                <w:sz w:val="24"/>
              </w:rPr>
              <w:t>不合格品</w:t>
            </w:r>
          </w:p>
          <w:p w14:paraId="39BC06CF">
            <w:pPr>
              <w:spacing w:line="360" w:lineRule="auto"/>
              <w:ind w:firstLine="480" w:firstLineChars="200"/>
              <w:rPr>
                <w:sz w:val="24"/>
              </w:rPr>
            </w:pPr>
            <w:r>
              <w:rPr>
                <w:sz w:val="24"/>
              </w:rPr>
              <w:t>本项目检验过程中产生不合格品，其产生量为20t/a，</w:t>
            </w:r>
            <w:r>
              <w:rPr>
                <w:rFonts w:hint="eastAsia"/>
                <w:sz w:val="24"/>
              </w:rPr>
              <w:t>固体废物代码为S</w:t>
            </w:r>
            <w:r>
              <w:rPr>
                <w:sz w:val="24"/>
              </w:rPr>
              <w:t>W17</w:t>
            </w:r>
            <w:r>
              <w:rPr>
                <w:rFonts w:hint="eastAsia"/>
                <w:sz w:val="24"/>
              </w:rPr>
              <w:t>可再生类废物，</w:t>
            </w:r>
            <w:r>
              <w:rPr>
                <w:sz w:val="24"/>
              </w:rPr>
              <w:t>900-001-S17</w:t>
            </w:r>
            <w:r>
              <w:rPr>
                <w:rFonts w:hint="eastAsia"/>
                <w:sz w:val="24"/>
              </w:rPr>
              <w:t>废钢铁。收集后外售物资回收单位</w:t>
            </w:r>
            <w:r>
              <w:rPr>
                <w:sz w:val="24"/>
              </w:rPr>
              <w:t>。</w:t>
            </w:r>
          </w:p>
          <w:p w14:paraId="5BF76B16">
            <w:pPr>
              <w:spacing w:line="360" w:lineRule="auto"/>
              <w:ind w:firstLine="480" w:firstLineChars="200"/>
              <w:rPr>
                <w:sz w:val="24"/>
              </w:rPr>
            </w:pPr>
            <w:r>
              <w:rPr>
                <w:sz w:val="24"/>
              </w:rPr>
              <w:t>（8）废活性炭</w:t>
            </w:r>
          </w:p>
          <w:p w14:paraId="214E6C7D">
            <w:pPr>
              <w:spacing w:line="360" w:lineRule="auto"/>
              <w:ind w:firstLine="480" w:firstLineChars="200"/>
              <w:rPr>
                <w:sz w:val="24"/>
              </w:rPr>
            </w:pPr>
            <w:r>
              <w:rPr>
                <w:rFonts w:hint="eastAsia"/>
                <w:sz w:val="24"/>
              </w:rPr>
              <w:t>本项目设置</w:t>
            </w:r>
            <w:r>
              <w:rPr>
                <w:sz w:val="24"/>
              </w:rPr>
              <w:t>1</w:t>
            </w:r>
            <w:r>
              <w:rPr>
                <w:rFonts w:hint="eastAsia"/>
                <w:sz w:val="24"/>
              </w:rPr>
              <w:t>套二级活性炭吸附装置，参考</w:t>
            </w:r>
            <w:r>
              <w:rPr>
                <w:sz w:val="24"/>
              </w:rPr>
              <w:t>《污染源源强核算技术指南汽车制造》（HJ 1097—2020），活性炭吸附挥发性有机物的饱和率为15%，活性炭吸附挥发性有机物量为0.044t</w:t>
            </w:r>
            <w:r>
              <w:rPr>
                <w:rFonts w:hint="eastAsia"/>
                <w:sz w:val="24"/>
              </w:rPr>
              <w:t>/a，至少</w:t>
            </w:r>
            <w:r>
              <w:rPr>
                <w:sz w:val="24"/>
              </w:rPr>
              <w:t>需活性炭0.29t/a，二级活性炭填充量取0.3t，满负荷工况下每年需要更换1次，</w:t>
            </w:r>
            <w:r>
              <w:rPr>
                <w:rFonts w:hint="eastAsia"/>
                <w:sz w:val="24"/>
              </w:rPr>
              <w:t>产生的</w:t>
            </w:r>
            <w:r>
              <w:rPr>
                <w:sz w:val="24"/>
              </w:rPr>
              <w:t>废活性炭产生量约为</w:t>
            </w:r>
            <w:r>
              <w:rPr>
                <w:rFonts w:hint="eastAsia"/>
                <w:sz w:val="24"/>
              </w:rPr>
              <w:t>0</w:t>
            </w:r>
            <w:r>
              <w:rPr>
                <w:sz w:val="24"/>
              </w:rPr>
              <w:t>.344</w:t>
            </w:r>
            <w:r>
              <w:rPr>
                <w:rFonts w:hint="eastAsia"/>
                <w:sz w:val="24"/>
              </w:rPr>
              <w:t>t/a。废活性炭</w:t>
            </w:r>
            <w:r>
              <w:rPr>
                <w:sz w:val="24"/>
              </w:rPr>
              <w:t>属于危险废物，危废类别为HW49，代码900-039-49，暂存于危废间，委托有资质单位处置</w:t>
            </w:r>
            <w:r>
              <w:rPr>
                <w:rFonts w:hint="eastAsia"/>
                <w:sz w:val="24"/>
              </w:rPr>
              <w:t>。</w:t>
            </w:r>
          </w:p>
          <w:p w14:paraId="53157411">
            <w:pPr>
              <w:spacing w:line="360" w:lineRule="auto"/>
              <w:ind w:firstLine="482"/>
              <w:rPr>
                <w:sz w:val="24"/>
              </w:rPr>
            </w:pPr>
            <w:r>
              <w:rPr>
                <w:rFonts w:hint="eastAsia"/>
                <w:sz w:val="24"/>
              </w:rPr>
              <w:t>（</w:t>
            </w:r>
            <w:r>
              <w:rPr>
                <w:sz w:val="24"/>
              </w:rPr>
              <w:t>9</w:t>
            </w:r>
            <w:r>
              <w:rPr>
                <w:rFonts w:hint="eastAsia"/>
                <w:sz w:val="24"/>
              </w:rPr>
              <w:t>）</w:t>
            </w:r>
            <w:r>
              <w:rPr>
                <w:sz w:val="24"/>
              </w:rPr>
              <w:t>废润滑油</w:t>
            </w:r>
          </w:p>
          <w:p w14:paraId="45CD4938">
            <w:pPr>
              <w:spacing w:line="360" w:lineRule="auto"/>
              <w:ind w:firstLine="482"/>
              <w:rPr>
                <w:sz w:val="24"/>
              </w:rPr>
            </w:pPr>
            <w:r>
              <w:rPr>
                <w:sz w:val="24"/>
              </w:rPr>
              <w:t>项目厂区内设备日常运行和维修时，会产生少量的废润滑油，根据</w:t>
            </w:r>
            <w:r>
              <w:rPr>
                <w:rFonts w:hint="eastAsia"/>
                <w:sz w:val="24"/>
              </w:rPr>
              <w:t>建设</w:t>
            </w:r>
            <w:r>
              <w:rPr>
                <w:sz w:val="24"/>
              </w:rPr>
              <w:t>提供资料，废润滑油产生量约为0.</w:t>
            </w:r>
            <w:r>
              <w:rPr>
                <w:rFonts w:hint="eastAsia"/>
                <w:sz w:val="24"/>
              </w:rPr>
              <w:t>4</w:t>
            </w:r>
            <w:r>
              <w:rPr>
                <w:sz w:val="24"/>
              </w:rPr>
              <w:t>t/a，</w:t>
            </w:r>
            <w:r>
              <w:rPr>
                <w:rFonts w:hint="eastAsia"/>
                <w:sz w:val="24"/>
              </w:rPr>
              <w:t>根据《国家危险废物名录》（2025年版），废润滑油属于危险废物，</w:t>
            </w:r>
            <w:r>
              <w:rPr>
                <w:sz w:val="24"/>
              </w:rPr>
              <w:t>危废</w:t>
            </w:r>
            <w:r>
              <w:rPr>
                <w:rFonts w:hint="eastAsia"/>
                <w:sz w:val="24"/>
              </w:rPr>
              <w:t>类别</w:t>
            </w:r>
            <w:r>
              <w:rPr>
                <w:sz w:val="24"/>
              </w:rPr>
              <w:t>为</w:t>
            </w:r>
            <w:r>
              <w:rPr>
                <w:rFonts w:hint="eastAsia"/>
                <w:sz w:val="24"/>
              </w:rPr>
              <w:t>HW08，危废代码为9</w:t>
            </w:r>
            <w:r>
              <w:rPr>
                <w:sz w:val="24"/>
              </w:rPr>
              <w:t>00-217-08</w:t>
            </w:r>
            <w:r>
              <w:rPr>
                <w:rFonts w:hint="eastAsia"/>
                <w:sz w:val="24"/>
              </w:rPr>
              <w:t>，暂存于危废暂存间，委托有危险废物处置资质的单位处置。</w:t>
            </w:r>
          </w:p>
          <w:p w14:paraId="69900350">
            <w:pPr>
              <w:spacing w:line="360" w:lineRule="auto"/>
              <w:ind w:firstLine="482"/>
              <w:rPr>
                <w:sz w:val="24"/>
              </w:rPr>
            </w:pPr>
            <w:r>
              <w:rPr>
                <w:sz w:val="24"/>
              </w:rPr>
              <w:t>（10）废润滑油桶</w:t>
            </w:r>
          </w:p>
          <w:p w14:paraId="74421127">
            <w:pPr>
              <w:spacing w:line="360" w:lineRule="auto"/>
              <w:ind w:firstLine="482"/>
              <w:rPr>
                <w:sz w:val="24"/>
              </w:rPr>
            </w:pPr>
            <w:r>
              <w:rPr>
                <w:sz w:val="24"/>
              </w:rPr>
              <w:t>根据</w:t>
            </w:r>
            <w:r>
              <w:rPr>
                <w:rFonts w:hint="eastAsia"/>
                <w:sz w:val="24"/>
              </w:rPr>
              <w:t>建设单位</w:t>
            </w:r>
            <w:r>
              <w:rPr>
                <w:sz w:val="24"/>
              </w:rPr>
              <w:t>提供</w:t>
            </w:r>
            <w:r>
              <w:rPr>
                <w:rFonts w:hint="eastAsia"/>
                <w:sz w:val="24"/>
              </w:rPr>
              <w:t>的</w:t>
            </w:r>
            <w:r>
              <w:rPr>
                <w:sz w:val="24"/>
              </w:rPr>
              <w:t>资料，</w:t>
            </w:r>
            <w:r>
              <w:rPr>
                <w:rFonts w:hint="eastAsia"/>
                <w:sz w:val="24"/>
              </w:rPr>
              <w:t>润滑油包装规格为</w:t>
            </w:r>
            <w:r>
              <w:rPr>
                <w:sz w:val="24"/>
              </w:rPr>
              <w:t>180kg/桶</w:t>
            </w:r>
            <w:r>
              <w:rPr>
                <w:rFonts w:hint="eastAsia"/>
                <w:sz w:val="24"/>
              </w:rPr>
              <w:t>，</w:t>
            </w:r>
            <w:r>
              <w:rPr>
                <w:sz w:val="24"/>
              </w:rPr>
              <w:t>本项目废润滑油桶</w:t>
            </w:r>
            <w:r>
              <w:rPr>
                <w:rFonts w:hint="eastAsia"/>
                <w:sz w:val="24"/>
              </w:rPr>
              <w:t>年产生5个</w:t>
            </w:r>
            <w:r>
              <w:rPr>
                <w:sz w:val="24"/>
              </w:rPr>
              <w:t>，每个空润滑油桶重量按照2.5kg计，则废润滑油桶产生量约为0.0</w:t>
            </w:r>
            <w:r>
              <w:rPr>
                <w:rFonts w:hint="eastAsia"/>
                <w:sz w:val="24"/>
              </w:rPr>
              <w:t>13</w:t>
            </w:r>
            <w:r>
              <w:rPr>
                <w:sz w:val="24"/>
              </w:rPr>
              <w:t>t/a。根据《国家危险废物名录》</w:t>
            </w:r>
            <w:r>
              <w:rPr>
                <w:rFonts w:hint="eastAsia"/>
                <w:sz w:val="24"/>
              </w:rPr>
              <w:t>（2025年</w:t>
            </w:r>
            <w:r>
              <w:rPr>
                <w:sz w:val="24"/>
              </w:rPr>
              <w:t>版），</w:t>
            </w:r>
            <w:r>
              <w:rPr>
                <w:rFonts w:hint="eastAsia"/>
                <w:sz w:val="24"/>
              </w:rPr>
              <w:t>废润滑油桶属于危险废物，危废类别为</w:t>
            </w:r>
            <w:r>
              <w:rPr>
                <w:sz w:val="24"/>
              </w:rPr>
              <w:t>HW08</w:t>
            </w:r>
            <w:r>
              <w:rPr>
                <w:rFonts w:hint="eastAsia"/>
                <w:sz w:val="24"/>
              </w:rPr>
              <w:t>，危废代码为</w:t>
            </w:r>
            <w:r>
              <w:rPr>
                <w:sz w:val="24"/>
              </w:rPr>
              <w:t>900-249-08，收集后暂存于危废库，</w:t>
            </w:r>
            <w:r>
              <w:rPr>
                <w:rFonts w:hint="eastAsia"/>
                <w:sz w:val="24"/>
              </w:rPr>
              <w:t>委托有危险废物处置资质的单位处置。</w:t>
            </w:r>
          </w:p>
          <w:p w14:paraId="38ED24E6">
            <w:pPr>
              <w:spacing w:line="360" w:lineRule="auto"/>
              <w:ind w:firstLine="480" w:firstLineChars="200"/>
              <w:rPr>
                <w:sz w:val="24"/>
              </w:rPr>
            </w:pPr>
            <w:r>
              <w:rPr>
                <w:sz w:val="24"/>
              </w:rPr>
              <w:t>（11）废液压油</w:t>
            </w:r>
          </w:p>
          <w:p w14:paraId="7BDD0FC7">
            <w:pPr>
              <w:spacing w:line="360" w:lineRule="auto"/>
              <w:ind w:firstLine="480" w:firstLineChars="200"/>
              <w:rPr>
                <w:sz w:val="24"/>
              </w:rPr>
            </w:pPr>
            <w:r>
              <w:rPr>
                <w:sz w:val="24"/>
              </w:rPr>
              <w:t>项目厂区内设备日常运行和维修时，会产生少量的废液压油，根据</w:t>
            </w:r>
            <w:r>
              <w:rPr>
                <w:rFonts w:hint="eastAsia"/>
                <w:sz w:val="24"/>
              </w:rPr>
              <w:t>建设单位</w:t>
            </w:r>
            <w:r>
              <w:rPr>
                <w:sz w:val="24"/>
              </w:rPr>
              <w:t>提供资料，废液压油产生量约为0.</w:t>
            </w:r>
            <w:r>
              <w:rPr>
                <w:rFonts w:hint="eastAsia"/>
                <w:sz w:val="24"/>
              </w:rPr>
              <w:t>4</w:t>
            </w:r>
            <w:r>
              <w:rPr>
                <w:sz w:val="24"/>
              </w:rPr>
              <w:t>t/a，经查《国家危险废物名录》</w:t>
            </w:r>
            <w:r>
              <w:rPr>
                <w:rFonts w:hint="eastAsia"/>
                <w:sz w:val="24"/>
              </w:rPr>
              <w:t>（2025年</w:t>
            </w:r>
            <w:r>
              <w:rPr>
                <w:sz w:val="24"/>
              </w:rPr>
              <w:t>版），</w:t>
            </w:r>
            <w:r>
              <w:rPr>
                <w:rFonts w:hint="eastAsia"/>
                <w:sz w:val="24"/>
              </w:rPr>
              <w:t>废液压油</w:t>
            </w:r>
            <w:r>
              <w:rPr>
                <w:sz w:val="24"/>
              </w:rPr>
              <w:t>属于危险废物，</w:t>
            </w:r>
            <w:r>
              <w:rPr>
                <w:rFonts w:hint="eastAsia"/>
                <w:sz w:val="24"/>
              </w:rPr>
              <w:t>危废类别为</w:t>
            </w:r>
            <w:r>
              <w:rPr>
                <w:sz w:val="24"/>
              </w:rPr>
              <w:t>HW08</w:t>
            </w:r>
            <w:r>
              <w:rPr>
                <w:rFonts w:hint="eastAsia"/>
                <w:sz w:val="24"/>
              </w:rPr>
              <w:t>，危废代码为</w:t>
            </w:r>
            <w:r>
              <w:rPr>
                <w:sz w:val="24"/>
              </w:rPr>
              <w:t>900-218-08，收集后暂存于危废</w:t>
            </w:r>
            <w:r>
              <w:rPr>
                <w:rFonts w:hint="eastAsia"/>
                <w:sz w:val="24"/>
              </w:rPr>
              <w:t>暂存间</w:t>
            </w:r>
            <w:r>
              <w:rPr>
                <w:sz w:val="24"/>
              </w:rPr>
              <w:t>，</w:t>
            </w:r>
            <w:r>
              <w:rPr>
                <w:rFonts w:hint="eastAsia"/>
                <w:sz w:val="24"/>
              </w:rPr>
              <w:t>委托有危险废物处置资质的单位处置。</w:t>
            </w:r>
          </w:p>
          <w:p w14:paraId="450E566E">
            <w:pPr>
              <w:spacing w:line="360" w:lineRule="auto"/>
              <w:ind w:firstLine="480" w:firstLineChars="200"/>
              <w:rPr>
                <w:sz w:val="24"/>
              </w:rPr>
            </w:pPr>
            <w:r>
              <w:rPr>
                <w:sz w:val="24"/>
              </w:rPr>
              <w:t>（12）废液压油桶</w:t>
            </w:r>
          </w:p>
          <w:p w14:paraId="1850558A">
            <w:pPr>
              <w:spacing w:line="360" w:lineRule="auto"/>
              <w:ind w:firstLine="480" w:firstLineChars="200"/>
              <w:rPr>
                <w:sz w:val="24"/>
              </w:rPr>
            </w:pPr>
            <w:r>
              <w:rPr>
                <w:sz w:val="24"/>
              </w:rPr>
              <w:t>根据</w:t>
            </w:r>
            <w:r>
              <w:rPr>
                <w:rFonts w:hint="eastAsia"/>
                <w:sz w:val="24"/>
              </w:rPr>
              <w:t>建设单位</w:t>
            </w:r>
            <w:r>
              <w:rPr>
                <w:sz w:val="24"/>
              </w:rPr>
              <w:t>提供</w:t>
            </w:r>
            <w:r>
              <w:rPr>
                <w:rFonts w:hint="eastAsia"/>
                <w:sz w:val="24"/>
              </w:rPr>
              <w:t>的</w:t>
            </w:r>
            <w:r>
              <w:rPr>
                <w:sz w:val="24"/>
              </w:rPr>
              <w:t>资料，</w:t>
            </w:r>
            <w:r>
              <w:rPr>
                <w:rFonts w:hint="eastAsia"/>
                <w:sz w:val="24"/>
              </w:rPr>
              <w:t>液压油包装规格为</w:t>
            </w:r>
            <w:r>
              <w:rPr>
                <w:sz w:val="24"/>
              </w:rPr>
              <w:t>180kg/桶</w:t>
            </w:r>
            <w:r>
              <w:rPr>
                <w:rFonts w:hint="eastAsia"/>
                <w:sz w:val="24"/>
              </w:rPr>
              <w:t>，</w:t>
            </w:r>
            <w:r>
              <w:rPr>
                <w:sz w:val="24"/>
              </w:rPr>
              <w:t>，则废液压油桶产生个数为</w:t>
            </w:r>
            <w:r>
              <w:rPr>
                <w:rFonts w:hint="eastAsia"/>
                <w:sz w:val="24"/>
              </w:rPr>
              <w:t>5</w:t>
            </w:r>
            <w:r>
              <w:rPr>
                <w:sz w:val="24"/>
              </w:rPr>
              <w:t>个/a，每个空桶重量按照2.5kg计，则废液压油桶产生量约为0.0</w:t>
            </w:r>
            <w:r>
              <w:rPr>
                <w:rFonts w:hint="eastAsia"/>
                <w:sz w:val="24"/>
              </w:rPr>
              <w:t>13</w:t>
            </w:r>
            <w:r>
              <w:rPr>
                <w:sz w:val="24"/>
              </w:rPr>
              <w:t>t/a。根据《国家危险废物名录》（2025版），此类固体废物属于危险废物，危废代码为HW08 废矿物油与含矿物油废物中的900-249-08“其他生产、销售、使用过程中产生的废矿物油及沾染矿物油的废弃包装物”，收集后暂存于危废暂存间，再交由有资质单位处置。</w:t>
            </w:r>
          </w:p>
          <w:p w14:paraId="24931F2E">
            <w:pPr>
              <w:spacing w:line="360" w:lineRule="auto"/>
              <w:ind w:firstLine="480" w:firstLineChars="200"/>
              <w:rPr>
                <w:sz w:val="24"/>
              </w:rPr>
            </w:pPr>
            <w:r>
              <w:rPr>
                <w:sz w:val="24"/>
              </w:rPr>
              <w:t>（13）生活垃圾</w:t>
            </w:r>
          </w:p>
          <w:p w14:paraId="7E1D269F">
            <w:pPr>
              <w:spacing w:line="360" w:lineRule="auto"/>
              <w:ind w:firstLine="480" w:firstLineChars="200"/>
              <w:rPr>
                <w:sz w:val="24"/>
              </w:rPr>
            </w:pPr>
            <w:r>
              <w:rPr>
                <w:sz w:val="24"/>
              </w:rPr>
              <w:t>职工生活垃圾按0.5kg/（人·天）计，本项目职工定员</w:t>
            </w:r>
            <w:r>
              <w:rPr>
                <w:rFonts w:hint="eastAsia"/>
                <w:sz w:val="24"/>
              </w:rPr>
              <w:t>50</w:t>
            </w:r>
            <w:r>
              <w:rPr>
                <w:sz w:val="24"/>
              </w:rPr>
              <w:t>人，则生活垃圾产生量为</w:t>
            </w:r>
            <w:r>
              <w:rPr>
                <w:rFonts w:hint="eastAsia"/>
                <w:sz w:val="24"/>
              </w:rPr>
              <w:t>7</w:t>
            </w:r>
            <w:r>
              <w:rPr>
                <w:sz w:val="24"/>
              </w:rPr>
              <w:t>.5t/a，由环卫部门定期清运，实现生活垃圾的无害化处置。</w:t>
            </w:r>
          </w:p>
          <w:p w14:paraId="219B73A1">
            <w:pPr>
              <w:spacing w:line="360" w:lineRule="auto"/>
              <w:ind w:firstLine="480" w:firstLineChars="200"/>
              <w:rPr>
                <w:sz w:val="24"/>
              </w:rPr>
            </w:pPr>
            <w:r>
              <w:rPr>
                <w:sz w:val="24"/>
              </w:rPr>
              <w:t>本项目工业固体废物产生情况见表33。</w:t>
            </w:r>
          </w:p>
          <w:p w14:paraId="1CC7F966">
            <w:pPr>
              <w:pStyle w:val="9"/>
              <w:adjustRightInd w:val="0"/>
              <w:snapToGrid w:val="0"/>
              <w:jc w:val="center"/>
              <w:rPr>
                <w:b/>
              </w:rPr>
            </w:pPr>
            <w:r>
              <w:rPr>
                <w:b/>
              </w:rPr>
              <w:t>表33 本项目固体废物产生情况一览表</w:t>
            </w:r>
          </w:p>
          <w:tbl>
            <w:tblPr>
              <w:tblStyle w:val="25"/>
              <w:tblW w:w="8541"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706"/>
              <w:gridCol w:w="1221"/>
              <w:gridCol w:w="1124"/>
              <w:gridCol w:w="1934"/>
              <w:gridCol w:w="1343"/>
            </w:tblGrid>
            <w:tr w14:paraId="5F32B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10" w:type="pct"/>
                  <w:shd w:val="clear" w:color="auto" w:fill="auto"/>
                  <w:vAlign w:val="center"/>
                </w:tcPr>
                <w:p w14:paraId="47F6786C">
                  <w:pPr>
                    <w:adjustRightInd w:val="0"/>
                    <w:snapToGrid w:val="0"/>
                    <w:spacing w:line="240" w:lineRule="exact"/>
                    <w:jc w:val="center"/>
                    <w:rPr>
                      <w:szCs w:val="21"/>
                    </w:rPr>
                  </w:pPr>
                  <w:r>
                    <w:rPr>
                      <w:szCs w:val="21"/>
                    </w:rPr>
                    <w:t>产污环节</w:t>
                  </w:r>
                </w:p>
              </w:tc>
              <w:tc>
                <w:tcPr>
                  <w:tcW w:w="999" w:type="pct"/>
                  <w:shd w:val="clear" w:color="auto" w:fill="auto"/>
                  <w:vAlign w:val="center"/>
                </w:tcPr>
                <w:p w14:paraId="702B432E">
                  <w:pPr>
                    <w:adjustRightInd w:val="0"/>
                    <w:snapToGrid w:val="0"/>
                    <w:spacing w:line="240" w:lineRule="exact"/>
                    <w:jc w:val="center"/>
                    <w:rPr>
                      <w:szCs w:val="21"/>
                    </w:rPr>
                  </w:pPr>
                  <w:r>
                    <w:rPr>
                      <w:szCs w:val="21"/>
                    </w:rPr>
                    <w:t>固废名称</w:t>
                  </w:r>
                </w:p>
              </w:tc>
              <w:tc>
                <w:tcPr>
                  <w:tcW w:w="715" w:type="pct"/>
                  <w:shd w:val="clear" w:color="auto" w:fill="auto"/>
                  <w:vAlign w:val="center"/>
                </w:tcPr>
                <w:p w14:paraId="2E74FA90">
                  <w:pPr>
                    <w:adjustRightInd w:val="0"/>
                    <w:snapToGrid w:val="0"/>
                    <w:spacing w:line="240" w:lineRule="exact"/>
                    <w:jc w:val="center"/>
                    <w:rPr>
                      <w:szCs w:val="21"/>
                    </w:rPr>
                  </w:pPr>
                  <w:r>
                    <w:rPr>
                      <w:szCs w:val="21"/>
                    </w:rPr>
                    <w:t>产生量</w:t>
                  </w:r>
                </w:p>
              </w:tc>
              <w:tc>
                <w:tcPr>
                  <w:tcW w:w="658" w:type="pct"/>
                  <w:shd w:val="clear" w:color="auto" w:fill="auto"/>
                  <w:vAlign w:val="center"/>
                </w:tcPr>
                <w:p w14:paraId="2482815B">
                  <w:pPr>
                    <w:adjustRightInd w:val="0"/>
                    <w:snapToGrid w:val="0"/>
                    <w:spacing w:line="240" w:lineRule="exact"/>
                    <w:jc w:val="center"/>
                    <w:rPr>
                      <w:szCs w:val="21"/>
                    </w:rPr>
                  </w:pPr>
                  <w:r>
                    <w:rPr>
                      <w:szCs w:val="21"/>
                    </w:rPr>
                    <w:t>固废性质</w:t>
                  </w:r>
                </w:p>
              </w:tc>
              <w:tc>
                <w:tcPr>
                  <w:tcW w:w="1132" w:type="pct"/>
                  <w:shd w:val="clear" w:color="auto" w:fill="auto"/>
                  <w:vAlign w:val="center"/>
                </w:tcPr>
                <w:p w14:paraId="1897588C">
                  <w:pPr>
                    <w:adjustRightInd w:val="0"/>
                    <w:snapToGrid w:val="0"/>
                    <w:spacing w:line="240" w:lineRule="exact"/>
                    <w:jc w:val="center"/>
                    <w:rPr>
                      <w:szCs w:val="21"/>
                    </w:rPr>
                  </w:pPr>
                  <w:r>
                    <w:rPr>
                      <w:szCs w:val="21"/>
                    </w:rPr>
                    <w:t>固废性代码</w:t>
                  </w:r>
                </w:p>
              </w:tc>
              <w:tc>
                <w:tcPr>
                  <w:tcW w:w="787" w:type="pct"/>
                  <w:shd w:val="clear" w:color="auto" w:fill="auto"/>
                  <w:vAlign w:val="center"/>
                </w:tcPr>
                <w:p w14:paraId="3F1F7FB4">
                  <w:pPr>
                    <w:adjustRightInd w:val="0"/>
                    <w:snapToGrid w:val="0"/>
                    <w:spacing w:line="240" w:lineRule="exact"/>
                    <w:jc w:val="center"/>
                    <w:rPr>
                      <w:szCs w:val="21"/>
                    </w:rPr>
                  </w:pPr>
                  <w:r>
                    <w:rPr>
                      <w:szCs w:val="21"/>
                    </w:rPr>
                    <w:t>处置方式</w:t>
                  </w:r>
                </w:p>
              </w:tc>
            </w:tr>
            <w:tr w14:paraId="4BEB3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9" w:type="pct"/>
                  <w:shd w:val="clear" w:color="auto" w:fill="auto"/>
                  <w:vAlign w:val="center"/>
                </w:tcPr>
                <w:p w14:paraId="645656D2">
                  <w:pPr>
                    <w:adjustRightInd w:val="0"/>
                    <w:snapToGrid w:val="0"/>
                    <w:spacing w:line="240" w:lineRule="exact"/>
                    <w:jc w:val="center"/>
                    <w:rPr>
                      <w:szCs w:val="21"/>
                    </w:rPr>
                  </w:pPr>
                  <w:r>
                    <w:rPr>
                      <w:szCs w:val="21"/>
                    </w:rPr>
                    <w:t>职工生活</w:t>
                  </w:r>
                </w:p>
              </w:tc>
              <w:tc>
                <w:tcPr>
                  <w:tcW w:w="998" w:type="pct"/>
                  <w:shd w:val="clear" w:color="auto" w:fill="auto"/>
                  <w:vAlign w:val="center"/>
                </w:tcPr>
                <w:p w14:paraId="04A63AF9">
                  <w:pPr>
                    <w:adjustRightInd w:val="0"/>
                    <w:snapToGrid w:val="0"/>
                    <w:spacing w:line="240" w:lineRule="exact"/>
                    <w:jc w:val="center"/>
                    <w:rPr>
                      <w:szCs w:val="21"/>
                    </w:rPr>
                  </w:pPr>
                  <w:r>
                    <w:rPr>
                      <w:szCs w:val="21"/>
                    </w:rPr>
                    <w:t>生活垃圾</w:t>
                  </w:r>
                </w:p>
              </w:tc>
              <w:tc>
                <w:tcPr>
                  <w:tcW w:w="714" w:type="pct"/>
                  <w:shd w:val="clear" w:color="auto" w:fill="auto"/>
                  <w:vAlign w:val="center"/>
                </w:tcPr>
                <w:p w14:paraId="2085C913">
                  <w:pPr>
                    <w:adjustRightInd w:val="0"/>
                    <w:snapToGrid w:val="0"/>
                    <w:spacing w:line="240" w:lineRule="exact"/>
                    <w:jc w:val="center"/>
                    <w:rPr>
                      <w:szCs w:val="21"/>
                    </w:rPr>
                  </w:pPr>
                  <w:bookmarkStart w:id="193" w:name="OLE_LINK145"/>
                  <w:bookmarkStart w:id="194" w:name="OLE_LINK146"/>
                  <w:r>
                    <w:rPr>
                      <w:rFonts w:hint="eastAsia"/>
                      <w:szCs w:val="21"/>
                    </w:rPr>
                    <w:t>7.5</w:t>
                  </w:r>
                  <w:r>
                    <w:rPr>
                      <w:szCs w:val="21"/>
                    </w:rPr>
                    <w:t>t/a</w:t>
                  </w:r>
                  <w:bookmarkEnd w:id="193"/>
                  <w:bookmarkEnd w:id="194"/>
                </w:p>
              </w:tc>
              <w:tc>
                <w:tcPr>
                  <w:tcW w:w="658" w:type="pct"/>
                  <w:vMerge w:val="restart"/>
                  <w:shd w:val="clear" w:color="auto" w:fill="auto"/>
                  <w:vAlign w:val="center"/>
                </w:tcPr>
                <w:p w14:paraId="66FA75AC">
                  <w:pPr>
                    <w:adjustRightInd w:val="0"/>
                    <w:snapToGrid w:val="0"/>
                    <w:spacing w:before="120" w:beforeLines="50" w:after="120" w:afterLines="50" w:line="360" w:lineRule="exact"/>
                    <w:jc w:val="center"/>
                    <w:rPr>
                      <w:szCs w:val="21"/>
                    </w:rPr>
                  </w:pPr>
                  <w:r>
                    <w:rPr>
                      <w:szCs w:val="21"/>
                    </w:rPr>
                    <w:t>一般固废</w:t>
                  </w:r>
                </w:p>
              </w:tc>
              <w:tc>
                <w:tcPr>
                  <w:tcW w:w="1132" w:type="pct"/>
                  <w:shd w:val="clear" w:color="auto" w:fill="auto"/>
                  <w:vAlign w:val="center"/>
                </w:tcPr>
                <w:p w14:paraId="37C7C937">
                  <w:pPr>
                    <w:adjustRightInd w:val="0"/>
                    <w:snapToGrid w:val="0"/>
                    <w:spacing w:line="360" w:lineRule="exact"/>
                    <w:jc w:val="center"/>
                    <w:rPr>
                      <w:szCs w:val="21"/>
                    </w:rPr>
                  </w:pPr>
                  <w:r>
                    <w:rPr>
                      <w:szCs w:val="21"/>
                    </w:rPr>
                    <w:t>/</w:t>
                  </w:r>
                </w:p>
              </w:tc>
              <w:tc>
                <w:tcPr>
                  <w:tcW w:w="787" w:type="pct"/>
                  <w:shd w:val="clear" w:color="auto" w:fill="auto"/>
                  <w:vAlign w:val="center"/>
                </w:tcPr>
                <w:p w14:paraId="2ADC5B4E">
                  <w:pPr>
                    <w:adjustRightInd w:val="0"/>
                    <w:snapToGrid w:val="0"/>
                    <w:spacing w:line="300" w:lineRule="exact"/>
                    <w:jc w:val="center"/>
                    <w:rPr>
                      <w:szCs w:val="21"/>
                    </w:rPr>
                  </w:pPr>
                  <w:r>
                    <w:rPr>
                      <w:szCs w:val="21"/>
                    </w:rPr>
                    <w:t>环卫部门</w:t>
                  </w:r>
                </w:p>
                <w:p w14:paraId="4F71E08D">
                  <w:pPr>
                    <w:adjustRightInd w:val="0"/>
                    <w:snapToGrid w:val="0"/>
                    <w:spacing w:line="300" w:lineRule="exact"/>
                    <w:jc w:val="center"/>
                    <w:rPr>
                      <w:szCs w:val="21"/>
                    </w:rPr>
                  </w:pPr>
                  <w:r>
                    <w:rPr>
                      <w:szCs w:val="21"/>
                    </w:rPr>
                    <w:t>清运处理</w:t>
                  </w:r>
                </w:p>
              </w:tc>
            </w:tr>
            <w:tr w14:paraId="2CD46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09" w:type="pct"/>
                  <w:shd w:val="clear" w:color="auto" w:fill="auto"/>
                  <w:vAlign w:val="center"/>
                </w:tcPr>
                <w:p w14:paraId="53108371">
                  <w:pPr>
                    <w:adjustRightInd w:val="0"/>
                    <w:snapToGrid w:val="0"/>
                    <w:spacing w:before="60" w:beforeLines="25" w:line="240" w:lineRule="exact"/>
                    <w:jc w:val="center"/>
                    <w:rPr>
                      <w:szCs w:val="21"/>
                    </w:rPr>
                  </w:pPr>
                  <w:bookmarkStart w:id="195" w:name="OLE_LINK212"/>
                  <w:bookmarkStart w:id="196" w:name="_Hlk191050080"/>
                  <w:r>
                    <w:rPr>
                      <w:rFonts w:hint="eastAsia"/>
                      <w:szCs w:val="21"/>
                    </w:rPr>
                    <w:t>下料、成型工序</w:t>
                  </w:r>
                  <w:bookmarkEnd w:id="195"/>
                </w:p>
              </w:tc>
              <w:tc>
                <w:tcPr>
                  <w:tcW w:w="998" w:type="pct"/>
                  <w:shd w:val="clear" w:color="auto" w:fill="auto"/>
                  <w:vAlign w:val="center"/>
                </w:tcPr>
                <w:p w14:paraId="3DACC1B3">
                  <w:pPr>
                    <w:adjustRightInd w:val="0"/>
                    <w:snapToGrid w:val="0"/>
                    <w:spacing w:line="240" w:lineRule="exact"/>
                    <w:jc w:val="center"/>
                    <w:rPr>
                      <w:bCs/>
                      <w:szCs w:val="21"/>
                    </w:rPr>
                  </w:pPr>
                  <w:r>
                    <w:rPr>
                      <w:bCs/>
                      <w:szCs w:val="21"/>
                    </w:rPr>
                    <w:t>下脚料</w:t>
                  </w:r>
                </w:p>
              </w:tc>
              <w:tc>
                <w:tcPr>
                  <w:tcW w:w="714" w:type="pct"/>
                  <w:shd w:val="clear" w:color="auto" w:fill="auto"/>
                  <w:vAlign w:val="center"/>
                </w:tcPr>
                <w:p w14:paraId="4B39F9D4">
                  <w:pPr>
                    <w:adjustRightInd w:val="0"/>
                    <w:snapToGrid w:val="0"/>
                    <w:spacing w:line="240" w:lineRule="exact"/>
                    <w:jc w:val="center"/>
                    <w:rPr>
                      <w:szCs w:val="21"/>
                    </w:rPr>
                  </w:pPr>
                  <w:r>
                    <w:rPr>
                      <w:szCs w:val="21"/>
                    </w:rPr>
                    <w:t>80t/a</w:t>
                  </w:r>
                </w:p>
              </w:tc>
              <w:tc>
                <w:tcPr>
                  <w:tcW w:w="658" w:type="pct"/>
                  <w:vMerge w:val="continue"/>
                  <w:shd w:val="clear" w:color="auto" w:fill="auto"/>
                  <w:vAlign w:val="center"/>
                </w:tcPr>
                <w:p w14:paraId="6B78882F">
                  <w:pPr>
                    <w:adjustRightInd w:val="0"/>
                    <w:snapToGrid w:val="0"/>
                    <w:spacing w:line="280" w:lineRule="exact"/>
                    <w:jc w:val="center"/>
                    <w:rPr>
                      <w:szCs w:val="21"/>
                    </w:rPr>
                  </w:pPr>
                </w:p>
              </w:tc>
              <w:tc>
                <w:tcPr>
                  <w:tcW w:w="1132" w:type="pct"/>
                  <w:shd w:val="clear" w:color="auto" w:fill="auto"/>
                  <w:vAlign w:val="center"/>
                </w:tcPr>
                <w:p w14:paraId="1F7B2D83">
                  <w:pPr>
                    <w:adjustRightInd w:val="0"/>
                    <w:snapToGrid w:val="0"/>
                    <w:spacing w:line="280" w:lineRule="exact"/>
                    <w:jc w:val="center"/>
                    <w:rPr>
                      <w:szCs w:val="21"/>
                    </w:rPr>
                  </w:pPr>
                  <w:r>
                    <w:rPr>
                      <w:szCs w:val="21"/>
                    </w:rPr>
                    <w:t>900-099-S17</w:t>
                  </w:r>
                </w:p>
              </w:tc>
              <w:tc>
                <w:tcPr>
                  <w:tcW w:w="787" w:type="pct"/>
                  <w:vMerge w:val="restart"/>
                  <w:shd w:val="clear" w:color="auto" w:fill="auto"/>
                  <w:vAlign w:val="center"/>
                </w:tcPr>
                <w:p w14:paraId="0A4B3183">
                  <w:pPr>
                    <w:adjustRightInd w:val="0"/>
                    <w:snapToGrid w:val="0"/>
                    <w:spacing w:line="360" w:lineRule="exact"/>
                    <w:jc w:val="center"/>
                    <w:rPr>
                      <w:szCs w:val="21"/>
                    </w:rPr>
                  </w:pPr>
                  <w:r>
                    <w:rPr>
                      <w:szCs w:val="21"/>
                    </w:rPr>
                    <w:t>收集后外售物资回收单位</w:t>
                  </w:r>
                </w:p>
              </w:tc>
            </w:tr>
            <w:tr w14:paraId="3CA19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shd w:val="clear" w:color="auto" w:fill="auto"/>
                  <w:vAlign w:val="center"/>
                </w:tcPr>
                <w:p w14:paraId="24F33497">
                  <w:pPr>
                    <w:adjustRightInd w:val="0"/>
                    <w:snapToGrid w:val="0"/>
                    <w:spacing w:line="240" w:lineRule="exact"/>
                    <w:jc w:val="center"/>
                    <w:rPr>
                      <w:szCs w:val="21"/>
                    </w:rPr>
                  </w:pPr>
                  <w:bookmarkStart w:id="197" w:name="_Hlk188274216"/>
                  <w:r>
                    <w:rPr>
                      <w:szCs w:val="21"/>
                    </w:rPr>
                    <w:t>物料</w:t>
                  </w:r>
                  <w:bookmarkStart w:id="198" w:name="OLE_LINK217"/>
                  <w:r>
                    <w:rPr>
                      <w:szCs w:val="21"/>
                    </w:rPr>
                    <w:t>包装</w:t>
                  </w:r>
                  <w:bookmarkEnd w:id="198"/>
                </w:p>
              </w:tc>
              <w:tc>
                <w:tcPr>
                  <w:tcW w:w="999" w:type="pct"/>
                  <w:shd w:val="clear" w:color="auto" w:fill="auto"/>
                  <w:vAlign w:val="center"/>
                </w:tcPr>
                <w:p w14:paraId="1FBDE1AA">
                  <w:pPr>
                    <w:adjustRightInd w:val="0"/>
                    <w:snapToGrid w:val="0"/>
                    <w:spacing w:line="240" w:lineRule="exact"/>
                    <w:jc w:val="center"/>
                    <w:rPr>
                      <w:szCs w:val="21"/>
                    </w:rPr>
                  </w:pPr>
                  <w:r>
                    <w:rPr>
                      <w:szCs w:val="21"/>
                    </w:rPr>
                    <w:t>废包装</w:t>
                  </w:r>
                  <w:r>
                    <w:rPr>
                      <w:rFonts w:hint="eastAsia"/>
                      <w:szCs w:val="21"/>
                    </w:rPr>
                    <w:t>材料</w:t>
                  </w:r>
                </w:p>
              </w:tc>
              <w:tc>
                <w:tcPr>
                  <w:tcW w:w="715" w:type="pct"/>
                  <w:shd w:val="clear" w:color="auto" w:fill="auto"/>
                  <w:vAlign w:val="center"/>
                </w:tcPr>
                <w:p w14:paraId="3EDBD266">
                  <w:pPr>
                    <w:adjustRightInd w:val="0"/>
                    <w:snapToGrid w:val="0"/>
                    <w:spacing w:line="240" w:lineRule="exact"/>
                    <w:jc w:val="center"/>
                    <w:rPr>
                      <w:szCs w:val="21"/>
                    </w:rPr>
                  </w:pPr>
                  <w:bookmarkStart w:id="199" w:name="OLE_LINK222"/>
                  <w:bookmarkStart w:id="200" w:name="OLE_LINK223"/>
                  <w:r>
                    <w:rPr>
                      <w:szCs w:val="21"/>
                    </w:rPr>
                    <w:t>1t/a</w:t>
                  </w:r>
                  <w:bookmarkEnd w:id="199"/>
                  <w:bookmarkEnd w:id="200"/>
                </w:p>
              </w:tc>
              <w:tc>
                <w:tcPr>
                  <w:tcW w:w="658" w:type="pct"/>
                  <w:vMerge w:val="continue"/>
                  <w:shd w:val="clear" w:color="auto" w:fill="auto"/>
                  <w:vAlign w:val="center"/>
                </w:tcPr>
                <w:p w14:paraId="58F414CA">
                  <w:pPr>
                    <w:adjustRightInd w:val="0"/>
                    <w:snapToGrid w:val="0"/>
                    <w:spacing w:line="280" w:lineRule="exact"/>
                    <w:jc w:val="center"/>
                    <w:rPr>
                      <w:szCs w:val="21"/>
                    </w:rPr>
                  </w:pPr>
                </w:p>
              </w:tc>
              <w:tc>
                <w:tcPr>
                  <w:tcW w:w="1132" w:type="pct"/>
                  <w:shd w:val="clear" w:color="auto" w:fill="auto"/>
                  <w:vAlign w:val="center"/>
                </w:tcPr>
                <w:p w14:paraId="74DEAA68">
                  <w:pPr>
                    <w:adjustRightInd w:val="0"/>
                    <w:snapToGrid w:val="0"/>
                    <w:spacing w:line="280" w:lineRule="exact"/>
                    <w:jc w:val="center"/>
                    <w:rPr>
                      <w:szCs w:val="21"/>
                    </w:rPr>
                  </w:pPr>
                  <w:r>
                    <w:rPr>
                      <w:szCs w:val="21"/>
                    </w:rPr>
                    <w:t>900-099-S17</w:t>
                  </w:r>
                </w:p>
              </w:tc>
              <w:tc>
                <w:tcPr>
                  <w:tcW w:w="787" w:type="pct"/>
                  <w:vMerge w:val="continue"/>
                  <w:shd w:val="clear" w:color="auto" w:fill="auto"/>
                  <w:vAlign w:val="center"/>
                </w:tcPr>
                <w:p w14:paraId="4D815651">
                  <w:pPr>
                    <w:adjustRightInd w:val="0"/>
                    <w:snapToGrid w:val="0"/>
                    <w:spacing w:line="360" w:lineRule="exact"/>
                    <w:jc w:val="center"/>
                    <w:rPr>
                      <w:szCs w:val="21"/>
                    </w:rPr>
                  </w:pPr>
                </w:p>
              </w:tc>
            </w:tr>
            <w:bookmarkEnd w:id="197"/>
            <w:tr w14:paraId="4B44C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vMerge w:val="restart"/>
                  <w:shd w:val="clear" w:color="auto" w:fill="auto"/>
                  <w:vAlign w:val="center"/>
                </w:tcPr>
                <w:p w14:paraId="6364B8A3">
                  <w:pPr>
                    <w:adjustRightInd w:val="0"/>
                    <w:snapToGrid w:val="0"/>
                    <w:spacing w:line="240" w:lineRule="exact"/>
                    <w:jc w:val="center"/>
                    <w:rPr>
                      <w:szCs w:val="21"/>
                    </w:rPr>
                  </w:pPr>
                  <w:bookmarkStart w:id="201" w:name="OLE_LINK214"/>
                  <w:bookmarkStart w:id="202" w:name="OLE_LINK215"/>
                  <w:bookmarkStart w:id="203" w:name="OLE_LINK216"/>
                  <w:r>
                    <w:rPr>
                      <w:rFonts w:hint="eastAsia"/>
                      <w:szCs w:val="21"/>
                    </w:rPr>
                    <w:t>废气处理</w:t>
                  </w:r>
                  <w:bookmarkEnd w:id="201"/>
                  <w:bookmarkEnd w:id="202"/>
                  <w:bookmarkEnd w:id="203"/>
                </w:p>
              </w:tc>
              <w:tc>
                <w:tcPr>
                  <w:tcW w:w="999" w:type="pct"/>
                  <w:shd w:val="clear" w:color="auto" w:fill="auto"/>
                  <w:vAlign w:val="center"/>
                </w:tcPr>
                <w:p w14:paraId="719C1A0A">
                  <w:pPr>
                    <w:adjustRightInd w:val="0"/>
                    <w:snapToGrid w:val="0"/>
                    <w:spacing w:line="240" w:lineRule="exact"/>
                    <w:jc w:val="center"/>
                    <w:rPr>
                      <w:szCs w:val="21"/>
                    </w:rPr>
                  </w:pPr>
                  <w:bookmarkStart w:id="204" w:name="OLE_LINK26"/>
                  <w:bookmarkStart w:id="205" w:name="OLE_LINK213"/>
                  <w:r>
                    <w:rPr>
                      <w:szCs w:val="21"/>
                    </w:rPr>
                    <w:t>除尘器收尘</w:t>
                  </w:r>
                  <w:bookmarkEnd w:id="204"/>
                  <w:bookmarkEnd w:id="205"/>
                </w:p>
              </w:tc>
              <w:tc>
                <w:tcPr>
                  <w:tcW w:w="715" w:type="pct"/>
                  <w:shd w:val="clear" w:color="auto" w:fill="auto"/>
                  <w:vAlign w:val="center"/>
                </w:tcPr>
                <w:p w14:paraId="0DFFBFF9">
                  <w:pPr>
                    <w:adjustRightInd w:val="0"/>
                    <w:snapToGrid w:val="0"/>
                    <w:spacing w:line="240" w:lineRule="exact"/>
                    <w:jc w:val="center"/>
                    <w:rPr>
                      <w:szCs w:val="21"/>
                    </w:rPr>
                  </w:pPr>
                  <w:bookmarkStart w:id="206" w:name="OLE_LINK152"/>
                  <w:bookmarkStart w:id="207" w:name="OLE_LINK153"/>
                  <w:bookmarkStart w:id="208" w:name="OLE_LINK224"/>
                  <w:r>
                    <w:rPr>
                      <w:szCs w:val="21"/>
                    </w:rPr>
                    <w:t>9.424t/a</w:t>
                  </w:r>
                  <w:bookmarkEnd w:id="206"/>
                  <w:bookmarkEnd w:id="207"/>
                  <w:bookmarkEnd w:id="208"/>
                </w:p>
              </w:tc>
              <w:tc>
                <w:tcPr>
                  <w:tcW w:w="658" w:type="pct"/>
                  <w:vMerge w:val="continue"/>
                  <w:shd w:val="clear" w:color="auto" w:fill="auto"/>
                  <w:vAlign w:val="center"/>
                </w:tcPr>
                <w:p w14:paraId="07ED134C">
                  <w:pPr>
                    <w:adjustRightInd w:val="0"/>
                    <w:snapToGrid w:val="0"/>
                    <w:spacing w:line="280" w:lineRule="exact"/>
                    <w:jc w:val="center"/>
                    <w:rPr>
                      <w:szCs w:val="21"/>
                    </w:rPr>
                  </w:pPr>
                </w:p>
              </w:tc>
              <w:tc>
                <w:tcPr>
                  <w:tcW w:w="1132" w:type="pct"/>
                  <w:shd w:val="clear" w:color="auto" w:fill="auto"/>
                  <w:vAlign w:val="center"/>
                </w:tcPr>
                <w:p w14:paraId="74431355">
                  <w:pPr>
                    <w:adjustRightInd w:val="0"/>
                    <w:snapToGrid w:val="0"/>
                    <w:spacing w:line="280" w:lineRule="exact"/>
                    <w:jc w:val="center"/>
                    <w:rPr>
                      <w:szCs w:val="21"/>
                    </w:rPr>
                  </w:pPr>
                  <w:r>
                    <w:rPr>
                      <w:szCs w:val="21"/>
                    </w:rPr>
                    <w:t>900-099-S17</w:t>
                  </w:r>
                </w:p>
              </w:tc>
              <w:tc>
                <w:tcPr>
                  <w:tcW w:w="787" w:type="pct"/>
                  <w:vMerge w:val="continue"/>
                  <w:shd w:val="clear" w:color="auto" w:fill="auto"/>
                  <w:vAlign w:val="center"/>
                </w:tcPr>
                <w:p w14:paraId="553B994F">
                  <w:pPr>
                    <w:adjustRightInd w:val="0"/>
                    <w:snapToGrid w:val="0"/>
                    <w:spacing w:line="360" w:lineRule="exact"/>
                    <w:jc w:val="center"/>
                    <w:rPr>
                      <w:szCs w:val="21"/>
                    </w:rPr>
                  </w:pPr>
                </w:p>
              </w:tc>
            </w:tr>
            <w:tr w14:paraId="3C42F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vMerge w:val="continue"/>
                  <w:shd w:val="clear" w:color="auto" w:fill="auto"/>
                  <w:vAlign w:val="center"/>
                </w:tcPr>
                <w:p w14:paraId="1F4E44D2">
                  <w:pPr>
                    <w:adjustRightInd w:val="0"/>
                    <w:snapToGrid w:val="0"/>
                    <w:spacing w:line="240" w:lineRule="exact"/>
                    <w:jc w:val="center"/>
                    <w:rPr>
                      <w:szCs w:val="21"/>
                    </w:rPr>
                  </w:pPr>
                </w:p>
              </w:tc>
              <w:tc>
                <w:tcPr>
                  <w:tcW w:w="999" w:type="pct"/>
                  <w:shd w:val="clear" w:color="auto" w:fill="auto"/>
                  <w:vAlign w:val="center"/>
                </w:tcPr>
                <w:p w14:paraId="5CE28C0B">
                  <w:pPr>
                    <w:adjustRightInd w:val="0"/>
                    <w:snapToGrid w:val="0"/>
                    <w:spacing w:line="240" w:lineRule="exact"/>
                    <w:jc w:val="center"/>
                    <w:rPr>
                      <w:szCs w:val="21"/>
                    </w:rPr>
                  </w:pPr>
                  <w:r>
                    <w:rPr>
                      <w:rFonts w:hint="eastAsia"/>
                      <w:szCs w:val="21"/>
                    </w:rPr>
                    <w:t>废布袋</w:t>
                  </w:r>
                </w:p>
              </w:tc>
              <w:tc>
                <w:tcPr>
                  <w:tcW w:w="715" w:type="pct"/>
                  <w:shd w:val="clear" w:color="auto" w:fill="auto"/>
                  <w:vAlign w:val="center"/>
                </w:tcPr>
                <w:p w14:paraId="0ACD5ADF">
                  <w:pPr>
                    <w:adjustRightInd w:val="0"/>
                    <w:snapToGrid w:val="0"/>
                    <w:spacing w:line="240" w:lineRule="exact"/>
                    <w:jc w:val="center"/>
                    <w:rPr>
                      <w:szCs w:val="21"/>
                    </w:rPr>
                  </w:pPr>
                  <w:r>
                    <w:rPr>
                      <w:rFonts w:hint="eastAsia"/>
                      <w:szCs w:val="21"/>
                    </w:rPr>
                    <w:t>0</w:t>
                  </w:r>
                  <w:r>
                    <w:rPr>
                      <w:szCs w:val="21"/>
                    </w:rPr>
                    <w:t>.002</w:t>
                  </w:r>
                  <w:r>
                    <w:rPr>
                      <w:rFonts w:hint="eastAsia"/>
                      <w:szCs w:val="21"/>
                    </w:rPr>
                    <w:t>t/a</w:t>
                  </w:r>
                </w:p>
              </w:tc>
              <w:tc>
                <w:tcPr>
                  <w:tcW w:w="658" w:type="pct"/>
                  <w:vMerge w:val="continue"/>
                  <w:shd w:val="clear" w:color="auto" w:fill="auto"/>
                  <w:vAlign w:val="center"/>
                </w:tcPr>
                <w:p w14:paraId="5038D4A0">
                  <w:pPr>
                    <w:adjustRightInd w:val="0"/>
                    <w:snapToGrid w:val="0"/>
                    <w:spacing w:line="280" w:lineRule="exact"/>
                    <w:jc w:val="center"/>
                    <w:rPr>
                      <w:szCs w:val="21"/>
                    </w:rPr>
                  </w:pPr>
                </w:p>
              </w:tc>
              <w:tc>
                <w:tcPr>
                  <w:tcW w:w="1132" w:type="pct"/>
                  <w:shd w:val="clear" w:color="auto" w:fill="auto"/>
                  <w:vAlign w:val="center"/>
                </w:tcPr>
                <w:p w14:paraId="772B69C5">
                  <w:pPr>
                    <w:adjustRightInd w:val="0"/>
                    <w:snapToGrid w:val="0"/>
                    <w:spacing w:line="280" w:lineRule="exact"/>
                    <w:jc w:val="center"/>
                    <w:rPr>
                      <w:szCs w:val="21"/>
                    </w:rPr>
                  </w:pPr>
                  <w:r>
                    <w:rPr>
                      <w:rFonts w:hint="eastAsia"/>
                      <w:szCs w:val="21"/>
                    </w:rPr>
                    <w:t>9</w:t>
                  </w:r>
                  <w:r>
                    <w:rPr>
                      <w:szCs w:val="21"/>
                    </w:rPr>
                    <w:t>00-099-S59</w:t>
                  </w:r>
                </w:p>
              </w:tc>
              <w:tc>
                <w:tcPr>
                  <w:tcW w:w="787" w:type="pct"/>
                  <w:vMerge w:val="continue"/>
                  <w:shd w:val="clear" w:color="auto" w:fill="auto"/>
                  <w:vAlign w:val="center"/>
                </w:tcPr>
                <w:p w14:paraId="03AAB224">
                  <w:pPr>
                    <w:adjustRightInd w:val="0"/>
                    <w:snapToGrid w:val="0"/>
                    <w:spacing w:line="360" w:lineRule="exact"/>
                    <w:jc w:val="center"/>
                    <w:rPr>
                      <w:szCs w:val="21"/>
                    </w:rPr>
                  </w:pPr>
                </w:p>
              </w:tc>
            </w:tr>
            <w:tr w14:paraId="1933C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shd w:val="clear" w:color="auto" w:fill="auto"/>
                  <w:vAlign w:val="center"/>
                </w:tcPr>
                <w:p w14:paraId="3824907B">
                  <w:pPr>
                    <w:adjustRightInd w:val="0"/>
                    <w:snapToGrid w:val="0"/>
                    <w:spacing w:line="240" w:lineRule="exact"/>
                    <w:jc w:val="center"/>
                    <w:rPr>
                      <w:szCs w:val="21"/>
                    </w:rPr>
                  </w:pPr>
                  <w:bookmarkStart w:id="209" w:name="OLE_LINK34"/>
                  <w:bookmarkStart w:id="210" w:name="OLE_LINK33"/>
                  <w:bookmarkStart w:id="211" w:name="OLE_LINK218"/>
                  <w:bookmarkStart w:id="212" w:name="OLE_LINK219"/>
                  <w:r>
                    <w:rPr>
                      <w:szCs w:val="21"/>
                    </w:rPr>
                    <w:t>焊接</w:t>
                  </w:r>
                  <w:r>
                    <w:rPr>
                      <w:rFonts w:hint="eastAsia"/>
                      <w:szCs w:val="21"/>
                    </w:rPr>
                    <w:t>工序</w:t>
                  </w:r>
                  <w:bookmarkEnd w:id="209"/>
                  <w:bookmarkEnd w:id="210"/>
                  <w:bookmarkEnd w:id="211"/>
                  <w:bookmarkEnd w:id="212"/>
                </w:p>
              </w:tc>
              <w:tc>
                <w:tcPr>
                  <w:tcW w:w="999" w:type="pct"/>
                  <w:shd w:val="clear" w:color="auto" w:fill="auto"/>
                  <w:vAlign w:val="center"/>
                </w:tcPr>
                <w:p w14:paraId="404E2874">
                  <w:pPr>
                    <w:adjustRightInd w:val="0"/>
                    <w:snapToGrid w:val="0"/>
                    <w:spacing w:line="240" w:lineRule="exact"/>
                    <w:jc w:val="center"/>
                    <w:rPr>
                      <w:szCs w:val="21"/>
                    </w:rPr>
                  </w:pPr>
                  <w:bookmarkStart w:id="213" w:name="OLE_LINK28"/>
                  <w:bookmarkStart w:id="214" w:name="OLE_LINK27"/>
                  <w:r>
                    <w:rPr>
                      <w:szCs w:val="21"/>
                    </w:rPr>
                    <w:t>焊渣</w:t>
                  </w:r>
                  <w:bookmarkEnd w:id="213"/>
                  <w:bookmarkEnd w:id="214"/>
                </w:p>
              </w:tc>
              <w:tc>
                <w:tcPr>
                  <w:tcW w:w="715" w:type="pct"/>
                  <w:shd w:val="clear" w:color="auto" w:fill="auto"/>
                  <w:vAlign w:val="center"/>
                </w:tcPr>
                <w:p w14:paraId="0F69CF43">
                  <w:pPr>
                    <w:adjustRightInd w:val="0"/>
                    <w:snapToGrid w:val="0"/>
                    <w:spacing w:line="240" w:lineRule="exact"/>
                    <w:jc w:val="center"/>
                    <w:rPr>
                      <w:szCs w:val="21"/>
                    </w:rPr>
                  </w:pPr>
                  <w:r>
                    <w:rPr>
                      <w:szCs w:val="21"/>
                    </w:rPr>
                    <w:t>0.3t/a</w:t>
                  </w:r>
                </w:p>
              </w:tc>
              <w:tc>
                <w:tcPr>
                  <w:tcW w:w="658" w:type="pct"/>
                  <w:vMerge w:val="continue"/>
                  <w:shd w:val="clear" w:color="auto" w:fill="auto"/>
                  <w:vAlign w:val="center"/>
                </w:tcPr>
                <w:p w14:paraId="4EF292D5">
                  <w:pPr>
                    <w:adjustRightInd w:val="0"/>
                    <w:snapToGrid w:val="0"/>
                    <w:spacing w:line="280" w:lineRule="exact"/>
                    <w:jc w:val="center"/>
                    <w:rPr>
                      <w:szCs w:val="21"/>
                    </w:rPr>
                  </w:pPr>
                </w:p>
              </w:tc>
              <w:tc>
                <w:tcPr>
                  <w:tcW w:w="1132" w:type="pct"/>
                  <w:shd w:val="clear" w:color="auto" w:fill="auto"/>
                  <w:vAlign w:val="center"/>
                </w:tcPr>
                <w:p w14:paraId="5B072492">
                  <w:pPr>
                    <w:adjustRightInd w:val="0"/>
                    <w:snapToGrid w:val="0"/>
                    <w:spacing w:line="280" w:lineRule="exact"/>
                    <w:jc w:val="center"/>
                    <w:rPr>
                      <w:szCs w:val="21"/>
                    </w:rPr>
                  </w:pPr>
                  <w:r>
                    <w:rPr>
                      <w:szCs w:val="21"/>
                    </w:rPr>
                    <w:t>900-099-S17</w:t>
                  </w:r>
                </w:p>
              </w:tc>
              <w:tc>
                <w:tcPr>
                  <w:tcW w:w="787" w:type="pct"/>
                  <w:vMerge w:val="continue"/>
                  <w:shd w:val="clear" w:color="auto" w:fill="auto"/>
                  <w:vAlign w:val="center"/>
                </w:tcPr>
                <w:p w14:paraId="5F5C410D">
                  <w:pPr>
                    <w:adjustRightInd w:val="0"/>
                    <w:snapToGrid w:val="0"/>
                    <w:spacing w:line="360" w:lineRule="exact"/>
                    <w:jc w:val="center"/>
                    <w:rPr>
                      <w:szCs w:val="21"/>
                    </w:rPr>
                  </w:pPr>
                </w:p>
              </w:tc>
            </w:tr>
            <w:tr w14:paraId="5021F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shd w:val="clear" w:color="auto" w:fill="auto"/>
                  <w:vAlign w:val="center"/>
                </w:tcPr>
                <w:p w14:paraId="446A47B4">
                  <w:pPr>
                    <w:adjustRightInd w:val="0"/>
                    <w:snapToGrid w:val="0"/>
                    <w:spacing w:line="240" w:lineRule="exact"/>
                    <w:jc w:val="center"/>
                    <w:rPr>
                      <w:szCs w:val="21"/>
                    </w:rPr>
                  </w:pPr>
                  <w:r>
                    <w:rPr>
                      <w:szCs w:val="21"/>
                    </w:rPr>
                    <w:t>检验工序</w:t>
                  </w:r>
                </w:p>
              </w:tc>
              <w:tc>
                <w:tcPr>
                  <w:tcW w:w="999" w:type="pct"/>
                  <w:shd w:val="clear" w:color="auto" w:fill="auto"/>
                  <w:vAlign w:val="center"/>
                </w:tcPr>
                <w:p w14:paraId="355BCEA2">
                  <w:pPr>
                    <w:adjustRightInd w:val="0"/>
                    <w:snapToGrid w:val="0"/>
                    <w:spacing w:line="240" w:lineRule="exact"/>
                    <w:jc w:val="center"/>
                    <w:rPr>
                      <w:szCs w:val="21"/>
                    </w:rPr>
                  </w:pPr>
                  <w:r>
                    <w:rPr>
                      <w:szCs w:val="21"/>
                    </w:rPr>
                    <w:t>不合格品</w:t>
                  </w:r>
                </w:p>
              </w:tc>
              <w:tc>
                <w:tcPr>
                  <w:tcW w:w="715" w:type="pct"/>
                  <w:shd w:val="clear" w:color="auto" w:fill="auto"/>
                  <w:vAlign w:val="center"/>
                </w:tcPr>
                <w:p w14:paraId="10449427">
                  <w:pPr>
                    <w:adjustRightInd w:val="0"/>
                    <w:snapToGrid w:val="0"/>
                    <w:spacing w:line="240" w:lineRule="exact"/>
                    <w:jc w:val="center"/>
                    <w:rPr>
                      <w:szCs w:val="21"/>
                    </w:rPr>
                  </w:pPr>
                  <w:r>
                    <w:rPr>
                      <w:szCs w:val="21"/>
                    </w:rPr>
                    <w:t>20t/a</w:t>
                  </w:r>
                </w:p>
              </w:tc>
              <w:tc>
                <w:tcPr>
                  <w:tcW w:w="658" w:type="pct"/>
                  <w:vMerge w:val="continue"/>
                  <w:shd w:val="clear" w:color="auto" w:fill="auto"/>
                  <w:vAlign w:val="center"/>
                </w:tcPr>
                <w:p w14:paraId="16B0E190">
                  <w:pPr>
                    <w:adjustRightInd w:val="0"/>
                    <w:snapToGrid w:val="0"/>
                    <w:spacing w:line="280" w:lineRule="exact"/>
                    <w:jc w:val="center"/>
                    <w:rPr>
                      <w:szCs w:val="21"/>
                    </w:rPr>
                  </w:pPr>
                </w:p>
              </w:tc>
              <w:tc>
                <w:tcPr>
                  <w:tcW w:w="1132" w:type="pct"/>
                  <w:shd w:val="clear" w:color="auto" w:fill="auto"/>
                  <w:vAlign w:val="center"/>
                </w:tcPr>
                <w:p w14:paraId="059B7677">
                  <w:pPr>
                    <w:adjustRightInd w:val="0"/>
                    <w:snapToGrid w:val="0"/>
                    <w:spacing w:line="280" w:lineRule="exact"/>
                    <w:jc w:val="center"/>
                    <w:rPr>
                      <w:szCs w:val="21"/>
                    </w:rPr>
                  </w:pPr>
                  <w:r>
                    <w:rPr>
                      <w:szCs w:val="21"/>
                    </w:rPr>
                    <w:t>900-099-S17</w:t>
                  </w:r>
                </w:p>
              </w:tc>
              <w:tc>
                <w:tcPr>
                  <w:tcW w:w="787" w:type="pct"/>
                  <w:vMerge w:val="continue"/>
                  <w:shd w:val="clear" w:color="auto" w:fill="auto"/>
                  <w:vAlign w:val="center"/>
                </w:tcPr>
                <w:p w14:paraId="3CEC2C2E">
                  <w:pPr>
                    <w:adjustRightInd w:val="0"/>
                    <w:snapToGrid w:val="0"/>
                    <w:spacing w:line="360" w:lineRule="exact"/>
                    <w:jc w:val="center"/>
                    <w:rPr>
                      <w:szCs w:val="21"/>
                    </w:rPr>
                  </w:pPr>
                </w:p>
              </w:tc>
            </w:tr>
            <w:bookmarkEnd w:id="196"/>
            <w:tr w14:paraId="5E210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shd w:val="clear" w:color="auto" w:fill="auto"/>
                  <w:vAlign w:val="center"/>
                </w:tcPr>
                <w:p w14:paraId="2221FAB0">
                  <w:pPr>
                    <w:adjustRightInd w:val="0"/>
                    <w:snapToGrid w:val="0"/>
                    <w:spacing w:line="240" w:lineRule="exact"/>
                    <w:jc w:val="center"/>
                    <w:rPr>
                      <w:szCs w:val="21"/>
                    </w:rPr>
                  </w:pPr>
                  <w:bookmarkStart w:id="215" w:name="_Hlk193200556"/>
                  <w:r>
                    <w:rPr>
                      <w:szCs w:val="21"/>
                    </w:rPr>
                    <w:t>喷塑工序</w:t>
                  </w:r>
                </w:p>
              </w:tc>
              <w:tc>
                <w:tcPr>
                  <w:tcW w:w="999" w:type="pct"/>
                  <w:shd w:val="clear" w:color="auto" w:fill="auto"/>
                  <w:vAlign w:val="center"/>
                </w:tcPr>
                <w:p w14:paraId="661AF12E">
                  <w:pPr>
                    <w:adjustRightInd w:val="0"/>
                    <w:snapToGrid w:val="0"/>
                    <w:spacing w:line="240" w:lineRule="exact"/>
                    <w:jc w:val="center"/>
                    <w:rPr>
                      <w:szCs w:val="21"/>
                    </w:rPr>
                  </w:pPr>
                  <w:r>
                    <w:rPr>
                      <w:rFonts w:hint="eastAsia"/>
                      <w:szCs w:val="21"/>
                    </w:rPr>
                    <w:t>喷塑工序布袋</w:t>
                  </w:r>
                  <w:r>
                    <w:rPr>
                      <w:rFonts w:hint="eastAsia"/>
                      <w:bCs/>
                      <w:szCs w:val="21"/>
                    </w:rPr>
                    <w:t>除尘器收集的塑粉</w:t>
                  </w:r>
                </w:p>
              </w:tc>
              <w:tc>
                <w:tcPr>
                  <w:tcW w:w="715" w:type="pct"/>
                  <w:shd w:val="clear" w:color="auto" w:fill="auto"/>
                  <w:vAlign w:val="center"/>
                </w:tcPr>
                <w:p w14:paraId="58F1857C">
                  <w:pPr>
                    <w:adjustRightInd w:val="0"/>
                    <w:snapToGrid w:val="0"/>
                    <w:spacing w:line="240" w:lineRule="exact"/>
                    <w:jc w:val="center"/>
                    <w:rPr>
                      <w:szCs w:val="21"/>
                    </w:rPr>
                  </w:pPr>
                  <w:r>
                    <w:rPr>
                      <w:szCs w:val="21"/>
                    </w:rPr>
                    <w:t>13.13t/a</w:t>
                  </w:r>
                </w:p>
              </w:tc>
              <w:tc>
                <w:tcPr>
                  <w:tcW w:w="658" w:type="pct"/>
                  <w:vMerge w:val="continue"/>
                  <w:shd w:val="clear" w:color="auto" w:fill="auto"/>
                  <w:vAlign w:val="center"/>
                </w:tcPr>
                <w:p w14:paraId="29ACFD8B">
                  <w:pPr>
                    <w:adjustRightInd w:val="0"/>
                    <w:snapToGrid w:val="0"/>
                    <w:spacing w:line="280" w:lineRule="exact"/>
                    <w:jc w:val="center"/>
                    <w:rPr>
                      <w:szCs w:val="21"/>
                    </w:rPr>
                  </w:pPr>
                </w:p>
              </w:tc>
              <w:tc>
                <w:tcPr>
                  <w:tcW w:w="1132" w:type="pct"/>
                  <w:shd w:val="clear" w:color="auto" w:fill="auto"/>
                  <w:vAlign w:val="center"/>
                </w:tcPr>
                <w:p w14:paraId="38F7726D">
                  <w:pPr>
                    <w:adjustRightInd w:val="0"/>
                    <w:snapToGrid w:val="0"/>
                    <w:spacing w:line="280" w:lineRule="exact"/>
                    <w:jc w:val="center"/>
                    <w:rPr>
                      <w:szCs w:val="21"/>
                    </w:rPr>
                  </w:pPr>
                  <w:r>
                    <w:rPr>
                      <w:szCs w:val="21"/>
                    </w:rPr>
                    <w:t>900-099-S17</w:t>
                  </w:r>
                </w:p>
              </w:tc>
              <w:tc>
                <w:tcPr>
                  <w:tcW w:w="787" w:type="pct"/>
                  <w:shd w:val="clear" w:color="auto" w:fill="auto"/>
                  <w:vAlign w:val="center"/>
                </w:tcPr>
                <w:p w14:paraId="7451CEC6">
                  <w:pPr>
                    <w:adjustRightInd w:val="0"/>
                    <w:snapToGrid w:val="0"/>
                    <w:spacing w:line="360" w:lineRule="exact"/>
                    <w:jc w:val="center"/>
                    <w:rPr>
                      <w:szCs w:val="21"/>
                    </w:rPr>
                  </w:pPr>
                  <w:r>
                    <w:rPr>
                      <w:rFonts w:hint="eastAsia"/>
                      <w:szCs w:val="21"/>
                    </w:rPr>
                    <w:t>收集后回用于生产</w:t>
                  </w:r>
                </w:p>
              </w:tc>
            </w:tr>
            <w:bookmarkEnd w:id="215"/>
            <w:tr w14:paraId="77514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vMerge w:val="restart"/>
                  <w:shd w:val="clear" w:color="auto" w:fill="auto"/>
                  <w:vAlign w:val="center"/>
                </w:tcPr>
                <w:p w14:paraId="66CEEFAE">
                  <w:pPr>
                    <w:adjustRightInd w:val="0"/>
                    <w:snapToGrid w:val="0"/>
                    <w:spacing w:line="240" w:lineRule="exact"/>
                    <w:jc w:val="center"/>
                    <w:rPr>
                      <w:szCs w:val="21"/>
                    </w:rPr>
                  </w:pPr>
                  <w:r>
                    <w:rPr>
                      <w:szCs w:val="21"/>
                    </w:rPr>
                    <w:t>设备保养</w:t>
                  </w:r>
                </w:p>
              </w:tc>
              <w:tc>
                <w:tcPr>
                  <w:tcW w:w="999" w:type="pct"/>
                  <w:shd w:val="clear" w:color="auto" w:fill="auto"/>
                  <w:vAlign w:val="center"/>
                </w:tcPr>
                <w:p w14:paraId="6736C6D2">
                  <w:pPr>
                    <w:adjustRightInd w:val="0"/>
                    <w:snapToGrid w:val="0"/>
                    <w:spacing w:line="240" w:lineRule="exact"/>
                    <w:jc w:val="center"/>
                    <w:rPr>
                      <w:szCs w:val="21"/>
                    </w:rPr>
                  </w:pPr>
                  <w:r>
                    <w:rPr>
                      <w:szCs w:val="21"/>
                    </w:rPr>
                    <w:t>废润滑油</w:t>
                  </w:r>
                </w:p>
              </w:tc>
              <w:tc>
                <w:tcPr>
                  <w:tcW w:w="715" w:type="pct"/>
                  <w:shd w:val="clear" w:color="auto" w:fill="auto"/>
                  <w:vAlign w:val="center"/>
                </w:tcPr>
                <w:p w14:paraId="3BBD8371">
                  <w:pPr>
                    <w:adjustRightInd w:val="0"/>
                    <w:snapToGrid w:val="0"/>
                    <w:spacing w:line="240" w:lineRule="exact"/>
                    <w:jc w:val="center"/>
                    <w:rPr>
                      <w:szCs w:val="21"/>
                    </w:rPr>
                  </w:pPr>
                  <w:r>
                    <w:rPr>
                      <w:rFonts w:hint="eastAsia"/>
                      <w:szCs w:val="21"/>
                    </w:rPr>
                    <w:t>0.4</w:t>
                  </w:r>
                  <w:r>
                    <w:rPr>
                      <w:szCs w:val="21"/>
                    </w:rPr>
                    <w:t>t/a</w:t>
                  </w:r>
                </w:p>
              </w:tc>
              <w:tc>
                <w:tcPr>
                  <w:tcW w:w="658" w:type="pct"/>
                  <w:vMerge w:val="restart"/>
                  <w:shd w:val="clear" w:color="auto" w:fill="auto"/>
                  <w:vAlign w:val="center"/>
                </w:tcPr>
                <w:p w14:paraId="25637C29">
                  <w:pPr>
                    <w:adjustRightInd w:val="0"/>
                    <w:snapToGrid w:val="0"/>
                    <w:spacing w:line="360" w:lineRule="exact"/>
                    <w:jc w:val="center"/>
                    <w:rPr>
                      <w:szCs w:val="21"/>
                    </w:rPr>
                  </w:pPr>
                  <w:r>
                    <w:rPr>
                      <w:szCs w:val="21"/>
                    </w:rPr>
                    <w:t>危险废物</w:t>
                  </w:r>
                </w:p>
              </w:tc>
              <w:tc>
                <w:tcPr>
                  <w:tcW w:w="1132" w:type="pct"/>
                  <w:shd w:val="clear" w:color="auto" w:fill="auto"/>
                  <w:vAlign w:val="center"/>
                </w:tcPr>
                <w:p w14:paraId="37772245">
                  <w:pPr>
                    <w:adjustRightInd w:val="0"/>
                    <w:snapToGrid w:val="0"/>
                    <w:jc w:val="center"/>
                    <w:rPr>
                      <w:szCs w:val="21"/>
                    </w:rPr>
                  </w:pPr>
                  <w:r>
                    <w:rPr>
                      <w:szCs w:val="21"/>
                    </w:rPr>
                    <w:t>HW08 900-214-08</w:t>
                  </w:r>
                </w:p>
              </w:tc>
              <w:tc>
                <w:tcPr>
                  <w:tcW w:w="787" w:type="pct"/>
                  <w:vMerge w:val="restart"/>
                  <w:shd w:val="clear" w:color="auto" w:fill="auto"/>
                  <w:vAlign w:val="center"/>
                </w:tcPr>
                <w:p w14:paraId="325DF0A2">
                  <w:pPr>
                    <w:adjustRightInd w:val="0"/>
                    <w:snapToGrid w:val="0"/>
                    <w:spacing w:line="240" w:lineRule="exact"/>
                    <w:jc w:val="center"/>
                    <w:rPr>
                      <w:szCs w:val="21"/>
                    </w:rPr>
                  </w:pPr>
                  <w:r>
                    <w:rPr>
                      <w:szCs w:val="21"/>
                    </w:rPr>
                    <w:t>收集后暂存于危废暂存间，交由有资质单位处置</w:t>
                  </w:r>
                </w:p>
              </w:tc>
            </w:tr>
            <w:tr w14:paraId="79563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vMerge w:val="continue"/>
                  <w:shd w:val="clear" w:color="auto" w:fill="auto"/>
                  <w:vAlign w:val="center"/>
                </w:tcPr>
                <w:p w14:paraId="71BAD7ED">
                  <w:pPr>
                    <w:adjustRightInd w:val="0"/>
                    <w:snapToGrid w:val="0"/>
                    <w:spacing w:line="240" w:lineRule="exact"/>
                    <w:jc w:val="center"/>
                    <w:rPr>
                      <w:szCs w:val="21"/>
                    </w:rPr>
                  </w:pPr>
                </w:p>
              </w:tc>
              <w:tc>
                <w:tcPr>
                  <w:tcW w:w="999" w:type="pct"/>
                  <w:shd w:val="clear" w:color="auto" w:fill="auto"/>
                  <w:vAlign w:val="center"/>
                </w:tcPr>
                <w:p w14:paraId="223E9799">
                  <w:pPr>
                    <w:adjustRightInd w:val="0"/>
                    <w:snapToGrid w:val="0"/>
                    <w:spacing w:line="240" w:lineRule="exact"/>
                    <w:jc w:val="center"/>
                    <w:rPr>
                      <w:szCs w:val="21"/>
                    </w:rPr>
                  </w:pPr>
                  <w:r>
                    <w:rPr>
                      <w:szCs w:val="21"/>
                    </w:rPr>
                    <w:t>废润滑油桶</w:t>
                  </w:r>
                </w:p>
              </w:tc>
              <w:tc>
                <w:tcPr>
                  <w:tcW w:w="715" w:type="pct"/>
                  <w:shd w:val="clear" w:color="auto" w:fill="auto"/>
                  <w:vAlign w:val="center"/>
                </w:tcPr>
                <w:p w14:paraId="3C8C5190">
                  <w:pPr>
                    <w:adjustRightInd w:val="0"/>
                    <w:snapToGrid w:val="0"/>
                    <w:spacing w:line="240" w:lineRule="exact"/>
                    <w:jc w:val="center"/>
                    <w:rPr>
                      <w:szCs w:val="21"/>
                    </w:rPr>
                  </w:pPr>
                  <w:r>
                    <w:rPr>
                      <w:szCs w:val="21"/>
                    </w:rPr>
                    <w:t>0.0</w:t>
                  </w:r>
                  <w:r>
                    <w:rPr>
                      <w:rFonts w:hint="eastAsia"/>
                      <w:szCs w:val="21"/>
                    </w:rPr>
                    <w:t>13</w:t>
                  </w:r>
                  <w:r>
                    <w:rPr>
                      <w:szCs w:val="21"/>
                    </w:rPr>
                    <w:t>t/a</w:t>
                  </w:r>
                </w:p>
              </w:tc>
              <w:tc>
                <w:tcPr>
                  <w:tcW w:w="658" w:type="pct"/>
                  <w:vMerge w:val="continue"/>
                  <w:shd w:val="clear" w:color="auto" w:fill="auto"/>
                  <w:vAlign w:val="center"/>
                </w:tcPr>
                <w:p w14:paraId="168BFE51">
                  <w:pPr>
                    <w:adjustRightInd w:val="0"/>
                    <w:snapToGrid w:val="0"/>
                    <w:spacing w:line="360" w:lineRule="exact"/>
                    <w:jc w:val="center"/>
                    <w:rPr>
                      <w:szCs w:val="21"/>
                    </w:rPr>
                  </w:pPr>
                </w:p>
              </w:tc>
              <w:tc>
                <w:tcPr>
                  <w:tcW w:w="1132" w:type="pct"/>
                  <w:shd w:val="clear" w:color="auto" w:fill="auto"/>
                  <w:vAlign w:val="center"/>
                </w:tcPr>
                <w:p w14:paraId="2432005B">
                  <w:pPr>
                    <w:adjustRightInd w:val="0"/>
                    <w:snapToGrid w:val="0"/>
                    <w:jc w:val="center"/>
                    <w:rPr>
                      <w:szCs w:val="21"/>
                    </w:rPr>
                  </w:pPr>
                  <w:r>
                    <w:rPr>
                      <w:szCs w:val="21"/>
                    </w:rPr>
                    <w:t>HW08 900-249-08</w:t>
                  </w:r>
                </w:p>
              </w:tc>
              <w:tc>
                <w:tcPr>
                  <w:tcW w:w="787" w:type="pct"/>
                  <w:vMerge w:val="continue"/>
                  <w:shd w:val="clear" w:color="auto" w:fill="auto"/>
                  <w:vAlign w:val="center"/>
                </w:tcPr>
                <w:p w14:paraId="74ED90B8">
                  <w:pPr>
                    <w:adjustRightInd w:val="0"/>
                    <w:snapToGrid w:val="0"/>
                    <w:spacing w:line="240" w:lineRule="exact"/>
                    <w:jc w:val="center"/>
                    <w:rPr>
                      <w:szCs w:val="21"/>
                    </w:rPr>
                  </w:pPr>
                </w:p>
              </w:tc>
            </w:tr>
            <w:tr w14:paraId="33E54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vMerge w:val="continue"/>
                  <w:shd w:val="clear" w:color="auto" w:fill="auto"/>
                  <w:vAlign w:val="center"/>
                </w:tcPr>
                <w:p w14:paraId="501216B7">
                  <w:pPr>
                    <w:adjustRightInd w:val="0"/>
                    <w:snapToGrid w:val="0"/>
                    <w:spacing w:line="240" w:lineRule="exact"/>
                    <w:jc w:val="center"/>
                    <w:rPr>
                      <w:szCs w:val="21"/>
                    </w:rPr>
                  </w:pPr>
                </w:p>
              </w:tc>
              <w:tc>
                <w:tcPr>
                  <w:tcW w:w="999" w:type="pct"/>
                  <w:shd w:val="clear" w:color="auto" w:fill="auto"/>
                  <w:vAlign w:val="center"/>
                </w:tcPr>
                <w:p w14:paraId="7ADC1395">
                  <w:pPr>
                    <w:adjustRightInd w:val="0"/>
                    <w:snapToGrid w:val="0"/>
                    <w:spacing w:line="240" w:lineRule="exact"/>
                    <w:jc w:val="center"/>
                    <w:rPr>
                      <w:szCs w:val="21"/>
                    </w:rPr>
                  </w:pPr>
                  <w:r>
                    <w:rPr>
                      <w:szCs w:val="21"/>
                    </w:rPr>
                    <w:t>废液压油</w:t>
                  </w:r>
                </w:p>
              </w:tc>
              <w:tc>
                <w:tcPr>
                  <w:tcW w:w="715" w:type="pct"/>
                  <w:shd w:val="clear" w:color="auto" w:fill="auto"/>
                  <w:vAlign w:val="center"/>
                </w:tcPr>
                <w:p w14:paraId="74E84BDB">
                  <w:pPr>
                    <w:adjustRightInd w:val="0"/>
                    <w:snapToGrid w:val="0"/>
                    <w:spacing w:line="240" w:lineRule="exact"/>
                    <w:jc w:val="center"/>
                    <w:rPr>
                      <w:szCs w:val="21"/>
                    </w:rPr>
                  </w:pPr>
                  <w:r>
                    <w:rPr>
                      <w:rFonts w:hint="eastAsia"/>
                      <w:szCs w:val="21"/>
                    </w:rPr>
                    <w:t>0.4</w:t>
                  </w:r>
                  <w:r>
                    <w:rPr>
                      <w:szCs w:val="21"/>
                    </w:rPr>
                    <w:t>t/a</w:t>
                  </w:r>
                </w:p>
              </w:tc>
              <w:tc>
                <w:tcPr>
                  <w:tcW w:w="658" w:type="pct"/>
                  <w:vMerge w:val="continue"/>
                  <w:shd w:val="clear" w:color="auto" w:fill="auto"/>
                  <w:vAlign w:val="center"/>
                </w:tcPr>
                <w:p w14:paraId="05F99440">
                  <w:pPr>
                    <w:adjustRightInd w:val="0"/>
                    <w:snapToGrid w:val="0"/>
                    <w:spacing w:line="360" w:lineRule="exact"/>
                    <w:jc w:val="center"/>
                    <w:rPr>
                      <w:szCs w:val="21"/>
                    </w:rPr>
                  </w:pPr>
                </w:p>
              </w:tc>
              <w:tc>
                <w:tcPr>
                  <w:tcW w:w="1132" w:type="pct"/>
                  <w:shd w:val="clear" w:color="auto" w:fill="auto"/>
                  <w:vAlign w:val="center"/>
                </w:tcPr>
                <w:p w14:paraId="6161534B">
                  <w:pPr>
                    <w:adjustRightInd w:val="0"/>
                    <w:snapToGrid w:val="0"/>
                    <w:jc w:val="center"/>
                    <w:rPr>
                      <w:szCs w:val="21"/>
                    </w:rPr>
                  </w:pPr>
                  <w:r>
                    <w:rPr>
                      <w:szCs w:val="21"/>
                    </w:rPr>
                    <w:t>HW08 900-218-08</w:t>
                  </w:r>
                </w:p>
              </w:tc>
              <w:tc>
                <w:tcPr>
                  <w:tcW w:w="787" w:type="pct"/>
                  <w:vMerge w:val="continue"/>
                  <w:shd w:val="clear" w:color="auto" w:fill="auto"/>
                  <w:vAlign w:val="center"/>
                </w:tcPr>
                <w:p w14:paraId="45D2FA06">
                  <w:pPr>
                    <w:adjustRightInd w:val="0"/>
                    <w:snapToGrid w:val="0"/>
                    <w:spacing w:line="360" w:lineRule="exact"/>
                    <w:jc w:val="center"/>
                    <w:rPr>
                      <w:szCs w:val="21"/>
                    </w:rPr>
                  </w:pPr>
                </w:p>
              </w:tc>
            </w:tr>
            <w:tr w14:paraId="53A6F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vMerge w:val="continue"/>
                  <w:shd w:val="clear" w:color="auto" w:fill="auto"/>
                  <w:vAlign w:val="center"/>
                </w:tcPr>
                <w:p w14:paraId="4AC97321">
                  <w:pPr>
                    <w:adjustRightInd w:val="0"/>
                    <w:snapToGrid w:val="0"/>
                    <w:spacing w:line="240" w:lineRule="exact"/>
                    <w:jc w:val="center"/>
                    <w:rPr>
                      <w:szCs w:val="21"/>
                    </w:rPr>
                  </w:pPr>
                </w:p>
              </w:tc>
              <w:tc>
                <w:tcPr>
                  <w:tcW w:w="999" w:type="pct"/>
                  <w:shd w:val="clear" w:color="auto" w:fill="auto"/>
                  <w:vAlign w:val="center"/>
                </w:tcPr>
                <w:p w14:paraId="515DB1EE">
                  <w:pPr>
                    <w:adjustRightInd w:val="0"/>
                    <w:snapToGrid w:val="0"/>
                    <w:spacing w:line="240" w:lineRule="exact"/>
                    <w:jc w:val="center"/>
                    <w:rPr>
                      <w:szCs w:val="21"/>
                    </w:rPr>
                  </w:pPr>
                  <w:r>
                    <w:rPr>
                      <w:szCs w:val="21"/>
                    </w:rPr>
                    <w:t>废液压油桶</w:t>
                  </w:r>
                </w:p>
              </w:tc>
              <w:tc>
                <w:tcPr>
                  <w:tcW w:w="715" w:type="pct"/>
                  <w:shd w:val="clear" w:color="auto" w:fill="auto"/>
                  <w:vAlign w:val="center"/>
                </w:tcPr>
                <w:p w14:paraId="3662547D">
                  <w:pPr>
                    <w:adjustRightInd w:val="0"/>
                    <w:snapToGrid w:val="0"/>
                    <w:spacing w:line="240" w:lineRule="exact"/>
                    <w:jc w:val="center"/>
                    <w:rPr>
                      <w:szCs w:val="21"/>
                    </w:rPr>
                  </w:pPr>
                  <w:r>
                    <w:rPr>
                      <w:szCs w:val="21"/>
                    </w:rPr>
                    <w:t>0.0</w:t>
                  </w:r>
                  <w:r>
                    <w:rPr>
                      <w:rFonts w:hint="eastAsia"/>
                      <w:szCs w:val="21"/>
                    </w:rPr>
                    <w:t>13</w:t>
                  </w:r>
                  <w:r>
                    <w:rPr>
                      <w:szCs w:val="21"/>
                    </w:rPr>
                    <w:t>t/a</w:t>
                  </w:r>
                </w:p>
              </w:tc>
              <w:tc>
                <w:tcPr>
                  <w:tcW w:w="658" w:type="pct"/>
                  <w:vMerge w:val="continue"/>
                  <w:shd w:val="clear" w:color="auto" w:fill="auto"/>
                  <w:vAlign w:val="center"/>
                </w:tcPr>
                <w:p w14:paraId="39C33760">
                  <w:pPr>
                    <w:adjustRightInd w:val="0"/>
                    <w:snapToGrid w:val="0"/>
                    <w:jc w:val="center"/>
                    <w:rPr>
                      <w:szCs w:val="21"/>
                    </w:rPr>
                  </w:pPr>
                </w:p>
              </w:tc>
              <w:tc>
                <w:tcPr>
                  <w:tcW w:w="1132" w:type="pct"/>
                  <w:shd w:val="clear" w:color="auto" w:fill="auto"/>
                  <w:vAlign w:val="center"/>
                </w:tcPr>
                <w:p w14:paraId="54D8B35D">
                  <w:pPr>
                    <w:adjustRightInd w:val="0"/>
                    <w:snapToGrid w:val="0"/>
                    <w:jc w:val="center"/>
                    <w:rPr>
                      <w:szCs w:val="21"/>
                    </w:rPr>
                  </w:pPr>
                  <w:r>
                    <w:rPr>
                      <w:szCs w:val="21"/>
                    </w:rPr>
                    <w:t>HW08 900-249-08</w:t>
                  </w:r>
                </w:p>
              </w:tc>
              <w:tc>
                <w:tcPr>
                  <w:tcW w:w="787" w:type="pct"/>
                  <w:vMerge w:val="continue"/>
                  <w:shd w:val="clear" w:color="auto" w:fill="auto"/>
                  <w:vAlign w:val="center"/>
                </w:tcPr>
                <w:p w14:paraId="7398F400">
                  <w:pPr>
                    <w:adjustRightInd w:val="0"/>
                    <w:snapToGrid w:val="0"/>
                    <w:spacing w:line="360" w:lineRule="exact"/>
                    <w:jc w:val="center"/>
                    <w:rPr>
                      <w:szCs w:val="21"/>
                    </w:rPr>
                  </w:pPr>
                </w:p>
              </w:tc>
            </w:tr>
            <w:tr w14:paraId="2A81F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0" w:type="pct"/>
                  <w:shd w:val="clear" w:color="auto" w:fill="auto"/>
                  <w:vAlign w:val="center"/>
                </w:tcPr>
                <w:p w14:paraId="50461169">
                  <w:pPr>
                    <w:adjustRightInd w:val="0"/>
                    <w:snapToGrid w:val="0"/>
                    <w:spacing w:line="240" w:lineRule="exact"/>
                    <w:jc w:val="center"/>
                    <w:rPr>
                      <w:szCs w:val="21"/>
                    </w:rPr>
                  </w:pPr>
                  <w:bookmarkStart w:id="216" w:name="_Hlk193200646"/>
                  <w:r>
                    <w:rPr>
                      <w:szCs w:val="21"/>
                    </w:rPr>
                    <w:t>废气处理</w:t>
                  </w:r>
                </w:p>
              </w:tc>
              <w:tc>
                <w:tcPr>
                  <w:tcW w:w="999" w:type="pct"/>
                  <w:shd w:val="clear" w:color="auto" w:fill="auto"/>
                  <w:vAlign w:val="center"/>
                </w:tcPr>
                <w:p w14:paraId="23A20BE7">
                  <w:pPr>
                    <w:adjustRightInd w:val="0"/>
                    <w:snapToGrid w:val="0"/>
                    <w:spacing w:line="240" w:lineRule="exact"/>
                    <w:jc w:val="center"/>
                    <w:rPr>
                      <w:szCs w:val="21"/>
                    </w:rPr>
                  </w:pPr>
                  <w:bookmarkStart w:id="217" w:name="OLE_LINK225"/>
                  <w:bookmarkStart w:id="218" w:name="OLE_LINK226"/>
                  <w:r>
                    <w:rPr>
                      <w:rFonts w:hint="eastAsia"/>
                      <w:szCs w:val="21"/>
                    </w:rPr>
                    <w:t>废活性炭</w:t>
                  </w:r>
                  <w:bookmarkEnd w:id="217"/>
                  <w:bookmarkEnd w:id="218"/>
                </w:p>
              </w:tc>
              <w:tc>
                <w:tcPr>
                  <w:tcW w:w="715" w:type="pct"/>
                  <w:shd w:val="clear" w:color="auto" w:fill="auto"/>
                  <w:vAlign w:val="center"/>
                </w:tcPr>
                <w:p w14:paraId="05F42378">
                  <w:pPr>
                    <w:adjustRightInd w:val="0"/>
                    <w:snapToGrid w:val="0"/>
                    <w:spacing w:line="240" w:lineRule="exact"/>
                    <w:jc w:val="center"/>
                    <w:rPr>
                      <w:szCs w:val="21"/>
                    </w:rPr>
                  </w:pPr>
                  <w:bookmarkStart w:id="219" w:name="OLE_LINK154"/>
                  <w:bookmarkStart w:id="220" w:name="OLE_LINK158"/>
                  <w:r>
                    <w:rPr>
                      <w:szCs w:val="21"/>
                    </w:rPr>
                    <w:t>0.344t/a</w:t>
                  </w:r>
                  <w:bookmarkEnd w:id="219"/>
                  <w:bookmarkEnd w:id="220"/>
                </w:p>
              </w:tc>
              <w:tc>
                <w:tcPr>
                  <w:tcW w:w="658" w:type="pct"/>
                  <w:vMerge w:val="continue"/>
                  <w:shd w:val="clear" w:color="auto" w:fill="auto"/>
                  <w:vAlign w:val="center"/>
                </w:tcPr>
                <w:p w14:paraId="599CE884">
                  <w:pPr>
                    <w:adjustRightInd w:val="0"/>
                    <w:snapToGrid w:val="0"/>
                    <w:jc w:val="center"/>
                    <w:rPr>
                      <w:szCs w:val="21"/>
                    </w:rPr>
                  </w:pPr>
                </w:p>
              </w:tc>
              <w:tc>
                <w:tcPr>
                  <w:tcW w:w="1132" w:type="pct"/>
                  <w:shd w:val="clear" w:color="auto" w:fill="auto"/>
                  <w:vAlign w:val="center"/>
                </w:tcPr>
                <w:p w14:paraId="2D371554">
                  <w:pPr>
                    <w:adjustRightInd w:val="0"/>
                    <w:snapToGrid w:val="0"/>
                    <w:jc w:val="center"/>
                    <w:rPr>
                      <w:szCs w:val="21"/>
                    </w:rPr>
                  </w:pPr>
                  <w:r>
                    <w:rPr>
                      <w:szCs w:val="21"/>
                    </w:rPr>
                    <w:t>HW49 900-039-49</w:t>
                  </w:r>
                </w:p>
              </w:tc>
              <w:tc>
                <w:tcPr>
                  <w:tcW w:w="787" w:type="pct"/>
                  <w:vMerge w:val="continue"/>
                  <w:shd w:val="clear" w:color="auto" w:fill="auto"/>
                  <w:vAlign w:val="center"/>
                </w:tcPr>
                <w:p w14:paraId="0D86A61E">
                  <w:pPr>
                    <w:adjustRightInd w:val="0"/>
                    <w:snapToGrid w:val="0"/>
                    <w:spacing w:line="360" w:lineRule="exact"/>
                    <w:jc w:val="center"/>
                    <w:rPr>
                      <w:szCs w:val="21"/>
                    </w:rPr>
                  </w:pPr>
                </w:p>
              </w:tc>
            </w:tr>
            <w:bookmarkEnd w:id="216"/>
          </w:tbl>
          <w:p w14:paraId="716204F6">
            <w:pPr>
              <w:autoSpaceDE w:val="0"/>
              <w:autoSpaceDN w:val="0"/>
              <w:adjustRightInd w:val="0"/>
              <w:snapToGrid w:val="0"/>
              <w:spacing w:line="360" w:lineRule="auto"/>
              <w:ind w:firstLine="480" w:firstLineChars="200"/>
              <w:rPr>
                <w:sz w:val="24"/>
              </w:rPr>
            </w:pPr>
            <w:r>
              <w:rPr>
                <w:sz w:val="24"/>
              </w:rPr>
              <w:t>本项目拟定在生产车间东南角建设</w:t>
            </w:r>
            <w:r>
              <w:rPr>
                <w:rFonts w:hint="eastAsia"/>
                <w:sz w:val="24"/>
              </w:rPr>
              <w:t>1座一般固废暂存间，</w:t>
            </w:r>
            <w:r>
              <w:rPr>
                <w:sz w:val="24"/>
              </w:rPr>
              <w:t>本项目一般固体废物</w:t>
            </w:r>
            <w:r>
              <w:rPr>
                <w:rFonts w:hint="eastAsia"/>
                <w:sz w:val="24"/>
              </w:rPr>
              <w:t>贮存过程应满足相应防渗漏、防雨淋、防扬尘等环境保护要求，应符合《中华人民共和国固体废物污染环境防治法》（2020年修订）相关要求，一般工业固体废物管理过程应执行《一般工业固体废物管理台账制定指南(试行)》要求</w:t>
            </w:r>
            <w:r>
              <w:rPr>
                <w:sz w:val="24"/>
              </w:rPr>
              <w:t>。本项目产生的固体废物全部得到综合利用和合理处置，不会对环境构成二次污染。</w:t>
            </w:r>
          </w:p>
          <w:p w14:paraId="0774724F">
            <w:pPr>
              <w:autoSpaceDE w:val="0"/>
              <w:autoSpaceDN w:val="0"/>
              <w:adjustRightInd w:val="0"/>
              <w:snapToGrid w:val="0"/>
              <w:spacing w:line="360" w:lineRule="auto"/>
              <w:ind w:firstLine="480" w:firstLineChars="200"/>
              <w:rPr>
                <w:sz w:val="24"/>
              </w:rPr>
            </w:pPr>
            <w:r>
              <w:rPr>
                <w:sz w:val="24"/>
              </w:rPr>
              <w:t>本项目危险废物产生情况见表34。</w:t>
            </w:r>
          </w:p>
          <w:p w14:paraId="05F25EC7">
            <w:pPr>
              <w:pStyle w:val="9"/>
              <w:adjustRightInd w:val="0"/>
              <w:snapToGrid w:val="0"/>
              <w:spacing w:after="0" w:line="360" w:lineRule="auto"/>
              <w:jc w:val="center"/>
              <w:rPr>
                <w:b/>
              </w:rPr>
            </w:pPr>
            <w:r>
              <w:rPr>
                <w:b/>
              </w:rPr>
              <w:t>表34 本项目危险废物产生情况一览表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60"/>
              <w:gridCol w:w="776"/>
              <w:gridCol w:w="1196"/>
              <w:gridCol w:w="1101"/>
              <w:gridCol w:w="694"/>
              <w:gridCol w:w="426"/>
              <w:gridCol w:w="742"/>
              <w:gridCol w:w="952"/>
              <w:gridCol w:w="698"/>
              <w:gridCol w:w="555"/>
              <w:gridCol w:w="636"/>
            </w:tblGrid>
            <w:tr w14:paraId="42E4D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0" w:hRule="atLeast"/>
                <w:jc w:val="center"/>
              </w:trPr>
              <w:tc>
                <w:tcPr>
                  <w:tcW w:w="243" w:type="pct"/>
                  <w:vAlign w:val="center"/>
                </w:tcPr>
                <w:p w14:paraId="6975DE65">
                  <w:pPr>
                    <w:topLinePunct/>
                    <w:adjustRightInd w:val="0"/>
                    <w:contextualSpacing/>
                    <w:jc w:val="center"/>
                    <w:rPr>
                      <w:kern w:val="0"/>
                      <w:szCs w:val="21"/>
                    </w:rPr>
                  </w:pPr>
                  <w:r>
                    <w:rPr>
                      <w:kern w:val="0"/>
                      <w:szCs w:val="21"/>
                    </w:rPr>
                    <w:t>序号</w:t>
                  </w:r>
                </w:p>
              </w:tc>
              <w:tc>
                <w:tcPr>
                  <w:tcW w:w="269" w:type="pct"/>
                  <w:vAlign w:val="center"/>
                </w:tcPr>
                <w:p w14:paraId="5D60234F">
                  <w:pPr>
                    <w:topLinePunct/>
                    <w:adjustRightInd w:val="0"/>
                    <w:contextualSpacing/>
                    <w:jc w:val="center"/>
                    <w:rPr>
                      <w:kern w:val="0"/>
                      <w:szCs w:val="21"/>
                    </w:rPr>
                  </w:pPr>
                  <w:r>
                    <w:rPr>
                      <w:kern w:val="0"/>
                      <w:szCs w:val="21"/>
                    </w:rPr>
                    <w:t>危险废物名称</w:t>
                  </w:r>
                </w:p>
              </w:tc>
              <w:tc>
                <w:tcPr>
                  <w:tcW w:w="443" w:type="pct"/>
                  <w:vAlign w:val="center"/>
                </w:tcPr>
                <w:p w14:paraId="49694270">
                  <w:pPr>
                    <w:topLinePunct/>
                    <w:adjustRightInd w:val="0"/>
                    <w:contextualSpacing/>
                    <w:jc w:val="center"/>
                    <w:rPr>
                      <w:kern w:val="0"/>
                      <w:szCs w:val="21"/>
                    </w:rPr>
                  </w:pPr>
                  <w:r>
                    <w:rPr>
                      <w:kern w:val="0"/>
                      <w:szCs w:val="21"/>
                    </w:rPr>
                    <w:t>危险废物类别</w:t>
                  </w:r>
                </w:p>
              </w:tc>
              <w:tc>
                <w:tcPr>
                  <w:tcW w:w="682" w:type="pct"/>
                  <w:vAlign w:val="center"/>
                </w:tcPr>
                <w:p w14:paraId="5CCF002A">
                  <w:pPr>
                    <w:topLinePunct/>
                    <w:adjustRightInd w:val="0"/>
                    <w:contextualSpacing/>
                    <w:jc w:val="center"/>
                    <w:rPr>
                      <w:kern w:val="0"/>
                      <w:szCs w:val="21"/>
                    </w:rPr>
                  </w:pPr>
                  <w:r>
                    <w:rPr>
                      <w:kern w:val="0"/>
                      <w:szCs w:val="21"/>
                    </w:rPr>
                    <w:t>危险废物代码</w:t>
                  </w:r>
                </w:p>
              </w:tc>
              <w:tc>
                <w:tcPr>
                  <w:tcW w:w="682" w:type="pct"/>
                  <w:vAlign w:val="center"/>
                </w:tcPr>
                <w:p w14:paraId="167C8410">
                  <w:pPr>
                    <w:topLinePunct/>
                    <w:adjustRightInd w:val="0"/>
                    <w:contextualSpacing/>
                    <w:jc w:val="center"/>
                    <w:rPr>
                      <w:kern w:val="0"/>
                      <w:szCs w:val="21"/>
                    </w:rPr>
                  </w:pPr>
                  <w:r>
                    <w:rPr>
                      <w:kern w:val="0"/>
                      <w:szCs w:val="21"/>
                    </w:rPr>
                    <w:t>产生量（吨/年）</w:t>
                  </w:r>
                </w:p>
              </w:tc>
              <w:tc>
                <w:tcPr>
                  <w:tcW w:w="449" w:type="pct"/>
                  <w:vAlign w:val="center"/>
                </w:tcPr>
                <w:p w14:paraId="174A11F3">
                  <w:pPr>
                    <w:topLinePunct/>
                    <w:adjustRightInd w:val="0"/>
                    <w:contextualSpacing/>
                    <w:jc w:val="center"/>
                    <w:rPr>
                      <w:kern w:val="0"/>
                      <w:szCs w:val="21"/>
                    </w:rPr>
                  </w:pPr>
                  <w:r>
                    <w:rPr>
                      <w:kern w:val="0"/>
                      <w:szCs w:val="21"/>
                    </w:rPr>
                    <w:t>产生工序及装置</w:t>
                  </w:r>
                </w:p>
              </w:tc>
              <w:tc>
                <w:tcPr>
                  <w:tcW w:w="243" w:type="pct"/>
                  <w:vAlign w:val="center"/>
                </w:tcPr>
                <w:p w14:paraId="7530D7AE">
                  <w:pPr>
                    <w:topLinePunct/>
                    <w:adjustRightInd w:val="0"/>
                    <w:contextualSpacing/>
                    <w:jc w:val="center"/>
                    <w:rPr>
                      <w:kern w:val="0"/>
                      <w:szCs w:val="21"/>
                    </w:rPr>
                  </w:pPr>
                  <w:r>
                    <w:rPr>
                      <w:kern w:val="0"/>
                      <w:szCs w:val="21"/>
                    </w:rPr>
                    <w:t>形态</w:t>
                  </w:r>
                </w:p>
              </w:tc>
              <w:tc>
                <w:tcPr>
                  <w:tcW w:w="304" w:type="pct"/>
                  <w:vAlign w:val="center"/>
                </w:tcPr>
                <w:p w14:paraId="1C23FAA3">
                  <w:pPr>
                    <w:topLinePunct/>
                    <w:adjustRightInd w:val="0"/>
                    <w:contextualSpacing/>
                    <w:jc w:val="center"/>
                    <w:rPr>
                      <w:kern w:val="0"/>
                      <w:szCs w:val="21"/>
                    </w:rPr>
                  </w:pPr>
                  <w:r>
                    <w:rPr>
                      <w:kern w:val="0"/>
                      <w:szCs w:val="21"/>
                    </w:rPr>
                    <w:t>主要成分</w:t>
                  </w:r>
                </w:p>
              </w:tc>
              <w:tc>
                <w:tcPr>
                  <w:tcW w:w="462" w:type="pct"/>
                  <w:vAlign w:val="center"/>
                </w:tcPr>
                <w:p w14:paraId="3123EB90">
                  <w:pPr>
                    <w:topLinePunct/>
                    <w:adjustRightInd w:val="0"/>
                    <w:contextualSpacing/>
                    <w:jc w:val="center"/>
                    <w:rPr>
                      <w:kern w:val="0"/>
                      <w:szCs w:val="21"/>
                    </w:rPr>
                  </w:pPr>
                  <w:r>
                    <w:rPr>
                      <w:kern w:val="0"/>
                      <w:szCs w:val="21"/>
                    </w:rPr>
                    <w:t>有害成分</w:t>
                  </w:r>
                </w:p>
              </w:tc>
              <w:tc>
                <w:tcPr>
                  <w:tcW w:w="543" w:type="pct"/>
                  <w:vAlign w:val="center"/>
                </w:tcPr>
                <w:p w14:paraId="527B4BCB">
                  <w:pPr>
                    <w:topLinePunct/>
                    <w:adjustRightInd w:val="0"/>
                    <w:contextualSpacing/>
                    <w:jc w:val="center"/>
                    <w:rPr>
                      <w:kern w:val="0"/>
                      <w:szCs w:val="21"/>
                    </w:rPr>
                  </w:pPr>
                  <w:r>
                    <w:rPr>
                      <w:kern w:val="0"/>
                      <w:szCs w:val="21"/>
                    </w:rPr>
                    <w:t>产废周期</w:t>
                  </w:r>
                </w:p>
              </w:tc>
              <w:tc>
                <w:tcPr>
                  <w:tcW w:w="317" w:type="pct"/>
                  <w:vAlign w:val="center"/>
                </w:tcPr>
                <w:p w14:paraId="083C3FB4">
                  <w:pPr>
                    <w:topLinePunct/>
                    <w:adjustRightInd w:val="0"/>
                    <w:contextualSpacing/>
                    <w:jc w:val="center"/>
                    <w:rPr>
                      <w:kern w:val="0"/>
                      <w:szCs w:val="21"/>
                    </w:rPr>
                  </w:pPr>
                  <w:r>
                    <w:rPr>
                      <w:kern w:val="0"/>
                      <w:szCs w:val="21"/>
                    </w:rPr>
                    <w:t>危险</w:t>
                  </w:r>
                </w:p>
                <w:p w14:paraId="18BF5366">
                  <w:pPr>
                    <w:topLinePunct/>
                    <w:adjustRightInd w:val="0"/>
                    <w:contextualSpacing/>
                    <w:jc w:val="center"/>
                    <w:rPr>
                      <w:kern w:val="0"/>
                      <w:szCs w:val="21"/>
                    </w:rPr>
                  </w:pPr>
                  <w:r>
                    <w:rPr>
                      <w:kern w:val="0"/>
                      <w:szCs w:val="21"/>
                    </w:rPr>
                    <w:t>特性</w:t>
                  </w:r>
                </w:p>
              </w:tc>
              <w:tc>
                <w:tcPr>
                  <w:tcW w:w="363" w:type="pct"/>
                  <w:vAlign w:val="center"/>
                </w:tcPr>
                <w:p w14:paraId="226541EA">
                  <w:pPr>
                    <w:topLinePunct/>
                    <w:adjustRightInd w:val="0"/>
                    <w:contextualSpacing/>
                    <w:jc w:val="center"/>
                    <w:rPr>
                      <w:kern w:val="0"/>
                      <w:szCs w:val="21"/>
                    </w:rPr>
                  </w:pPr>
                  <w:r>
                    <w:rPr>
                      <w:kern w:val="0"/>
                      <w:szCs w:val="21"/>
                    </w:rPr>
                    <w:t>污染防治措施</w:t>
                  </w:r>
                </w:p>
              </w:tc>
            </w:tr>
            <w:tr w14:paraId="3D04C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8" w:type="pct"/>
                  <w:vAlign w:val="center"/>
                </w:tcPr>
                <w:p w14:paraId="5EDA47B2">
                  <w:pPr>
                    <w:topLinePunct/>
                    <w:adjustRightInd w:val="0"/>
                    <w:contextualSpacing/>
                    <w:jc w:val="center"/>
                    <w:rPr>
                      <w:kern w:val="0"/>
                      <w:szCs w:val="21"/>
                    </w:rPr>
                  </w:pPr>
                  <w:r>
                    <w:rPr>
                      <w:kern w:val="0"/>
                      <w:szCs w:val="21"/>
                    </w:rPr>
                    <w:t>1</w:t>
                  </w:r>
                </w:p>
              </w:tc>
              <w:tc>
                <w:tcPr>
                  <w:tcW w:w="421" w:type="pct"/>
                  <w:vAlign w:val="center"/>
                </w:tcPr>
                <w:p w14:paraId="44E6347E">
                  <w:pPr>
                    <w:adjustRightInd w:val="0"/>
                    <w:snapToGrid w:val="0"/>
                    <w:spacing w:line="240" w:lineRule="exact"/>
                    <w:jc w:val="center"/>
                    <w:rPr>
                      <w:szCs w:val="21"/>
                    </w:rPr>
                  </w:pPr>
                  <w:r>
                    <w:rPr>
                      <w:szCs w:val="21"/>
                    </w:rPr>
                    <w:t>废润滑油</w:t>
                  </w:r>
                </w:p>
              </w:tc>
              <w:tc>
                <w:tcPr>
                  <w:tcW w:w="485" w:type="pct"/>
                  <w:vAlign w:val="center"/>
                </w:tcPr>
                <w:p w14:paraId="42430034">
                  <w:pPr>
                    <w:topLinePunct/>
                    <w:adjustRightInd w:val="0"/>
                    <w:contextualSpacing/>
                    <w:jc w:val="center"/>
                    <w:rPr>
                      <w:kern w:val="0"/>
                      <w:szCs w:val="21"/>
                    </w:rPr>
                  </w:pPr>
                  <w:r>
                    <w:rPr>
                      <w:kern w:val="0"/>
                      <w:szCs w:val="21"/>
                    </w:rPr>
                    <w:t>HW08</w:t>
                  </w:r>
                </w:p>
              </w:tc>
              <w:tc>
                <w:tcPr>
                  <w:tcW w:w="747" w:type="pct"/>
                  <w:vAlign w:val="center"/>
                </w:tcPr>
                <w:p w14:paraId="5F758104">
                  <w:pPr>
                    <w:topLinePunct/>
                    <w:adjustRightInd w:val="0"/>
                    <w:contextualSpacing/>
                    <w:jc w:val="center"/>
                    <w:rPr>
                      <w:szCs w:val="21"/>
                    </w:rPr>
                  </w:pPr>
                  <w:r>
                    <w:rPr>
                      <w:szCs w:val="21"/>
                    </w:rPr>
                    <w:t>900-214-08</w:t>
                  </w:r>
                </w:p>
              </w:tc>
              <w:tc>
                <w:tcPr>
                  <w:tcW w:w="449" w:type="pct"/>
                  <w:vAlign w:val="center"/>
                </w:tcPr>
                <w:p w14:paraId="2F2506BF">
                  <w:pPr>
                    <w:adjustRightInd w:val="0"/>
                    <w:contextualSpacing/>
                    <w:jc w:val="center"/>
                    <w:rPr>
                      <w:szCs w:val="21"/>
                    </w:rPr>
                  </w:pPr>
                  <w:r>
                    <w:rPr>
                      <w:szCs w:val="21"/>
                    </w:rPr>
                    <w:t>0.</w:t>
                  </w:r>
                  <w:r>
                    <w:rPr>
                      <w:rFonts w:hint="eastAsia"/>
                      <w:szCs w:val="21"/>
                    </w:rPr>
                    <w:t>4</w:t>
                  </w:r>
                </w:p>
              </w:tc>
              <w:tc>
                <w:tcPr>
                  <w:tcW w:w="379" w:type="pct"/>
                  <w:vAlign w:val="center"/>
                </w:tcPr>
                <w:p w14:paraId="2C104A0D">
                  <w:pPr>
                    <w:adjustRightInd w:val="0"/>
                    <w:contextualSpacing/>
                    <w:jc w:val="center"/>
                  </w:pPr>
                  <w:r>
                    <w:t>设备维护</w:t>
                  </w:r>
                </w:p>
              </w:tc>
              <w:tc>
                <w:tcPr>
                  <w:tcW w:w="280" w:type="pct"/>
                  <w:vAlign w:val="center"/>
                </w:tcPr>
                <w:p w14:paraId="1087D840">
                  <w:pPr>
                    <w:topLinePunct/>
                    <w:adjustRightInd w:val="0"/>
                    <w:contextualSpacing/>
                    <w:jc w:val="center"/>
                    <w:rPr>
                      <w:kern w:val="0"/>
                      <w:szCs w:val="21"/>
                    </w:rPr>
                  </w:pPr>
                  <w:r>
                    <w:rPr>
                      <w:kern w:val="0"/>
                      <w:szCs w:val="21"/>
                    </w:rPr>
                    <w:t>液态</w:t>
                  </w:r>
                </w:p>
              </w:tc>
              <w:tc>
                <w:tcPr>
                  <w:tcW w:w="441" w:type="pct"/>
                  <w:vAlign w:val="center"/>
                </w:tcPr>
                <w:p w14:paraId="1135CC75">
                  <w:pPr>
                    <w:adjustRightInd w:val="0"/>
                    <w:contextualSpacing/>
                    <w:jc w:val="center"/>
                    <w:rPr>
                      <w:szCs w:val="21"/>
                    </w:rPr>
                  </w:pPr>
                  <w:r>
                    <w:rPr>
                      <w:szCs w:val="21"/>
                    </w:rPr>
                    <w:t>矿物油</w:t>
                  </w:r>
                </w:p>
              </w:tc>
              <w:tc>
                <w:tcPr>
                  <w:tcW w:w="556" w:type="pct"/>
                  <w:vAlign w:val="center"/>
                </w:tcPr>
                <w:p w14:paraId="32CDCB23">
                  <w:pPr>
                    <w:topLinePunct/>
                    <w:adjustRightInd w:val="0"/>
                    <w:contextualSpacing/>
                    <w:jc w:val="center"/>
                  </w:pPr>
                  <w:r>
                    <w:rPr>
                      <w:szCs w:val="21"/>
                    </w:rPr>
                    <w:t>矿物油</w:t>
                  </w:r>
                </w:p>
              </w:tc>
              <w:tc>
                <w:tcPr>
                  <w:tcW w:w="290" w:type="pct"/>
                  <w:vAlign w:val="center"/>
                </w:tcPr>
                <w:p w14:paraId="3E27D962">
                  <w:pPr>
                    <w:topLinePunct/>
                    <w:adjustRightInd w:val="0"/>
                    <w:contextualSpacing/>
                    <w:jc w:val="center"/>
                    <w:rPr>
                      <w:kern w:val="0"/>
                      <w:szCs w:val="21"/>
                    </w:rPr>
                  </w:pPr>
                  <w:r>
                    <w:rPr>
                      <w:kern w:val="0"/>
                      <w:szCs w:val="21"/>
                    </w:rPr>
                    <w:t>1</w:t>
                  </w:r>
                  <w:r>
                    <w:rPr>
                      <w:rFonts w:hint="eastAsia"/>
                      <w:kern w:val="0"/>
                      <w:szCs w:val="21"/>
                    </w:rPr>
                    <w:t>a</w:t>
                  </w:r>
                </w:p>
              </w:tc>
              <w:tc>
                <w:tcPr>
                  <w:tcW w:w="337" w:type="pct"/>
                  <w:vAlign w:val="center"/>
                </w:tcPr>
                <w:p w14:paraId="72CB8E55">
                  <w:pPr>
                    <w:topLinePunct/>
                    <w:adjustRightInd w:val="0"/>
                    <w:contextualSpacing/>
                    <w:jc w:val="center"/>
                    <w:rPr>
                      <w:kern w:val="0"/>
                      <w:szCs w:val="21"/>
                    </w:rPr>
                  </w:pPr>
                  <w:r>
                    <w:rPr>
                      <w:kern w:val="0"/>
                      <w:szCs w:val="21"/>
                    </w:rPr>
                    <w:t>T，I</w:t>
                  </w:r>
                </w:p>
              </w:tc>
              <w:tc>
                <w:tcPr>
                  <w:tcW w:w="367" w:type="pct"/>
                  <w:vMerge w:val="restart"/>
                  <w:vAlign w:val="center"/>
                </w:tcPr>
                <w:p w14:paraId="14F61C73">
                  <w:pPr>
                    <w:topLinePunct/>
                    <w:adjustRightInd w:val="0"/>
                    <w:snapToGrid w:val="0"/>
                    <w:jc w:val="center"/>
                    <w:rPr>
                      <w:kern w:val="0"/>
                      <w:szCs w:val="21"/>
                    </w:rPr>
                  </w:pPr>
                  <w:bookmarkStart w:id="221" w:name="OLE_LINK43"/>
                  <w:bookmarkStart w:id="222" w:name="OLE_LINK44"/>
                  <w:r>
                    <w:rPr>
                      <w:kern w:val="0"/>
                      <w:szCs w:val="21"/>
                    </w:rPr>
                    <w:t>暂存于危废暂存间，交由危废处理单位收集处置</w:t>
                  </w:r>
                  <w:bookmarkEnd w:id="221"/>
                  <w:bookmarkEnd w:id="222"/>
                </w:p>
              </w:tc>
            </w:tr>
            <w:tr w14:paraId="56ACB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3" w:type="pct"/>
                  <w:vAlign w:val="center"/>
                </w:tcPr>
                <w:p w14:paraId="233BD524">
                  <w:pPr>
                    <w:topLinePunct/>
                    <w:adjustRightInd w:val="0"/>
                    <w:contextualSpacing/>
                    <w:jc w:val="center"/>
                    <w:rPr>
                      <w:kern w:val="0"/>
                      <w:szCs w:val="21"/>
                    </w:rPr>
                  </w:pPr>
                  <w:r>
                    <w:rPr>
                      <w:kern w:val="0"/>
                      <w:szCs w:val="21"/>
                    </w:rPr>
                    <w:t>2</w:t>
                  </w:r>
                </w:p>
              </w:tc>
              <w:tc>
                <w:tcPr>
                  <w:tcW w:w="269" w:type="pct"/>
                  <w:vAlign w:val="center"/>
                </w:tcPr>
                <w:p w14:paraId="67D7974B">
                  <w:pPr>
                    <w:adjustRightInd w:val="0"/>
                    <w:snapToGrid w:val="0"/>
                    <w:spacing w:line="240" w:lineRule="exact"/>
                    <w:jc w:val="center"/>
                    <w:rPr>
                      <w:szCs w:val="21"/>
                    </w:rPr>
                  </w:pPr>
                  <w:r>
                    <w:rPr>
                      <w:szCs w:val="21"/>
                    </w:rPr>
                    <w:t>废润滑油桶</w:t>
                  </w:r>
                </w:p>
              </w:tc>
              <w:tc>
                <w:tcPr>
                  <w:tcW w:w="443" w:type="pct"/>
                  <w:vAlign w:val="center"/>
                </w:tcPr>
                <w:p w14:paraId="00E4FC53">
                  <w:pPr>
                    <w:topLinePunct/>
                    <w:adjustRightInd w:val="0"/>
                    <w:contextualSpacing/>
                    <w:jc w:val="center"/>
                    <w:rPr>
                      <w:kern w:val="0"/>
                      <w:szCs w:val="21"/>
                    </w:rPr>
                  </w:pPr>
                  <w:r>
                    <w:rPr>
                      <w:kern w:val="0"/>
                      <w:szCs w:val="21"/>
                    </w:rPr>
                    <w:t>HW08</w:t>
                  </w:r>
                </w:p>
              </w:tc>
              <w:tc>
                <w:tcPr>
                  <w:tcW w:w="682" w:type="pct"/>
                  <w:vAlign w:val="center"/>
                </w:tcPr>
                <w:p w14:paraId="44B98206">
                  <w:pPr>
                    <w:topLinePunct/>
                    <w:adjustRightInd w:val="0"/>
                    <w:contextualSpacing/>
                    <w:jc w:val="center"/>
                    <w:rPr>
                      <w:szCs w:val="21"/>
                    </w:rPr>
                  </w:pPr>
                  <w:r>
                    <w:rPr>
                      <w:szCs w:val="21"/>
                    </w:rPr>
                    <w:t>900-249-08</w:t>
                  </w:r>
                </w:p>
              </w:tc>
              <w:tc>
                <w:tcPr>
                  <w:tcW w:w="682" w:type="pct"/>
                  <w:vAlign w:val="center"/>
                </w:tcPr>
                <w:p w14:paraId="69155DEF">
                  <w:pPr>
                    <w:adjustRightInd w:val="0"/>
                    <w:contextualSpacing/>
                    <w:jc w:val="center"/>
                    <w:rPr>
                      <w:szCs w:val="21"/>
                    </w:rPr>
                  </w:pPr>
                  <w:r>
                    <w:rPr>
                      <w:szCs w:val="21"/>
                    </w:rPr>
                    <w:t>0.0</w:t>
                  </w:r>
                  <w:r>
                    <w:rPr>
                      <w:rFonts w:hint="eastAsia"/>
                      <w:szCs w:val="21"/>
                    </w:rPr>
                    <w:t>13</w:t>
                  </w:r>
                </w:p>
              </w:tc>
              <w:tc>
                <w:tcPr>
                  <w:tcW w:w="449" w:type="pct"/>
                  <w:vAlign w:val="center"/>
                </w:tcPr>
                <w:p w14:paraId="36D11022">
                  <w:pPr>
                    <w:adjustRightInd w:val="0"/>
                    <w:contextualSpacing/>
                    <w:jc w:val="center"/>
                  </w:pPr>
                  <w:r>
                    <w:t>设备维护</w:t>
                  </w:r>
                </w:p>
              </w:tc>
              <w:tc>
                <w:tcPr>
                  <w:tcW w:w="243" w:type="pct"/>
                  <w:vAlign w:val="center"/>
                </w:tcPr>
                <w:p w14:paraId="7F8DC2A9">
                  <w:pPr>
                    <w:topLinePunct/>
                    <w:adjustRightInd w:val="0"/>
                    <w:contextualSpacing/>
                    <w:jc w:val="center"/>
                    <w:rPr>
                      <w:kern w:val="0"/>
                      <w:szCs w:val="21"/>
                    </w:rPr>
                  </w:pPr>
                  <w:r>
                    <w:rPr>
                      <w:kern w:val="0"/>
                      <w:szCs w:val="21"/>
                    </w:rPr>
                    <w:t>固体</w:t>
                  </w:r>
                </w:p>
              </w:tc>
              <w:tc>
                <w:tcPr>
                  <w:tcW w:w="304" w:type="pct"/>
                  <w:vAlign w:val="center"/>
                </w:tcPr>
                <w:p w14:paraId="7AB96160">
                  <w:pPr>
                    <w:adjustRightInd w:val="0"/>
                    <w:contextualSpacing/>
                    <w:jc w:val="center"/>
                    <w:rPr>
                      <w:szCs w:val="21"/>
                    </w:rPr>
                  </w:pPr>
                  <w:r>
                    <w:rPr>
                      <w:szCs w:val="21"/>
                    </w:rPr>
                    <w:t>矿物油</w:t>
                  </w:r>
                </w:p>
              </w:tc>
              <w:tc>
                <w:tcPr>
                  <w:tcW w:w="462" w:type="pct"/>
                  <w:vAlign w:val="center"/>
                </w:tcPr>
                <w:p w14:paraId="4D56E6B2">
                  <w:pPr>
                    <w:topLinePunct/>
                    <w:adjustRightInd w:val="0"/>
                    <w:contextualSpacing/>
                    <w:jc w:val="center"/>
                  </w:pPr>
                  <w:r>
                    <w:rPr>
                      <w:szCs w:val="21"/>
                    </w:rPr>
                    <w:t>矿物油</w:t>
                  </w:r>
                </w:p>
              </w:tc>
              <w:tc>
                <w:tcPr>
                  <w:tcW w:w="543" w:type="pct"/>
                  <w:vAlign w:val="center"/>
                </w:tcPr>
                <w:p w14:paraId="31C42F6F">
                  <w:pPr>
                    <w:topLinePunct/>
                    <w:adjustRightInd w:val="0"/>
                    <w:contextualSpacing/>
                    <w:jc w:val="center"/>
                    <w:rPr>
                      <w:kern w:val="0"/>
                      <w:szCs w:val="21"/>
                    </w:rPr>
                  </w:pPr>
                  <w:r>
                    <w:rPr>
                      <w:kern w:val="0"/>
                      <w:szCs w:val="21"/>
                    </w:rPr>
                    <w:t>1</w:t>
                  </w:r>
                  <w:r>
                    <w:rPr>
                      <w:rFonts w:hint="eastAsia"/>
                      <w:kern w:val="0"/>
                      <w:szCs w:val="21"/>
                    </w:rPr>
                    <w:t>a</w:t>
                  </w:r>
                </w:p>
              </w:tc>
              <w:tc>
                <w:tcPr>
                  <w:tcW w:w="317" w:type="pct"/>
                  <w:vAlign w:val="center"/>
                </w:tcPr>
                <w:p w14:paraId="2CEDDADA">
                  <w:pPr>
                    <w:topLinePunct/>
                    <w:adjustRightInd w:val="0"/>
                    <w:contextualSpacing/>
                    <w:jc w:val="center"/>
                    <w:rPr>
                      <w:kern w:val="0"/>
                      <w:szCs w:val="21"/>
                    </w:rPr>
                  </w:pPr>
                  <w:r>
                    <w:rPr>
                      <w:kern w:val="0"/>
                      <w:szCs w:val="21"/>
                    </w:rPr>
                    <w:t>T，I</w:t>
                  </w:r>
                </w:p>
              </w:tc>
              <w:tc>
                <w:tcPr>
                  <w:tcW w:w="363" w:type="pct"/>
                  <w:vMerge w:val="continue"/>
                  <w:vAlign w:val="center"/>
                </w:tcPr>
                <w:p w14:paraId="10A39BDE">
                  <w:pPr>
                    <w:topLinePunct/>
                    <w:adjustRightInd w:val="0"/>
                    <w:snapToGrid w:val="0"/>
                    <w:jc w:val="center"/>
                    <w:rPr>
                      <w:kern w:val="0"/>
                      <w:szCs w:val="21"/>
                    </w:rPr>
                  </w:pPr>
                </w:p>
              </w:tc>
            </w:tr>
            <w:tr w14:paraId="6B453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43" w:type="pct"/>
                  <w:vAlign w:val="center"/>
                </w:tcPr>
                <w:p w14:paraId="4A45A197">
                  <w:pPr>
                    <w:topLinePunct/>
                    <w:adjustRightInd w:val="0"/>
                    <w:contextualSpacing/>
                    <w:jc w:val="center"/>
                    <w:rPr>
                      <w:kern w:val="0"/>
                      <w:szCs w:val="21"/>
                    </w:rPr>
                  </w:pPr>
                  <w:r>
                    <w:rPr>
                      <w:kern w:val="0"/>
                      <w:szCs w:val="21"/>
                    </w:rPr>
                    <w:t>3</w:t>
                  </w:r>
                </w:p>
              </w:tc>
              <w:tc>
                <w:tcPr>
                  <w:tcW w:w="269" w:type="pct"/>
                  <w:vAlign w:val="center"/>
                </w:tcPr>
                <w:p w14:paraId="376505E2">
                  <w:pPr>
                    <w:adjustRightInd w:val="0"/>
                    <w:snapToGrid w:val="0"/>
                    <w:spacing w:line="240" w:lineRule="exact"/>
                    <w:jc w:val="center"/>
                    <w:rPr>
                      <w:szCs w:val="21"/>
                    </w:rPr>
                  </w:pPr>
                  <w:r>
                    <w:rPr>
                      <w:szCs w:val="21"/>
                    </w:rPr>
                    <w:t>废液压油</w:t>
                  </w:r>
                </w:p>
              </w:tc>
              <w:tc>
                <w:tcPr>
                  <w:tcW w:w="443" w:type="pct"/>
                  <w:vAlign w:val="center"/>
                </w:tcPr>
                <w:p w14:paraId="62B4059F">
                  <w:pPr>
                    <w:topLinePunct/>
                    <w:adjustRightInd w:val="0"/>
                    <w:contextualSpacing/>
                    <w:jc w:val="center"/>
                    <w:rPr>
                      <w:kern w:val="0"/>
                      <w:szCs w:val="21"/>
                    </w:rPr>
                  </w:pPr>
                  <w:r>
                    <w:rPr>
                      <w:kern w:val="0"/>
                      <w:szCs w:val="21"/>
                    </w:rPr>
                    <w:t>HW08</w:t>
                  </w:r>
                </w:p>
              </w:tc>
              <w:tc>
                <w:tcPr>
                  <w:tcW w:w="682" w:type="pct"/>
                  <w:vAlign w:val="center"/>
                </w:tcPr>
                <w:p w14:paraId="487F25BE">
                  <w:pPr>
                    <w:topLinePunct/>
                    <w:adjustRightInd w:val="0"/>
                    <w:contextualSpacing/>
                    <w:jc w:val="center"/>
                    <w:rPr>
                      <w:szCs w:val="21"/>
                    </w:rPr>
                  </w:pPr>
                  <w:bookmarkStart w:id="223" w:name="OLE_LINK39"/>
                  <w:bookmarkStart w:id="224" w:name="OLE_LINK40"/>
                  <w:r>
                    <w:rPr>
                      <w:szCs w:val="21"/>
                    </w:rPr>
                    <w:t>900-218-08</w:t>
                  </w:r>
                  <w:bookmarkEnd w:id="223"/>
                  <w:bookmarkEnd w:id="224"/>
                </w:p>
              </w:tc>
              <w:tc>
                <w:tcPr>
                  <w:tcW w:w="682" w:type="pct"/>
                  <w:vAlign w:val="center"/>
                </w:tcPr>
                <w:p w14:paraId="3BEFA50D">
                  <w:pPr>
                    <w:adjustRightInd w:val="0"/>
                    <w:contextualSpacing/>
                    <w:jc w:val="center"/>
                    <w:rPr>
                      <w:szCs w:val="21"/>
                    </w:rPr>
                  </w:pPr>
                  <w:r>
                    <w:rPr>
                      <w:szCs w:val="21"/>
                    </w:rPr>
                    <w:t>0.</w:t>
                  </w:r>
                  <w:r>
                    <w:rPr>
                      <w:rFonts w:hint="eastAsia"/>
                      <w:szCs w:val="21"/>
                    </w:rPr>
                    <w:t>4</w:t>
                  </w:r>
                </w:p>
              </w:tc>
              <w:tc>
                <w:tcPr>
                  <w:tcW w:w="449" w:type="pct"/>
                  <w:vAlign w:val="center"/>
                </w:tcPr>
                <w:p w14:paraId="442477BE">
                  <w:pPr>
                    <w:adjustRightInd w:val="0"/>
                    <w:contextualSpacing/>
                    <w:jc w:val="center"/>
                  </w:pPr>
                  <w:r>
                    <w:t>设备维护</w:t>
                  </w:r>
                </w:p>
              </w:tc>
              <w:tc>
                <w:tcPr>
                  <w:tcW w:w="243" w:type="pct"/>
                  <w:vAlign w:val="center"/>
                </w:tcPr>
                <w:p w14:paraId="654D463C">
                  <w:pPr>
                    <w:topLinePunct/>
                    <w:adjustRightInd w:val="0"/>
                    <w:contextualSpacing/>
                    <w:jc w:val="center"/>
                    <w:rPr>
                      <w:kern w:val="0"/>
                      <w:szCs w:val="21"/>
                    </w:rPr>
                  </w:pPr>
                  <w:r>
                    <w:rPr>
                      <w:kern w:val="0"/>
                      <w:szCs w:val="21"/>
                    </w:rPr>
                    <w:t>液态</w:t>
                  </w:r>
                </w:p>
              </w:tc>
              <w:tc>
                <w:tcPr>
                  <w:tcW w:w="304" w:type="pct"/>
                  <w:vAlign w:val="center"/>
                </w:tcPr>
                <w:p w14:paraId="1C186B7B">
                  <w:pPr>
                    <w:adjustRightInd w:val="0"/>
                    <w:contextualSpacing/>
                    <w:jc w:val="center"/>
                    <w:rPr>
                      <w:szCs w:val="21"/>
                    </w:rPr>
                  </w:pPr>
                  <w:r>
                    <w:rPr>
                      <w:szCs w:val="21"/>
                    </w:rPr>
                    <w:t>矿物油</w:t>
                  </w:r>
                </w:p>
              </w:tc>
              <w:tc>
                <w:tcPr>
                  <w:tcW w:w="462" w:type="pct"/>
                  <w:vAlign w:val="center"/>
                </w:tcPr>
                <w:p w14:paraId="1C264529">
                  <w:pPr>
                    <w:topLinePunct/>
                    <w:adjustRightInd w:val="0"/>
                    <w:contextualSpacing/>
                    <w:jc w:val="center"/>
                  </w:pPr>
                  <w:r>
                    <w:rPr>
                      <w:szCs w:val="21"/>
                    </w:rPr>
                    <w:t>矿物油</w:t>
                  </w:r>
                </w:p>
              </w:tc>
              <w:tc>
                <w:tcPr>
                  <w:tcW w:w="543" w:type="pct"/>
                  <w:vAlign w:val="center"/>
                </w:tcPr>
                <w:p w14:paraId="79703CF2">
                  <w:pPr>
                    <w:topLinePunct/>
                    <w:adjustRightInd w:val="0"/>
                    <w:contextualSpacing/>
                    <w:jc w:val="center"/>
                    <w:rPr>
                      <w:kern w:val="0"/>
                      <w:szCs w:val="21"/>
                    </w:rPr>
                  </w:pPr>
                  <w:r>
                    <w:rPr>
                      <w:kern w:val="0"/>
                      <w:szCs w:val="21"/>
                    </w:rPr>
                    <w:t>1</w:t>
                  </w:r>
                  <w:r>
                    <w:rPr>
                      <w:rFonts w:hint="eastAsia"/>
                      <w:kern w:val="0"/>
                      <w:szCs w:val="21"/>
                    </w:rPr>
                    <w:t>a</w:t>
                  </w:r>
                </w:p>
              </w:tc>
              <w:tc>
                <w:tcPr>
                  <w:tcW w:w="317" w:type="pct"/>
                  <w:vAlign w:val="center"/>
                </w:tcPr>
                <w:p w14:paraId="248CCB13">
                  <w:pPr>
                    <w:topLinePunct/>
                    <w:adjustRightInd w:val="0"/>
                    <w:contextualSpacing/>
                    <w:jc w:val="center"/>
                    <w:rPr>
                      <w:kern w:val="0"/>
                      <w:szCs w:val="21"/>
                    </w:rPr>
                  </w:pPr>
                  <w:r>
                    <w:rPr>
                      <w:kern w:val="0"/>
                      <w:szCs w:val="21"/>
                    </w:rPr>
                    <w:t>T，I</w:t>
                  </w:r>
                </w:p>
              </w:tc>
              <w:tc>
                <w:tcPr>
                  <w:tcW w:w="363" w:type="pct"/>
                  <w:vMerge w:val="continue"/>
                  <w:vAlign w:val="center"/>
                </w:tcPr>
                <w:p w14:paraId="5F5DDA69">
                  <w:pPr>
                    <w:topLinePunct/>
                    <w:adjustRightInd w:val="0"/>
                    <w:snapToGrid w:val="0"/>
                    <w:jc w:val="center"/>
                    <w:rPr>
                      <w:kern w:val="0"/>
                      <w:szCs w:val="21"/>
                    </w:rPr>
                  </w:pPr>
                </w:p>
              </w:tc>
            </w:tr>
            <w:tr w14:paraId="56BC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0" w:hRule="atLeast"/>
                <w:jc w:val="center"/>
              </w:trPr>
              <w:tc>
                <w:tcPr>
                  <w:tcW w:w="243" w:type="pct"/>
                  <w:vAlign w:val="center"/>
                </w:tcPr>
                <w:p w14:paraId="465D2D45">
                  <w:pPr>
                    <w:topLinePunct/>
                    <w:adjustRightInd w:val="0"/>
                    <w:contextualSpacing/>
                    <w:jc w:val="center"/>
                    <w:rPr>
                      <w:kern w:val="0"/>
                      <w:szCs w:val="21"/>
                    </w:rPr>
                  </w:pPr>
                  <w:r>
                    <w:rPr>
                      <w:kern w:val="0"/>
                      <w:szCs w:val="21"/>
                    </w:rPr>
                    <w:t>4</w:t>
                  </w:r>
                </w:p>
              </w:tc>
              <w:tc>
                <w:tcPr>
                  <w:tcW w:w="269" w:type="pct"/>
                  <w:vAlign w:val="center"/>
                </w:tcPr>
                <w:p w14:paraId="2F4487EB">
                  <w:pPr>
                    <w:adjustRightInd w:val="0"/>
                    <w:snapToGrid w:val="0"/>
                    <w:spacing w:line="240" w:lineRule="exact"/>
                    <w:jc w:val="center"/>
                    <w:rPr>
                      <w:szCs w:val="21"/>
                    </w:rPr>
                  </w:pPr>
                  <w:r>
                    <w:rPr>
                      <w:szCs w:val="21"/>
                    </w:rPr>
                    <w:t>废液压油桶</w:t>
                  </w:r>
                </w:p>
              </w:tc>
              <w:tc>
                <w:tcPr>
                  <w:tcW w:w="443" w:type="pct"/>
                  <w:vAlign w:val="center"/>
                </w:tcPr>
                <w:p w14:paraId="4F276360">
                  <w:pPr>
                    <w:topLinePunct/>
                    <w:adjustRightInd w:val="0"/>
                    <w:contextualSpacing/>
                    <w:jc w:val="center"/>
                    <w:rPr>
                      <w:kern w:val="0"/>
                      <w:szCs w:val="21"/>
                    </w:rPr>
                  </w:pPr>
                  <w:r>
                    <w:rPr>
                      <w:kern w:val="0"/>
                      <w:szCs w:val="21"/>
                    </w:rPr>
                    <w:t>HW08</w:t>
                  </w:r>
                </w:p>
              </w:tc>
              <w:tc>
                <w:tcPr>
                  <w:tcW w:w="682" w:type="pct"/>
                  <w:vAlign w:val="center"/>
                </w:tcPr>
                <w:p w14:paraId="6737FBE8">
                  <w:pPr>
                    <w:topLinePunct/>
                    <w:adjustRightInd w:val="0"/>
                    <w:contextualSpacing/>
                    <w:jc w:val="center"/>
                    <w:rPr>
                      <w:szCs w:val="21"/>
                    </w:rPr>
                  </w:pPr>
                  <w:r>
                    <w:rPr>
                      <w:szCs w:val="21"/>
                    </w:rPr>
                    <w:t>900-249-08</w:t>
                  </w:r>
                </w:p>
              </w:tc>
              <w:tc>
                <w:tcPr>
                  <w:tcW w:w="682" w:type="pct"/>
                  <w:vAlign w:val="center"/>
                </w:tcPr>
                <w:p w14:paraId="60552EF7">
                  <w:pPr>
                    <w:adjustRightInd w:val="0"/>
                    <w:contextualSpacing/>
                    <w:jc w:val="center"/>
                    <w:rPr>
                      <w:szCs w:val="21"/>
                    </w:rPr>
                  </w:pPr>
                  <w:r>
                    <w:rPr>
                      <w:szCs w:val="21"/>
                    </w:rPr>
                    <w:t>0.0</w:t>
                  </w:r>
                  <w:r>
                    <w:rPr>
                      <w:rFonts w:hint="eastAsia"/>
                      <w:szCs w:val="21"/>
                    </w:rPr>
                    <w:t>13</w:t>
                  </w:r>
                </w:p>
              </w:tc>
              <w:tc>
                <w:tcPr>
                  <w:tcW w:w="449" w:type="pct"/>
                  <w:vAlign w:val="center"/>
                </w:tcPr>
                <w:p w14:paraId="0575D4C2">
                  <w:pPr>
                    <w:adjustRightInd w:val="0"/>
                    <w:contextualSpacing/>
                    <w:jc w:val="center"/>
                  </w:pPr>
                  <w:r>
                    <w:t>设备维护</w:t>
                  </w:r>
                </w:p>
              </w:tc>
              <w:tc>
                <w:tcPr>
                  <w:tcW w:w="243" w:type="pct"/>
                  <w:vAlign w:val="center"/>
                </w:tcPr>
                <w:p w14:paraId="3E322E46">
                  <w:pPr>
                    <w:topLinePunct/>
                    <w:adjustRightInd w:val="0"/>
                    <w:contextualSpacing/>
                    <w:jc w:val="center"/>
                    <w:rPr>
                      <w:kern w:val="0"/>
                      <w:szCs w:val="21"/>
                    </w:rPr>
                  </w:pPr>
                  <w:r>
                    <w:rPr>
                      <w:kern w:val="0"/>
                      <w:szCs w:val="21"/>
                    </w:rPr>
                    <w:t>固体</w:t>
                  </w:r>
                </w:p>
              </w:tc>
              <w:tc>
                <w:tcPr>
                  <w:tcW w:w="304" w:type="pct"/>
                  <w:vAlign w:val="center"/>
                </w:tcPr>
                <w:p w14:paraId="500E47AD">
                  <w:pPr>
                    <w:adjustRightInd w:val="0"/>
                    <w:contextualSpacing/>
                    <w:jc w:val="center"/>
                    <w:rPr>
                      <w:szCs w:val="21"/>
                    </w:rPr>
                  </w:pPr>
                  <w:r>
                    <w:rPr>
                      <w:szCs w:val="21"/>
                    </w:rPr>
                    <w:t>矿物油</w:t>
                  </w:r>
                </w:p>
              </w:tc>
              <w:tc>
                <w:tcPr>
                  <w:tcW w:w="462" w:type="pct"/>
                  <w:vAlign w:val="center"/>
                </w:tcPr>
                <w:p w14:paraId="1203E73E">
                  <w:pPr>
                    <w:topLinePunct/>
                    <w:adjustRightInd w:val="0"/>
                    <w:contextualSpacing/>
                    <w:jc w:val="center"/>
                  </w:pPr>
                  <w:r>
                    <w:rPr>
                      <w:szCs w:val="21"/>
                    </w:rPr>
                    <w:t>矿物油</w:t>
                  </w:r>
                </w:p>
              </w:tc>
              <w:tc>
                <w:tcPr>
                  <w:tcW w:w="543" w:type="pct"/>
                  <w:vAlign w:val="center"/>
                </w:tcPr>
                <w:p w14:paraId="1552FB30">
                  <w:pPr>
                    <w:topLinePunct/>
                    <w:adjustRightInd w:val="0"/>
                    <w:contextualSpacing/>
                    <w:jc w:val="center"/>
                    <w:rPr>
                      <w:kern w:val="0"/>
                      <w:szCs w:val="21"/>
                    </w:rPr>
                  </w:pPr>
                  <w:r>
                    <w:rPr>
                      <w:kern w:val="0"/>
                      <w:szCs w:val="21"/>
                    </w:rPr>
                    <w:t>1</w:t>
                  </w:r>
                  <w:r>
                    <w:rPr>
                      <w:rFonts w:hint="eastAsia"/>
                      <w:kern w:val="0"/>
                      <w:szCs w:val="21"/>
                    </w:rPr>
                    <w:t>a</w:t>
                  </w:r>
                </w:p>
              </w:tc>
              <w:tc>
                <w:tcPr>
                  <w:tcW w:w="317" w:type="pct"/>
                  <w:vAlign w:val="center"/>
                </w:tcPr>
                <w:p w14:paraId="0FCB49BB">
                  <w:pPr>
                    <w:topLinePunct/>
                    <w:adjustRightInd w:val="0"/>
                    <w:contextualSpacing/>
                    <w:jc w:val="center"/>
                    <w:rPr>
                      <w:kern w:val="0"/>
                      <w:szCs w:val="21"/>
                    </w:rPr>
                  </w:pPr>
                  <w:r>
                    <w:rPr>
                      <w:kern w:val="0"/>
                      <w:szCs w:val="21"/>
                    </w:rPr>
                    <w:t>T，I</w:t>
                  </w:r>
                </w:p>
              </w:tc>
              <w:tc>
                <w:tcPr>
                  <w:tcW w:w="363" w:type="pct"/>
                  <w:vMerge w:val="continue"/>
                  <w:vAlign w:val="center"/>
                </w:tcPr>
                <w:p w14:paraId="4F6CBA0D">
                  <w:pPr>
                    <w:topLinePunct/>
                    <w:adjustRightInd w:val="0"/>
                    <w:snapToGrid w:val="0"/>
                    <w:jc w:val="center"/>
                    <w:rPr>
                      <w:kern w:val="0"/>
                      <w:szCs w:val="21"/>
                    </w:rPr>
                  </w:pPr>
                </w:p>
              </w:tc>
            </w:tr>
            <w:tr w14:paraId="7C5EC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0" w:hRule="atLeast"/>
                <w:jc w:val="center"/>
              </w:trPr>
              <w:tc>
                <w:tcPr>
                  <w:tcW w:w="243" w:type="pct"/>
                  <w:vAlign w:val="center"/>
                </w:tcPr>
                <w:p w14:paraId="32605B15">
                  <w:pPr>
                    <w:topLinePunct/>
                    <w:adjustRightInd w:val="0"/>
                    <w:contextualSpacing/>
                    <w:jc w:val="center"/>
                    <w:rPr>
                      <w:kern w:val="0"/>
                      <w:szCs w:val="21"/>
                    </w:rPr>
                  </w:pPr>
                  <w:r>
                    <w:rPr>
                      <w:rFonts w:hint="eastAsia"/>
                      <w:kern w:val="0"/>
                      <w:szCs w:val="21"/>
                    </w:rPr>
                    <w:t>5</w:t>
                  </w:r>
                </w:p>
              </w:tc>
              <w:tc>
                <w:tcPr>
                  <w:tcW w:w="269" w:type="pct"/>
                  <w:vAlign w:val="center"/>
                </w:tcPr>
                <w:p w14:paraId="73F0D645">
                  <w:pPr>
                    <w:adjustRightInd w:val="0"/>
                    <w:snapToGrid w:val="0"/>
                    <w:spacing w:line="240" w:lineRule="exact"/>
                    <w:jc w:val="center"/>
                    <w:rPr>
                      <w:szCs w:val="21"/>
                    </w:rPr>
                  </w:pPr>
                  <w:r>
                    <w:rPr>
                      <w:szCs w:val="21"/>
                    </w:rPr>
                    <w:t>废活性炭</w:t>
                  </w:r>
                </w:p>
              </w:tc>
              <w:tc>
                <w:tcPr>
                  <w:tcW w:w="776" w:type="dxa"/>
                  <w:vAlign w:val="center"/>
                </w:tcPr>
                <w:p w14:paraId="5D3C6EAB">
                  <w:pPr>
                    <w:adjustRightInd w:val="0"/>
                    <w:contextualSpacing/>
                    <w:jc w:val="center"/>
                  </w:pPr>
                  <w:r>
                    <w:t>HW49</w:t>
                  </w:r>
                </w:p>
              </w:tc>
              <w:tc>
                <w:tcPr>
                  <w:tcW w:w="1196" w:type="dxa"/>
                  <w:vAlign w:val="center"/>
                </w:tcPr>
                <w:p w14:paraId="4AFCC739">
                  <w:pPr>
                    <w:adjustRightInd w:val="0"/>
                    <w:contextualSpacing/>
                    <w:jc w:val="center"/>
                  </w:pPr>
                  <w:r>
                    <w:t>900-039-49</w:t>
                  </w:r>
                </w:p>
              </w:tc>
              <w:tc>
                <w:tcPr>
                  <w:tcW w:w="682" w:type="pct"/>
                  <w:vAlign w:val="center"/>
                </w:tcPr>
                <w:p w14:paraId="555E02CD">
                  <w:pPr>
                    <w:adjustRightInd w:val="0"/>
                    <w:contextualSpacing/>
                    <w:jc w:val="center"/>
                  </w:pPr>
                  <w:r>
                    <w:t>0.344</w:t>
                  </w:r>
                </w:p>
              </w:tc>
              <w:tc>
                <w:tcPr>
                  <w:tcW w:w="683" w:type="dxa"/>
                  <w:vAlign w:val="center"/>
                </w:tcPr>
                <w:p w14:paraId="2013ECAF">
                  <w:pPr>
                    <w:adjustRightInd w:val="0"/>
                    <w:contextualSpacing/>
                    <w:jc w:val="center"/>
                  </w:pPr>
                  <w:r>
                    <w:t>废气处理</w:t>
                  </w:r>
                </w:p>
              </w:tc>
              <w:tc>
                <w:tcPr>
                  <w:tcW w:w="426" w:type="dxa"/>
                  <w:vAlign w:val="center"/>
                </w:tcPr>
                <w:p w14:paraId="75D5405D">
                  <w:pPr>
                    <w:adjustRightInd w:val="0"/>
                    <w:contextualSpacing/>
                    <w:jc w:val="center"/>
                  </w:pPr>
                  <w:r>
                    <w:t>固态</w:t>
                  </w:r>
                </w:p>
              </w:tc>
              <w:tc>
                <w:tcPr>
                  <w:tcW w:w="630" w:type="dxa"/>
                  <w:vAlign w:val="center"/>
                </w:tcPr>
                <w:p w14:paraId="6567522A">
                  <w:pPr>
                    <w:adjustRightInd w:val="0"/>
                    <w:contextualSpacing/>
                    <w:jc w:val="center"/>
                  </w:pPr>
                  <w:r>
                    <w:t>活性炭、VOCs</w:t>
                  </w:r>
                </w:p>
              </w:tc>
              <w:tc>
                <w:tcPr>
                  <w:tcW w:w="870" w:type="dxa"/>
                  <w:vAlign w:val="center"/>
                </w:tcPr>
                <w:p w14:paraId="7994266C">
                  <w:pPr>
                    <w:topLinePunct/>
                    <w:adjustRightInd w:val="0"/>
                    <w:contextualSpacing/>
                    <w:jc w:val="center"/>
                  </w:pPr>
                  <w:r>
                    <w:rPr>
                      <w:szCs w:val="21"/>
                    </w:rPr>
                    <w:t>VOCs、活性炭</w:t>
                  </w:r>
                </w:p>
              </w:tc>
              <w:tc>
                <w:tcPr>
                  <w:tcW w:w="543" w:type="pct"/>
                  <w:vAlign w:val="center"/>
                </w:tcPr>
                <w:p w14:paraId="03D66B02">
                  <w:pPr>
                    <w:topLinePunct/>
                    <w:adjustRightInd w:val="0"/>
                    <w:contextualSpacing/>
                    <w:jc w:val="center"/>
                    <w:rPr>
                      <w:szCs w:val="21"/>
                    </w:rPr>
                  </w:pPr>
                  <w:r>
                    <w:rPr>
                      <w:rFonts w:hint="eastAsia"/>
                      <w:kern w:val="0"/>
                      <w:szCs w:val="21"/>
                    </w:rPr>
                    <w:t>1a</w:t>
                  </w:r>
                </w:p>
              </w:tc>
              <w:tc>
                <w:tcPr>
                  <w:tcW w:w="317" w:type="pct"/>
                  <w:vAlign w:val="center"/>
                </w:tcPr>
                <w:p w14:paraId="4B457E11">
                  <w:pPr>
                    <w:topLinePunct/>
                    <w:adjustRightInd w:val="0"/>
                    <w:contextualSpacing/>
                    <w:jc w:val="center"/>
                    <w:rPr>
                      <w:kern w:val="0"/>
                      <w:szCs w:val="21"/>
                    </w:rPr>
                  </w:pPr>
                  <w:r>
                    <w:rPr>
                      <w:kern w:val="0"/>
                      <w:szCs w:val="21"/>
                    </w:rPr>
                    <w:t>T</w:t>
                  </w:r>
                </w:p>
              </w:tc>
              <w:tc>
                <w:tcPr>
                  <w:tcW w:w="363" w:type="pct"/>
                  <w:vMerge w:val="continue"/>
                  <w:vAlign w:val="center"/>
                </w:tcPr>
                <w:p w14:paraId="60D012B8">
                  <w:pPr>
                    <w:topLinePunct/>
                    <w:adjustRightInd w:val="0"/>
                    <w:snapToGrid w:val="0"/>
                    <w:jc w:val="center"/>
                    <w:rPr>
                      <w:kern w:val="0"/>
                      <w:szCs w:val="21"/>
                    </w:rPr>
                  </w:pPr>
                </w:p>
              </w:tc>
            </w:tr>
          </w:tbl>
          <w:p w14:paraId="41E1C4A1">
            <w:pPr>
              <w:spacing w:line="360" w:lineRule="auto"/>
              <w:ind w:firstLine="482" w:firstLineChars="200"/>
              <w:rPr>
                <w:b/>
                <w:bCs/>
                <w:sz w:val="24"/>
              </w:rPr>
            </w:pPr>
            <w:r>
              <w:rPr>
                <w:rFonts w:hint="eastAsia"/>
                <w:b/>
                <w:bCs/>
                <w:sz w:val="24"/>
              </w:rPr>
              <w:t>环境管理要求：</w:t>
            </w:r>
          </w:p>
          <w:p w14:paraId="3E6E4A44">
            <w:pPr>
              <w:spacing w:line="360" w:lineRule="auto"/>
              <w:ind w:firstLine="480" w:firstLineChars="200"/>
              <w:rPr>
                <w:bCs/>
                <w:sz w:val="24"/>
              </w:rPr>
            </w:pPr>
            <w:r>
              <w:rPr>
                <w:rFonts w:hint="eastAsia"/>
                <w:bCs/>
                <w:sz w:val="24"/>
              </w:rPr>
              <w:t>（1）危险废物</w:t>
            </w:r>
          </w:p>
          <w:p w14:paraId="71E2B72F">
            <w:pPr>
              <w:spacing w:line="360" w:lineRule="auto"/>
              <w:ind w:firstLine="480" w:firstLineChars="200"/>
              <w:rPr>
                <w:bCs/>
                <w:sz w:val="24"/>
              </w:rPr>
            </w:pPr>
            <w:r>
              <w:rPr>
                <w:rFonts w:hint="eastAsia"/>
                <w:bCs/>
                <w:sz w:val="24"/>
              </w:rPr>
              <w:t>本项目运营期产生的危废为废润滑油、废液压油、废润滑油桶、废液压油桶、废活性炭，本项目危废暂存间位于生产车间内西南角，建筑面积约为</w:t>
            </w:r>
            <w:r>
              <w:rPr>
                <w:bCs/>
                <w:sz w:val="24"/>
              </w:rPr>
              <w:t>10</w:t>
            </w:r>
            <w:r>
              <w:rPr>
                <w:rFonts w:hint="eastAsia"/>
                <w:bCs/>
                <w:sz w:val="24"/>
              </w:rPr>
              <w:t>m</w:t>
            </w:r>
            <w:r>
              <w:rPr>
                <w:bCs/>
                <w:sz w:val="24"/>
                <w:vertAlign w:val="superscript"/>
              </w:rPr>
              <w:t>2</w:t>
            </w:r>
            <w:r>
              <w:rPr>
                <w:rFonts w:hint="eastAsia"/>
                <w:bCs/>
                <w:sz w:val="24"/>
              </w:rPr>
              <w:t>，建设单位</w:t>
            </w:r>
            <w:r>
              <w:rPr>
                <w:bCs/>
                <w:sz w:val="24"/>
              </w:rPr>
              <w:t>要严格按照《危险废物贮存污染控制标准》（GB18597-2023）和《危险废物收集贮存运输技术规范》（HJ2025-2012）进行完善和管理，</w:t>
            </w:r>
            <w:r>
              <w:rPr>
                <w:rFonts w:hint="eastAsia"/>
                <w:bCs/>
                <w:sz w:val="24"/>
              </w:rPr>
              <w:t>危废库</w:t>
            </w:r>
            <w:r>
              <w:rPr>
                <w:bCs/>
                <w:sz w:val="24"/>
              </w:rPr>
              <w:t>应当满足以下要求：</w:t>
            </w:r>
          </w:p>
          <w:p w14:paraId="18A7996F">
            <w:pPr>
              <w:pStyle w:val="24"/>
              <w:spacing w:after="0" w:line="360" w:lineRule="auto"/>
              <w:ind w:left="0" w:leftChars="0" w:firstLine="480"/>
              <w:rPr>
                <w:bCs/>
                <w:sz w:val="24"/>
              </w:rPr>
            </w:pPr>
            <w:r>
              <w:rPr>
                <w:rFonts w:hint="eastAsia" w:ascii="宋体" w:hAnsi="宋体" w:cs="宋体"/>
                <w:bCs/>
                <w:sz w:val="24"/>
              </w:rPr>
              <w:t>①</w:t>
            </w:r>
            <w:r>
              <w:rPr>
                <w:bCs/>
                <w:sz w:val="24"/>
              </w:rPr>
              <w:t>企业应及时将生产过程产生的危险废物集中收集，及时转运、专人管理，集中贮存。</w:t>
            </w:r>
          </w:p>
          <w:p w14:paraId="5AA9959C">
            <w:pPr>
              <w:pStyle w:val="24"/>
              <w:spacing w:after="0" w:line="360" w:lineRule="auto"/>
              <w:ind w:left="0" w:leftChars="0" w:firstLine="480"/>
              <w:rPr>
                <w:bCs/>
                <w:sz w:val="24"/>
              </w:rPr>
            </w:pPr>
            <w:r>
              <w:rPr>
                <w:rFonts w:hint="eastAsia" w:ascii="宋体" w:hAnsi="宋体" w:cs="宋体"/>
                <w:bCs/>
                <w:sz w:val="24"/>
              </w:rPr>
              <w:t>②</w:t>
            </w:r>
            <w:r>
              <w:rPr>
                <w:bCs/>
                <w:sz w:val="24"/>
              </w:rPr>
              <w:t>危险废物贮存设施应满足《危险废物贮存污染控制标准》（(GB 18597-2023)。贮存场所要防风、防雨、防晒，在厂区内应避开易燃、易爆危险品仓库、高压输电线路防护区域，基础必须防渗，防渗层为至少1米厚粘土层(渗透系数≤10</w:t>
            </w:r>
            <w:r>
              <w:rPr>
                <w:bCs/>
                <w:sz w:val="24"/>
                <w:vertAlign w:val="superscript"/>
              </w:rPr>
              <w:t>-7</w:t>
            </w:r>
            <w:r>
              <w:rPr>
                <w:bCs/>
                <w:sz w:val="24"/>
              </w:rPr>
              <w:t>厘米/秒)，或2毫米厚高密度聚乙烯，或至少2毫米厚的其它人工材料，渗透系数≤10</w:t>
            </w:r>
            <w:r>
              <w:rPr>
                <w:bCs/>
                <w:sz w:val="24"/>
                <w:vertAlign w:val="superscript"/>
              </w:rPr>
              <w:t>-10</w:t>
            </w:r>
            <w:r>
              <w:rPr>
                <w:bCs/>
                <w:sz w:val="24"/>
              </w:rPr>
              <w:t>cm/s。</w:t>
            </w:r>
          </w:p>
          <w:p w14:paraId="5BAFE709">
            <w:pPr>
              <w:pStyle w:val="24"/>
              <w:spacing w:after="0" w:line="360" w:lineRule="auto"/>
              <w:ind w:left="0" w:leftChars="0" w:firstLine="480"/>
              <w:rPr>
                <w:bCs/>
                <w:sz w:val="24"/>
              </w:rPr>
            </w:pPr>
            <w:r>
              <w:rPr>
                <w:rFonts w:hint="eastAsia" w:ascii="宋体" w:hAnsi="宋体" w:cs="宋体"/>
                <w:bCs/>
                <w:sz w:val="24"/>
              </w:rPr>
              <w:t>③</w:t>
            </w:r>
            <w:r>
              <w:rPr>
                <w:bCs/>
                <w:sz w:val="24"/>
              </w:rPr>
              <w:t>公司应设置专人负责危险管理，建立危废台账，制定危废计划，按月统计厂区内各车间的危险废物种类、产生量、暂存时间、交由处置时间等，并按月向当地环保部门报告。</w:t>
            </w:r>
          </w:p>
          <w:p w14:paraId="1142FE09">
            <w:pPr>
              <w:pStyle w:val="24"/>
              <w:spacing w:after="0" w:line="360" w:lineRule="auto"/>
              <w:ind w:left="0" w:leftChars="0" w:firstLine="480"/>
              <w:rPr>
                <w:bCs/>
                <w:sz w:val="24"/>
              </w:rPr>
            </w:pPr>
            <w:r>
              <w:rPr>
                <w:rFonts w:hint="eastAsia" w:ascii="宋体" w:hAnsi="宋体" w:cs="宋体"/>
                <w:bCs/>
                <w:sz w:val="24"/>
              </w:rPr>
              <w:t>④</w:t>
            </w:r>
            <w:r>
              <w:rPr>
                <w:bCs/>
                <w:sz w:val="24"/>
              </w:rPr>
              <w:t>危险废物的转移和运输应严格按《危险废物转移管理办法》的规定执行，必须交由有资质的单位承运。</w:t>
            </w:r>
          </w:p>
          <w:p w14:paraId="4AD89C8F">
            <w:pPr>
              <w:pStyle w:val="24"/>
              <w:spacing w:after="0" w:line="360" w:lineRule="auto"/>
              <w:ind w:left="0" w:leftChars="0" w:firstLine="480"/>
              <w:rPr>
                <w:bCs/>
                <w:sz w:val="24"/>
              </w:rPr>
            </w:pPr>
            <w:r>
              <w:rPr>
                <w:rFonts w:hint="eastAsia" w:ascii="宋体" w:hAnsi="宋体" w:cs="宋体"/>
                <w:bCs/>
                <w:sz w:val="24"/>
              </w:rPr>
              <w:t>⑤</w:t>
            </w:r>
            <w:r>
              <w:rPr>
                <w:bCs/>
                <w:sz w:val="24"/>
              </w:rPr>
              <w:t>危险废贮存库内或通过贮存分区方式贮存液态危险废物的，应具有液体泄漏堵截设施，堵截设施最小容积不应低于对应贮存区域最大液态废物容器容积或液态废物总储量 1/10（二者取较大者）；用于贮存可能产生渗滤液的危险废物的贮存库或贮存分区应设计渗滤液收集设施，收集设施容积应满足渗滤液的收集要求。</w:t>
            </w:r>
          </w:p>
          <w:p w14:paraId="7F955288">
            <w:pPr>
              <w:pStyle w:val="24"/>
              <w:spacing w:after="0" w:line="360" w:lineRule="auto"/>
              <w:ind w:left="0" w:leftChars="0" w:firstLine="480"/>
              <w:rPr>
                <w:bCs/>
                <w:sz w:val="24"/>
              </w:rPr>
            </w:pPr>
            <w:r>
              <w:rPr>
                <w:bCs/>
                <w:sz w:val="24"/>
              </w:rPr>
              <w:t>液态危废（废液压油、废润滑油）装入（存于）密闭容器内并封口后，送于危废暂存间内进行储存，性质相融、且不发生反应的液态危废储存桶存放于同一单元内。液态危废储存桶存放于托盘内，拖盘材质为耐腐蚀材质，不能存在破损、泄露情形，拖盘容积满足《危险废物贮存污染控制标准》（GB18597-2023）中相关要求。</w:t>
            </w:r>
          </w:p>
          <w:p w14:paraId="44333B4A">
            <w:pPr>
              <w:spacing w:line="360" w:lineRule="auto"/>
              <w:ind w:firstLine="480" w:firstLineChars="200"/>
              <w:rPr>
                <w:bCs/>
                <w:sz w:val="24"/>
              </w:rPr>
            </w:pPr>
            <w:r>
              <w:rPr>
                <w:rFonts w:hint="eastAsia"/>
                <w:bCs/>
                <w:sz w:val="24"/>
              </w:rPr>
              <w:t>⑥</w:t>
            </w:r>
            <w:r>
              <w:rPr>
                <w:bCs/>
                <w:sz w:val="24"/>
              </w:rPr>
              <w:t>建设单位应按照要求</w:t>
            </w:r>
            <w:r>
              <w:rPr>
                <w:rFonts w:hint="eastAsia"/>
                <w:bCs/>
                <w:sz w:val="24"/>
              </w:rPr>
              <w:t>危废库内</w:t>
            </w:r>
            <w:r>
              <w:rPr>
                <w:bCs/>
                <w:sz w:val="24"/>
              </w:rPr>
              <w:t>设置托盘，防止泄漏。</w:t>
            </w:r>
          </w:p>
          <w:p w14:paraId="0B173E4B">
            <w:pPr>
              <w:spacing w:line="360" w:lineRule="auto"/>
              <w:ind w:firstLine="480" w:firstLineChars="200"/>
              <w:rPr>
                <w:bCs/>
                <w:sz w:val="24"/>
              </w:rPr>
            </w:pPr>
            <w:r>
              <w:rPr>
                <w:rFonts w:hint="eastAsia"/>
                <w:bCs/>
                <w:sz w:val="24"/>
              </w:rPr>
              <w:t>⑦项目中会产生有大气污染物的危废，装入(存于)密闭容器内并封口后，送于危</w:t>
            </w:r>
            <w:bookmarkStart w:id="239" w:name="_GoBack"/>
            <w:bookmarkEnd w:id="239"/>
            <w:r>
              <w:rPr>
                <w:rFonts w:hint="eastAsia"/>
                <w:bCs/>
                <w:sz w:val="24"/>
              </w:rPr>
              <w:t>废暂存间内进行储存。容器封口处采取双重及以上的密封措施。确保危废存在过程中不产生VOC等废气二次污染。</w:t>
            </w:r>
          </w:p>
          <w:p w14:paraId="6A4D3615">
            <w:pPr>
              <w:spacing w:line="360" w:lineRule="auto"/>
              <w:ind w:firstLine="480" w:firstLineChars="200"/>
              <w:rPr>
                <w:bCs/>
                <w:sz w:val="24"/>
              </w:rPr>
            </w:pPr>
            <w:r>
              <w:rPr>
                <w:bCs/>
                <w:sz w:val="24"/>
              </w:rPr>
              <w:t>（2）建设单位拟按照《排污许可证申请与核发技术规范 工业固体废物（试行）》（HJ1200-2021）要求，对危险废物进行管理：</w:t>
            </w:r>
          </w:p>
          <w:p w14:paraId="5581C332">
            <w:pPr>
              <w:spacing w:line="360" w:lineRule="auto"/>
              <w:ind w:firstLine="480" w:firstLineChars="200"/>
              <w:rPr>
                <w:bCs/>
                <w:sz w:val="24"/>
              </w:rPr>
            </w:pPr>
            <w:r>
              <w:rPr>
                <w:rFonts w:hint="eastAsia"/>
                <w:bCs/>
                <w:sz w:val="24"/>
              </w:rPr>
              <w:t>①</w:t>
            </w:r>
            <w:r>
              <w:rPr>
                <w:bCs/>
                <w:sz w:val="24"/>
              </w:rPr>
              <w:t>委托利用/处置污染防控要求：排污单位委托他人运输、利用、处置危险废物的，应落实《中华人民共和国固体废物污染环境防治法》等法律法规要求，对受托方的主体资格和技术能力进行核实，依法签订书面合同，在合同中约定污染防治要求；转移危险废物的，应当按照国家有关规定填写、运行危险废物转移联单等。</w:t>
            </w:r>
          </w:p>
          <w:p w14:paraId="4DF6740F">
            <w:pPr>
              <w:spacing w:line="360" w:lineRule="auto"/>
              <w:ind w:firstLine="480" w:firstLineChars="200"/>
              <w:rPr>
                <w:bCs/>
                <w:sz w:val="24"/>
              </w:rPr>
            </w:pPr>
            <w:r>
              <w:rPr>
                <w:rFonts w:hint="eastAsia"/>
                <w:bCs/>
                <w:sz w:val="24"/>
              </w:rPr>
              <w:t>②</w:t>
            </w:r>
            <w:r>
              <w:rPr>
                <w:bCs/>
                <w:sz w:val="24"/>
              </w:rPr>
              <w:t>自行贮存/利用/处置设施污染防控要求：包装容器应达到相应的强度要求并完好无损，禁止混合贮存性质不相容而未经安全性处置的危险废物；危险废物容器和包装物以及危险废物贮存设施、场所应按规定设置危险废物识别标志；仓库式贮存设施应分开存放不相容危险废物，按危险废物的种类和特性进行分区贮存，采用防腐、防渗地面和裙脚，设置防止泄露物质扩散至外环境的拦截、导流、收集设施；贮存堆场要防风、防雨、防晒；从事收集、贮存、利用、处置危险废物经营活动的单位，贮存危险废物不得超过一年（报经颁发危险废物经营许可证的生态环境主管部门批准或法律法规另有规定的除外）等。排污单位生产运营期间危险废物自行贮存设施的环境管理和相关设施运行维护还应符合GB15562.2、GB18484、GB18597、GB30485、HJ2025和HJ2042等相关标准规范要求。</w:t>
            </w:r>
          </w:p>
          <w:p w14:paraId="1D2A12CB">
            <w:pPr>
              <w:spacing w:line="360" w:lineRule="auto"/>
              <w:ind w:firstLine="480" w:firstLineChars="200"/>
              <w:rPr>
                <w:bCs/>
                <w:sz w:val="24"/>
              </w:rPr>
            </w:pPr>
            <w:r>
              <w:rPr>
                <w:bCs/>
                <w:sz w:val="24"/>
              </w:rPr>
              <w:t>台账记录：企业应建立环境管理台账，危险废物环境管理台账记录应符合《危险废物产生单位管理计划制定指南》等标准及管理文件的相关要求。记录危险废物生产情况、危废源头减量计划和措施、危废转移环节、贮存情况、利用处置环节等，并保存电子台账+纸质台账不少于5年。</w:t>
            </w:r>
          </w:p>
          <w:p w14:paraId="2BA22D29">
            <w:pPr>
              <w:pStyle w:val="24"/>
              <w:spacing w:after="0" w:line="360" w:lineRule="auto"/>
              <w:ind w:left="0" w:leftChars="0" w:firstLine="480"/>
              <w:rPr>
                <w:sz w:val="24"/>
              </w:rPr>
            </w:pPr>
            <w:r>
              <w:rPr>
                <w:rFonts w:hint="eastAsia"/>
                <w:sz w:val="24"/>
              </w:rPr>
              <w:t>（3）</w:t>
            </w:r>
            <w:r>
              <w:rPr>
                <w:sz w:val="24"/>
              </w:rPr>
              <w:t>企业为固体废物污染防治的责任主体，应建立风险管理及应急救援体系、环境监测计划，执行转移联单制度及国家和省转移管理的相关规定、处置过程安全操作规程、人员培训考核制度、档案管理制度、专人专管负责制、台账保管制度、处置全过程管理制度等。</w:t>
            </w:r>
          </w:p>
          <w:p w14:paraId="2827B895">
            <w:pPr>
              <w:pStyle w:val="24"/>
              <w:spacing w:after="0" w:line="360" w:lineRule="auto"/>
              <w:ind w:left="0" w:leftChars="0" w:firstLine="480"/>
              <w:rPr>
                <w:bCs/>
                <w:sz w:val="24"/>
              </w:rPr>
            </w:pPr>
            <w:r>
              <w:rPr>
                <w:sz w:val="24"/>
              </w:rPr>
              <w:t>经采取上述措施后，</w:t>
            </w:r>
            <w:r>
              <w:rPr>
                <w:rFonts w:hint="eastAsia"/>
                <w:sz w:val="24"/>
              </w:rPr>
              <w:t>项目运营期</w:t>
            </w:r>
            <w:r>
              <w:rPr>
                <w:sz w:val="24"/>
              </w:rPr>
              <w:t>产生的固体废物均可得到妥善处</w:t>
            </w:r>
            <w:r>
              <w:rPr>
                <w:rFonts w:hint="eastAsia"/>
                <w:sz w:val="24"/>
              </w:rPr>
              <w:t>置</w:t>
            </w:r>
            <w:r>
              <w:rPr>
                <w:sz w:val="24"/>
              </w:rPr>
              <w:t>，符合</w:t>
            </w:r>
            <w:r>
              <w:rPr>
                <w:rFonts w:hint="eastAsia"/>
                <w:sz w:val="24"/>
              </w:rPr>
              <w:t>《中华人民共和国固体废物污染环境防治法》（2020年修订）、《一般工业固体废物管理台账制定指南（试行）》、</w:t>
            </w:r>
            <w:r>
              <w:rPr>
                <w:bCs/>
                <w:sz w:val="24"/>
              </w:rPr>
              <w:t>《危险废物贮存污染控制标准》（GB18597-2023）</w:t>
            </w:r>
            <w:r>
              <w:rPr>
                <w:rFonts w:hint="eastAsia"/>
                <w:bCs/>
                <w:sz w:val="24"/>
              </w:rPr>
              <w:t>等要求</w:t>
            </w:r>
            <w:r>
              <w:rPr>
                <w:sz w:val="24"/>
              </w:rPr>
              <w:t>，对周围环境影响很小。</w:t>
            </w:r>
          </w:p>
          <w:p w14:paraId="083FC578">
            <w:pPr>
              <w:spacing w:line="360" w:lineRule="auto"/>
              <w:ind w:firstLine="482" w:firstLineChars="200"/>
              <w:rPr>
                <w:b/>
                <w:sz w:val="24"/>
              </w:rPr>
            </w:pPr>
            <w:r>
              <w:rPr>
                <w:b/>
                <w:sz w:val="24"/>
              </w:rPr>
              <w:t>五、地下水、土壤环境影响分析</w:t>
            </w:r>
          </w:p>
          <w:p w14:paraId="6C6BEFB4">
            <w:pPr>
              <w:spacing w:line="360" w:lineRule="auto"/>
              <w:ind w:firstLine="480" w:firstLineChars="200"/>
              <w:rPr>
                <w:sz w:val="24"/>
              </w:rPr>
            </w:pPr>
            <w:r>
              <w:rPr>
                <w:sz w:val="24"/>
              </w:rPr>
              <w:t>（</w:t>
            </w:r>
            <w:r>
              <w:rPr>
                <w:rFonts w:hint="eastAsia"/>
                <w:sz w:val="24"/>
              </w:rPr>
              <w:t>1</w:t>
            </w:r>
            <w:r>
              <w:rPr>
                <w:sz w:val="24"/>
              </w:rPr>
              <w:t>）污染源</w:t>
            </w:r>
          </w:p>
          <w:p w14:paraId="2B870627">
            <w:pPr>
              <w:spacing w:line="360" w:lineRule="auto"/>
              <w:ind w:firstLine="480"/>
              <w:rPr>
                <w:sz w:val="24"/>
              </w:rPr>
            </w:pPr>
            <w:r>
              <w:rPr>
                <w:sz w:val="24"/>
              </w:rPr>
              <w:t>本项目生活污水经化粪池处理后由环卫部门清运，本项目可能对地下水和土壤造成污染的途径为地面防渗措施不到位，化粪池、危废暂存间、</w:t>
            </w:r>
            <w:r>
              <w:rPr>
                <w:rFonts w:hint="eastAsia"/>
                <w:sz w:val="24"/>
              </w:rPr>
              <w:t>油类暂存区、事故水池</w:t>
            </w:r>
            <w:r>
              <w:rPr>
                <w:sz w:val="24"/>
              </w:rPr>
              <w:t>等发生事故泄漏时的润滑油、液压油、危废、废水可能直接渗入到泄漏区域附近的土壤中，进而污染地下水。</w:t>
            </w:r>
          </w:p>
          <w:p w14:paraId="0BE434ED">
            <w:pPr>
              <w:spacing w:line="360" w:lineRule="auto"/>
              <w:ind w:firstLine="480" w:firstLineChars="200"/>
              <w:rPr>
                <w:sz w:val="24"/>
              </w:rPr>
            </w:pPr>
            <w:r>
              <w:rPr>
                <w:rFonts w:hint="eastAsia"/>
                <w:sz w:val="24"/>
              </w:rPr>
              <w:t>（2）影响和防治措施</w:t>
            </w:r>
          </w:p>
          <w:p w14:paraId="5EF286FE">
            <w:pPr>
              <w:spacing w:line="360" w:lineRule="auto"/>
              <w:ind w:firstLine="480" w:firstLineChars="200"/>
              <w:rPr>
                <w:sz w:val="24"/>
              </w:rPr>
            </w:pPr>
            <w:r>
              <w:rPr>
                <w:sz w:val="24"/>
              </w:rPr>
              <w:t>项目针对潜在的地下水污染源和污染途径采取了较为有效的防渗、密封等工程控制措施和污染防范措施，防止泄漏物污染厂区内土壤和地下水。具体措施如下：</w:t>
            </w:r>
          </w:p>
          <w:p w14:paraId="4A42FC52">
            <w:pPr>
              <w:spacing w:line="360" w:lineRule="auto"/>
              <w:ind w:firstLine="480" w:firstLineChars="200"/>
              <w:rPr>
                <w:sz w:val="24"/>
              </w:rPr>
            </w:pPr>
            <w:r>
              <w:rPr>
                <w:rFonts w:hint="eastAsia" w:ascii="宋体" w:hAnsi="宋体" w:cs="宋体"/>
                <w:sz w:val="24"/>
              </w:rPr>
              <w:t>①</w:t>
            </w:r>
            <w:r>
              <w:rPr>
                <w:sz w:val="24"/>
              </w:rPr>
              <w:t>源头控制措施</w:t>
            </w:r>
          </w:p>
          <w:p w14:paraId="378F290B">
            <w:pPr>
              <w:spacing w:line="360" w:lineRule="auto"/>
              <w:ind w:firstLine="480" w:firstLineChars="200"/>
              <w:rPr>
                <w:sz w:val="24"/>
              </w:rPr>
            </w:pPr>
            <w:r>
              <w:rPr>
                <w:sz w:val="24"/>
              </w:rPr>
              <w:t>严格按照国家相关规范要求，对工艺、管道、设备、仓库等采取相应措施，防止和降低污染物跑、冒、滴、漏，将污染物泄漏环境风险事故降到最低程度。防渗工程设计使用年限不应低于设备、管线及建、构筑物的设计使用年限。对可能泄漏有害介质和污染物的设备和管道敷设尽量做到“可视化”，即管道尽可能地上敷设，做到污染物“早发现、早处理”，以减少由于埋地管道泄漏而可能造成的地下水污染。</w:t>
            </w:r>
          </w:p>
          <w:p w14:paraId="03C88FE9">
            <w:pPr>
              <w:spacing w:line="360" w:lineRule="auto"/>
              <w:ind w:firstLine="480" w:firstLineChars="200"/>
              <w:rPr>
                <w:sz w:val="24"/>
              </w:rPr>
            </w:pPr>
            <w:r>
              <w:rPr>
                <w:rFonts w:hint="eastAsia" w:ascii="宋体" w:hAnsi="宋体" w:cs="宋体"/>
                <w:sz w:val="24"/>
              </w:rPr>
              <w:t>②</w:t>
            </w:r>
            <w:r>
              <w:rPr>
                <w:sz w:val="24"/>
              </w:rPr>
              <w:t>分区防渗</w:t>
            </w:r>
          </w:p>
          <w:p w14:paraId="60F19BF7">
            <w:pPr>
              <w:spacing w:line="360" w:lineRule="auto"/>
              <w:ind w:firstLine="480" w:firstLineChars="200"/>
              <w:rPr>
                <w:sz w:val="24"/>
              </w:rPr>
            </w:pPr>
            <w:r>
              <w:rPr>
                <w:sz w:val="24"/>
              </w:rPr>
              <w:t>项目可能对地下水、土壤产生影响的环节为化粪池、危废</w:t>
            </w:r>
            <w:r>
              <w:rPr>
                <w:rFonts w:hint="eastAsia"/>
                <w:sz w:val="24"/>
              </w:rPr>
              <w:t>暂存间、事故水池</w:t>
            </w:r>
            <w:r>
              <w:rPr>
                <w:sz w:val="24"/>
              </w:rPr>
              <w:t>，必须按照“源头控制、分区防控、污染监控、应急响应”的原则进行污染防控。分区防渗技术要求见下表。</w:t>
            </w:r>
          </w:p>
          <w:p w14:paraId="6548869F">
            <w:pPr>
              <w:spacing w:line="360" w:lineRule="auto"/>
              <w:ind w:firstLine="480" w:firstLineChars="200"/>
              <w:rPr>
                <w:sz w:val="24"/>
              </w:rPr>
            </w:pPr>
          </w:p>
          <w:p w14:paraId="4B93C677">
            <w:pPr>
              <w:spacing w:line="360" w:lineRule="auto"/>
              <w:ind w:firstLine="480" w:firstLineChars="200"/>
              <w:rPr>
                <w:sz w:val="24"/>
              </w:rPr>
            </w:pPr>
          </w:p>
          <w:p w14:paraId="60C95388">
            <w:pPr>
              <w:jc w:val="center"/>
              <w:rPr>
                <w:b/>
                <w:bCs/>
                <w:sz w:val="24"/>
              </w:rPr>
            </w:pPr>
            <w:r>
              <w:rPr>
                <w:b/>
                <w:bCs/>
                <w:sz w:val="24"/>
              </w:rPr>
              <w:t>表35 项目地下水污染防渗分区及要求</w:t>
            </w:r>
          </w:p>
          <w:tbl>
            <w:tblPr>
              <w:tblStyle w:val="2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213"/>
              <w:gridCol w:w="1030"/>
              <w:gridCol w:w="1348"/>
              <w:gridCol w:w="4156"/>
            </w:tblGrid>
            <w:tr w14:paraId="4FF7EF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59" w:hRule="atLeast"/>
                <w:jc w:val="center"/>
              </w:trPr>
              <w:tc>
                <w:tcPr>
                  <w:tcW w:w="2004" w:type="dxa"/>
                  <w:vMerge w:val="restart"/>
                  <w:vAlign w:val="center"/>
                </w:tcPr>
                <w:p w14:paraId="74701467">
                  <w:pPr>
                    <w:jc w:val="center"/>
                    <w:rPr>
                      <w:b/>
                      <w:bCs/>
                      <w:szCs w:val="21"/>
                    </w:rPr>
                  </w:pPr>
                  <w:r>
                    <w:rPr>
                      <w:b/>
                      <w:bCs/>
                      <w:szCs w:val="21"/>
                    </w:rPr>
                    <w:t>污染源</w:t>
                  </w:r>
                </w:p>
              </w:tc>
              <w:tc>
                <w:tcPr>
                  <w:tcW w:w="933" w:type="dxa"/>
                  <w:vMerge w:val="restart"/>
                  <w:vAlign w:val="center"/>
                </w:tcPr>
                <w:p w14:paraId="6C85A3DC">
                  <w:pPr>
                    <w:jc w:val="center"/>
                    <w:rPr>
                      <w:b/>
                      <w:bCs/>
                      <w:szCs w:val="21"/>
                    </w:rPr>
                  </w:pPr>
                  <w:r>
                    <w:rPr>
                      <w:b/>
                      <w:bCs/>
                      <w:szCs w:val="21"/>
                    </w:rPr>
                    <w:t>污染途径</w:t>
                  </w:r>
                </w:p>
              </w:tc>
              <w:tc>
                <w:tcPr>
                  <w:tcW w:w="4984" w:type="dxa"/>
                  <w:gridSpan w:val="2"/>
                  <w:vAlign w:val="center"/>
                </w:tcPr>
                <w:p w14:paraId="4D00CA56">
                  <w:pPr>
                    <w:jc w:val="center"/>
                    <w:rPr>
                      <w:b/>
                      <w:bCs/>
                      <w:szCs w:val="21"/>
                    </w:rPr>
                  </w:pPr>
                  <w:r>
                    <w:rPr>
                      <w:b/>
                      <w:bCs/>
                      <w:szCs w:val="21"/>
                    </w:rPr>
                    <w:t>分区防控要求</w:t>
                  </w:r>
                </w:p>
              </w:tc>
            </w:tr>
            <w:tr w14:paraId="60CE3F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9" w:hRule="atLeast"/>
                <w:jc w:val="center"/>
              </w:trPr>
              <w:tc>
                <w:tcPr>
                  <w:tcW w:w="2004" w:type="dxa"/>
                  <w:vMerge w:val="continue"/>
                  <w:vAlign w:val="center"/>
                </w:tcPr>
                <w:p w14:paraId="777B4667">
                  <w:pPr>
                    <w:jc w:val="center"/>
                    <w:rPr>
                      <w:b/>
                      <w:bCs/>
                      <w:szCs w:val="21"/>
                    </w:rPr>
                  </w:pPr>
                </w:p>
              </w:tc>
              <w:tc>
                <w:tcPr>
                  <w:tcW w:w="933" w:type="dxa"/>
                  <w:vMerge w:val="continue"/>
                  <w:vAlign w:val="center"/>
                </w:tcPr>
                <w:p w14:paraId="7CE07477">
                  <w:pPr>
                    <w:jc w:val="center"/>
                    <w:rPr>
                      <w:b/>
                      <w:bCs/>
                      <w:szCs w:val="21"/>
                    </w:rPr>
                  </w:pPr>
                </w:p>
              </w:tc>
              <w:tc>
                <w:tcPr>
                  <w:tcW w:w="1221" w:type="dxa"/>
                  <w:vAlign w:val="center"/>
                </w:tcPr>
                <w:p w14:paraId="1B8EF7C0">
                  <w:pPr>
                    <w:jc w:val="center"/>
                    <w:rPr>
                      <w:b/>
                      <w:bCs/>
                      <w:szCs w:val="21"/>
                    </w:rPr>
                  </w:pPr>
                  <w:r>
                    <w:rPr>
                      <w:b/>
                      <w:bCs/>
                      <w:szCs w:val="21"/>
                    </w:rPr>
                    <w:t>防渗分区</w:t>
                  </w:r>
                </w:p>
              </w:tc>
              <w:tc>
                <w:tcPr>
                  <w:tcW w:w="3763" w:type="dxa"/>
                  <w:vAlign w:val="center"/>
                </w:tcPr>
                <w:p w14:paraId="1A044CB9">
                  <w:pPr>
                    <w:jc w:val="center"/>
                    <w:rPr>
                      <w:b/>
                      <w:bCs/>
                      <w:szCs w:val="21"/>
                    </w:rPr>
                  </w:pPr>
                  <w:r>
                    <w:rPr>
                      <w:b/>
                      <w:bCs/>
                      <w:szCs w:val="21"/>
                    </w:rPr>
                    <w:t>防渗技术要求</w:t>
                  </w:r>
                </w:p>
              </w:tc>
            </w:tr>
            <w:tr w14:paraId="4AD220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9" w:hRule="atLeast"/>
                <w:jc w:val="center"/>
              </w:trPr>
              <w:tc>
                <w:tcPr>
                  <w:tcW w:w="2004" w:type="dxa"/>
                  <w:vAlign w:val="center"/>
                </w:tcPr>
                <w:p w14:paraId="46C10E3E">
                  <w:pPr>
                    <w:jc w:val="center"/>
                    <w:rPr>
                      <w:szCs w:val="21"/>
                    </w:rPr>
                  </w:pPr>
                  <w:bookmarkStart w:id="225" w:name="OLE_LINK172"/>
                  <w:bookmarkStart w:id="226" w:name="OLE_LINK173"/>
                  <w:r>
                    <w:rPr>
                      <w:szCs w:val="21"/>
                    </w:rPr>
                    <w:t>化粪池、危废</w:t>
                  </w:r>
                  <w:r>
                    <w:rPr>
                      <w:rFonts w:hint="eastAsia"/>
                      <w:szCs w:val="21"/>
                    </w:rPr>
                    <w:t>暂存间、生产车间（油类暂存区）</w:t>
                  </w:r>
                  <w:bookmarkEnd w:id="225"/>
                  <w:bookmarkEnd w:id="226"/>
                  <w:r>
                    <w:rPr>
                      <w:rFonts w:hint="eastAsia"/>
                      <w:szCs w:val="21"/>
                    </w:rPr>
                    <w:t>、事故水池</w:t>
                  </w:r>
                </w:p>
              </w:tc>
              <w:tc>
                <w:tcPr>
                  <w:tcW w:w="933" w:type="dxa"/>
                  <w:vAlign w:val="center"/>
                </w:tcPr>
                <w:p w14:paraId="6453EB49">
                  <w:pPr>
                    <w:jc w:val="center"/>
                    <w:rPr>
                      <w:szCs w:val="21"/>
                    </w:rPr>
                  </w:pPr>
                  <w:r>
                    <w:rPr>
                      <w:szCs w:val="21"/>
                    </w:rPr>
                    <w:t>泄</w:t>
                  </w:r>
                  <w:r>
                    <w:rPr>
                      <w:rFonts w:hint="eastAsia"/>
                      <w:szCs w:val="21"/>
                    </w:rPr>
                    <w:t>漏</w:t>
                  </w:r>
                </w:p>
              </w:tc>
              <w:tc>
                <w:tcPr>
                  <w:tcW w:w="1221" w:type="dxa"/>
                  <w:vAlign w:val="center"/>
                </w:tcPr>
                <w:p w14:paraId="23EFB7E0">
                  <w:pPr>
                    <w:jc w:val="center"/>
                    <w:rPr>
                      <w:szCs w:val="21"/>
                    </w:rPr>
                  </w:pPr>
                  <w:r>
                    <w:rPr>
                      <w:szCs w:val="21"/>
                    </w:rPr>
                    <w:t>重点防渗区</w:t>
                  </w:r>
                </w:p>
              </w:tc>
              <w:tc>
                <w:tcPr>
                  <w:tcW w:w="3763" w:type="dxa"/>
                  <w:vAlign w:val="center"/>
                </w:tcPr>
                <w:p w14:paraId="6147D081">
                  <w:pPr>
                    <w:jc w:val="center"/>
                    <w:rPr>
                      <w:szCs w:val="21"/>
                    </w:rPr>
                  </w:pPr>
                  <w:r>
                    <w:rPr>
                      <w:szCs w:val="21"/>
                    </w:rPr>
                    <w:t>等效黏土防渗层Mb≥6.0m，K≤1×10</w:t>
                  </w:r>
                  <w:r>
                    <w:rPr>
                      <w:szCs w:val="21"/>
                      <w:vertAlign w:val="superscript"/>
                    </w:rPr>
                    <w:t>-7</w:t>
                  </w:r>
                  <w:r>
                    <w:rPr>
                      <w:szCs w:val="21"/>
                    </w:rPr>
                    <w:t>cm/s；或参照GB18598执行</w:t>
                  </w:r>
                </w:p>
              </w:tc>
            </w:tr>
            <w:tr w14:paraId="288812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9" w:hRule="atLeast"/>
                <w:jc w:val="center"/>
              </w:trPr>
              <w:tc>
                <w:tcPr>
                  <w:tcW w:w="2004" w:type="dxa"/>
                  <w:vAlign w:val="center"/>
                </w:tcPr>
                <w:p w14:paraId="5E7AAE4A">
                  <w:pPr>
                    <w:jc w:val="center"/>
                    <w:rPr>
                      <w:szCs w:val="21"/>
                    </w:rPr>
                  </w:pPr>
                  <w:r>
                    <w:rPr>
                      <w:rFonts w:hint="eastAsia"/>
                      <w:szCs w:val="21"/>
                    </w:rPr>
                    <w:t>生产车间其他区域、一般固废暂存间、检测中心、特种压力容器研发中心</w:t>
                  </w:r>
                </w:p>
              </w:tc>
              <w:tc>
                <w:tcPr>
                  <w:tcW w:w="933" w:type="dxa"/>
                  <w:vAlign w:val="center"/>
                </w:tcPr>
                <w:p w14:paraId="6EDE603E">
                  <w:pPr>
                    <w:jc w:val="center"/>
                    <w:rPr>
                      <w:szCs w:val="21"/>
                    </w:rPr>
                  </w:pPr>
                  <w:r>
                    <w:rPr>
                      <w:szCs w:val="21"/>
                    </w:rPr>
                    <w:t>/</w:t>
                  </w:r>
                </w:p>
              </w:tc>
              <w:tc>
                <w:tcPr>
                  <w:tcW w:w="1221" w:type="dxa"/>
                  <w:vAlign w:val="center"/>
                </w:tcPr>
                <w:p w14:paraId="35185F3F">
                  <w:pPr>
                    <w:jc w:val="center"/>
                    <w:rPr>
                      <w:szCs w:val="21"/>
                    </w:rPr>
                  </w:pPr>
                  <w:r>
                    <w:rPr>
                      <w:szCs w:val="21"/>
                    </w:rPr>
                    <w:t>一般防渗区</w:t>
                  </w:r>
                </w:p>
              </w:tc>
              <w:tc>
                <w:tcPr>
                  <w:tcW w:w="3763" w:type="dxa"/>
                  <w:vAlign w:val="center"/>
                </w:tcPr>
                <w:p w14:paraId="29431D59">
                  <w:pPr>
                    <w:jc w:val="center"/>
                    <w:rPr>
                      <w:szCs w:val="21"/>
                    </w:rPr>
                  </w:pPr>
                  <w:r>
                    <w:rPr>
                      <w:szCs w:val="21"/>
                    </w:rPr>
                    <w:t>等效黏土防渗层Mb≥1.5m，K≤1×10</w:t>
                  </w:r>
                  <w:r>
                    <w:rPr>
                      <w:szCs w:val="21"/>
                      <w:vertAlign w:val="superscript"/>
                    </w:rPr>
                    <w:t>-7</w:t>
                  </w:r>
                  <w:r>
                    <w:rPr>
                      <w:szCs w:val="21"/>
                    </w:rPr>
                    <w:t>cm/s；或参照GB16889执行</w:t>
                  </w:r>
                </w:p>
              </w:tc>
            </w:tr>
          </w:tbl>
          <w:p w14:paraId="2642624B">
            <w:pPr>
              <w:spacing w:line="360" w:lineRule="auto"/>
              <w:ind w:firstLine="480" w:firstLineChars="200"/>
              <w:rPr>
                <w:sz w:val="24"/>
              </w:rPr>
            </w:pPr>
            <w:r>
              <w:rPr>
                <w:rFonts w:hint="eastAsia"/>
                <w:sz w:val="24"/>
              </w:rPr>
              <w:t>本次环评对地下水、土壤污染防控提出如下要求：项目对</w:t>
            </w:r>
            <w:r>
              <w:rPr>
                <w:sz w:val="24"/>
              </w:rPr>
              <w:t>化粪池、危废</w:t>
            </w:r>
            <w:r>
              <w:rPr>
                <w:rFonts w:hint="eastAsia"/>
                <w:sz w:val="24"/>
              </w:rPr>
              <w:t>暂存间、生产车间（油类暂存区）等进行严格排查，</w:t>
            </w:r>
            <w:bookmarkStart w:id="227" w:name="OLE_LINK190"/>
            <w:bookmarkStart w:id="228" w:name="OLE_LINK189"/>
            <w:r>
              <w:rPr>
                <w:rFonts w:hint="eastAsia"/>
                <w:sz w:val="24"/>
              </w:rPr>
              <w:t>油类暂存区</w:t>
            </w:r>
            <w:bookmarkEnd w:id="227"/>
            <w:bookmarkEnd w:id="228"/>
            <w:r>
              <w:rPr>
                <w:rFonts w:hint="eastAsia"/>
                <w:sz w:val="24"/>
              </w:rPr>
              <w:t>设置围堰，对存在防渗隐患的区域进行及时修复，杜绝污水跑、冒、滴、漏；对污水收集、转输环节均按规定进行严格的防渗处理。</w:t>
            </w:r>
            <w:r>
              <w:rPr>
                <w:sz w:val="24"/>
              </w:rPr>
              <w:t>采取以上措施后，可以有效防止项目对</w:t>
            </w:r>
            <w:r>
              <w:rPr>
                <w:rFonts w:hint="eastAsia"/>
                <w:sz w:val="24"/>
              </w:rPr>
              <w:t>厂</w:t>
            </w:r>
            <w:r>
              <w:rPr>
                <w:sz w:val="24"/>
              </w:rPr>
              <w:t>区附近的地下水</w:t>
            </w:r>
            <w:r>
              <w:rPr>
                <w:rFonts w:hint="eastAsia"/>
                <w:sz w:val="24"/>
              </w:rPr>
              <w:t>、</w:t>
            </w:r>
            <w:r>
              <w:rPr>
                <w:sz w:val="24"/>
              </w:rPr>
              <w:t>土壤造成影响，对地下水</w:t>
            </w:r>
            <w:r>
              <w:rPr>
                <w:rFonts w:hint="eastAsia"/>
                <w:sz w:val="24"/>
              </w:rPr>
              <w:t>、</w:t>
            </w:r>
            <w:r>
              <w:rPr>
                <w:sz w:val="24"/>
              </w:rPr>
              <w:t>土壤环境的影响较小。</w:t>
            </w:r>
          </w:p>
          <w:p w14:paraId="4EE030A1">
            <w:pPr>
              <w:spacing w:line="360" w:lineRule="auto"/>
              <w:ind w:firstLine="482" w:firstLineChars="200"/>
              <w:rPr>
                <w:b/>
                <w:bCs/>
                <w:sz w:val="24"/>
              </w:rPr>
            </w:pPr>
            <w:r>
              <w:rPr>
                <w:b/>
                <w:bCs/>
                <w:sz w:val="24"/>
              </w:rPr>
              <w:t>六、环境风险影响分析</w:t>
            </w:r>
          </w:p>
          <w:p w14:paraId="1DAEEF60">
            <w:pPr>
              <w:spacing w:line="360" w:lineRule="auto"/>
              <w:ind w:firstLine="482" w:firstLineChars="200"/>
              <w:rPr>
                <w:b/>
                <w:sz w:val="24"/>
              </w:rPr>
            </w:pPr>
            <w:r>
              <w:rPr>
                <w:b/>
                <w:sz w:val="24"/>
              </w:rPr>
              <w:t>1、有毒有害和易燃易爆危险物质、风险源分布情况及可能影响途径</w:t>
            </w:r>
          </w:p>
          <w:p w14:paraId="23963BEC">
            <w:pPr>
              <w:spacing w:line="360" w:lineRule="auto"/>
              <w:ind w:firstLine="480" w:firstLineChars="200"/>
              <w:rPr>
                <w:sz w:val="24"/>
              </w:rPr>
            </w:pPr>
            <w:r>
              <w:rPr>
                <w:sz w:val="24"/>
              </w:rPr>
              <w:t>根据风险物质调查，本项目使用的原辅料为</w:t>
            </w:r>
            <w:r>
              <w:rPr>
                <w:rFonts w:hint="eastAsia"/>
                <w:sz w:val="24"/>
              </w:rPr>
              <w:t>钢材、塑粉、焊丝、液压油、润滑油</w:t>
            </w:r>
            <w:r>
              <w:rPr>
                <w:sz w:val="24"/>
              </w:rPr>
              <w:t>等，根据《建设项目环境风险评价技术导则》（HJ169-2018）附录B及《危险化学品重大危险源辨识》（GB18218-2018）中的危险物质及其他危险物质，本项目涉及的危险物质为润滑油、</w:t>
            </w:r>
            <w:r>
              <w:rPr>
                <w:rFonts w:hint="eastAsia"/>
                <w:sz w:val="24"/>
              </w:rPr>
              <w:t>液压油、废润滑油、废液压油。</w:t>
            </w:r>
          </w:p>
          <w:p w14:paraId="2B0956BE">
            <w:pPr>
              <w:adjustRightInd w:val="0"/>
              <w:snapToGrid w:val="0"/>
              <w:spacing w:line="360" w:lineRule="auto"/>
              <w:jc w:val="center"/>
              <w:rPr>
                <w:b/>
                <w:sz w:val="24"/>
              </w:rPr>
            </w:pPr>
            <w:r>
              <w:rPr>
                <w:b/>
                <w:sz w:val="24"/>
                <w:szCs w:val="20"/>
              </w:rPr>
              <w:t>表36</w:t>
            </w:r>
            <w:r>
              <w:rPr>
                <w:b/>
                <w:sz w:val="24"/>
              </w:rPr>
              <w:t>本项目Q值确定表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1725"/>
              <w:gridCol w:w="1531"/>
              <w:gridCol w:w="1231"/>
              <w:gridCol w:w="1415"/>
              <w:gridCol w:w="2127"/>
            </w:tblGrid>
            <w:tr w14:paraId="696C7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21" w:type="pct"/>
                  <w:vAlign w:val="center"/>
                </w:tcPr>
                <w:p w14:paraId="04D027E2">
                  <w:pPr>
                    <w:autoSpaceDE w:val="0"/>
                    <w:autoSpaceDN w:val="0"/>
                    <w:spacing w:line="360" w:lineRule="exact"/>
                    <w:jc w:val="center"/>
                    <w:rPr>
                      <w:snapToGrid w:val="0"/>
                      <w:kern w:val="0"/>
                      <w:szCs w:val="21"/>
                    </w:rPr>
                  </w:pPr>
                  <w:r>
                    <w:rPr>
                      <w:snapToGrid w:val="0"/>
                      <w:kern w:val="0"/>
                      <w:szCs w:val="21"/>
                    </w:rPr>
                    <w:t>序号</w:t>
                  </w:r>
                </w:p>
              </w:tc>
              <w:tc>
                <w:tcPr>
                  <w:tcW w:w="984" w:type="pct"/>
                  <w:vAlign w:val="center"/>
                </w:tcPr>
                <w:p w14:paraId="036E261B">
                  <w:pPr>
                    <w:autoSpaceDE w:val="0"/>
                    <w:autoSpaceDN w:val="0"/>
                    <w:spacing w:line="360" w:lineRule="exact"/>
                    <w:jc w:val="center"/>
                    <w:rPr>
                      <w:snapToGrid w:val="0"/>
                      <w:kern w:val="0"/>
                      <w:szCs w:val="21"/>
                    </w:rPr>
                  </w:pPr>
                  <w:r>
                    <w:rPr>
                      <w:snapToGrid w:val="0"/>
                      <w:kern w:val="0"/>
                      <w:szCs w:val="21"/>
                    </w:rPr>
                    <w:t>危险物质名称</w:t>
                  </w:r>
                </w:p>
              </w:tc>
              <w:tc>
                <w:tcPr>
                  <w:tcW w:w="873" w:type="pct"/>
                  <w:tcBorders>
                    <w:right w:val="single" w:color="auto" w:sz="6" w:space="0"/>
                  </w:tcBorders>
                  <w:vAlign w:val="center"/>
                </w:tcPr>
                <w:p w14:paraId="5BCD121B">
                  <w:pPr>
                    <w:autoSpaceDE w:val="0"/>
                    <w:autoSpaceDN w:val="0"/>
                    <w:spacing w:line="360" w:lineRule="exact"/>
                    <w:jc w:val="center"/>
                    <w:rPr>
                      <w:snapToGrid w:val="0"/>
                      <w:kern w:val="0"/>
                      <w:szCs w:val="21"/>
                    </w:rPr>
                  </w:pPr>
                  <w:r>
                    <w:rPr>
                      <w:rFonts w:hint="eastAsia"/>
                      <w:snapToGrid w:val="0"/>
                      <w:kern w:val="0"/>
                      <w:szCs w:val="21"/>
                    </w:rPr>
                    <w:t>存放位置</w:t>
                  </w:r>
                </w:p>
              </w:tc>
              <w:tc>
                <w:tcPr>
                  <w:tcW w:w="702" w:type="pct"/>
                  <w:tcBorders>
                    <w:left w:val="single" w:color="auto" w:sz="6" w:space="0"/>
                  </w:tcBorders>
                  <w:vAlign w:val="center"/>
                </w:tcPr>
                <w:p w14:paraId="14CE526D">
                  <w:pPr>
                    <w:autoSpaceDE w:val="0"/>
                    <w:autoSpaceDN w:val="0"/>
                    <w:spacing w:line="360" w:lineRule="exact"/>
                    <w:jc w:val="center"/>
                    <w:rPr>
                      <w:snapToGrid w:val="0"/>
                      <w:kern w:val="0"/>
                      <w:szCs w:val="21"/>
                    </w:rPr>
                  </w:pPr>
                  <w:r>
                    <w:rPr>
                      <w:snapToGrid w:val="0"/>
                      <w:kern w:val="0"/>
                      <w:szCs w:val="21"/>
                    </w:rPr>
                    <w:t>最大贮存量qn/t</w:t>
                  </w:r>
                </w:p>
              </w:tc>
              <w:tc>
                <w:tcPr>
                  <w:tcW w:w="807" w:type="pct"/>
                  <w:vAlign w:val="center"/>
                </w:tcPr>
                <w:p w14:paraId="7C17CB60">
                  <w:pPr>
                    <w:autoSpaceDE w:val="0"/>
                    <w:autoSpaceDN w:val="0"/>
                    <w:spacing w:line="360" w:lineRule="exact"/>
                    <w:jc w:val="center"/>
                    <w:rPr>
                      <w:snapToGrid w:val="0"/>
                      <w:kern w:val="0"/>
                      <w:szCs w:val="21"/>
                    </w:rPr>
                  </w:pPr>
                  <w:r>
                    <w:rPr>
                      <w:snapToGrid w:val="0"/>
                      <w:kern w:val="0"/>
                      <w:szCs w:val="21"/>
                    </w:rPr>
                    <w:t>临界量Qn/t</w:t>
                  </w:r>
                </w:p>
              </w:tc>
              <w:tc>
                <w:tcPr>
                  <w:tcW w:w="1213" w:type="pct"/>
                  <w:vAlign w:val="center"/>
                </w:tcPr>
                <w:p w14:paraId="7797F69D">
                  <w:pPr>
                    <w:autoSpaceDE w:val="0"/>
                    <w:autoSpaceDN w:val="0"/>
                    <w:spacing w:line="360" w:lineRule="exact"/>
                    <w:jc w:val="center"/>
                    <w:rPr>
                      <w:snapToGrid w:val="0"/>
                      <w:kern w:val="0"/>
                      <w:szCs w:val="21"/>
                    </w:rPr>
                  </w:pPr>
                  <w:r>
                    <w:rPr>
                      <w:snapToGrid w:val="0"/>
                      <w:kern w:val="0"/>
                      <w:szCs w:val="21"/>
                    </w:rPr>
                    <w:t>该种危险物质Q值</w:t>
                  </w:r>
                </w:p>
              </w:tc>
            </w:tr>
            <w:tr w14:paraId="18FDA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50A2AC75">
                  <w:pPr>
                    <w:spacing w:line="360" w:lineRule="exact"/>
                    <w:jc w:val="center"/>
                    <w:rPr>
                      <w:szCs w:val="21"/>
                    </w:rPr>
                  </w:pPr>
                  <w:bookmarkStart w:id="229" w:name="_Hlk191049135"/>
                  <w:r>
                    <w:rPr>
                      <w:szCs w:val="21"/>
                    </w:rPr>
                    <w:t>1</w:t>
                  </w:r>
                </w:p>
              </w:tc>
              <w:tc>
                <w:tcPr>
                  <w:tcW w:w="984" w:type="pct"/>
                  <w:vAlign w:val="center"/>
                </w:tcPr>
                <w:p w14:paraId="0B216087">
                  <w:pPr>
                    <w:autoSpaceDE w:val="0"/>
                    <w:autoSpaceDN w:val="0"/>
                    <w:spacing w:line="360" w:lineRule="exact"/>
                    <w:jc w:val="center"/>
                    <w:rPr>
                      <w:snapToGrid w:val="0"/>
                      <w:kern w:val="0"/>
                      <w:szCs w:val="21"/>
                    </w:rPr>
                  </w:pPr>
                  <w:r>
                    <w:rPr>
                      <w:rFonts w:hint="eastAsia"/>
                      <w:snapToGrid w:val="0"/>
                      <w:kern w:val="0"/>
                      <w:szCs w:val="21"/>
                    </w:rPr>
                    <w:t>润滑油</w:t>
                  </w:r>
                </w:p>
              </w:tc>
              <w:tc>
                <w:tcPr>
                  <w:tcW w:w="873" w:type="pct"/>
                  <w:tcBorders>
                    <w:right w:val="single" w:color="auto" w:sz="6" w:space="0"/>
                  </w:tcBorders>
                  <w:vAlign w:val="center"/>
                </w:tcPr>
                <w:p w14:paraId="77A36252">
                  <w:pPr>
                    <w:autoSpaceDE w:val="0"/>
                    <w:autoSpaceDN w:val="0"/>
                    <w:spacing w:line="360" w:lineRule="exact"/>
                    <w:jc w:val="center"/>
                    <w:rPr>
                      <w:snapToGrid w:val="0"/>
                      <w:kern w:val="0"/>
                      <w:szCs w:val="21"/>
                    </w:rPr>
                  </w:pPr>
                  <w:r>
                    <w:rPr>
                      <w:rFonts w:hint="eastAsia"/>
                      <w:snapToGrid w:val="0"/>
                      <w:kern w:val="0"/>
                      <w:szCs w:val="21"/>
                    </w:rPr>
                    <w:t>油类区</w:t>
                  </w:r>
                </w:p>
              </w:tc>
              <w:tc>
                <w:tcPr>
                  <w:tcW w:w="702" w:type="pct"/>
                  <w:tcBorders>
                    <w:left w:val="single" w:color="auto" w:sz="6" w:space="0"/>
                  </w:tcBorders>
                  <w:vAlign w:val="center"/>
                </w:tcPr>
                <w:p w14:paraId="6F7A5516">
                  <w:pPr>
                    <w:autoSpaceDE w:val="0"/>
                    <w:autoSpaceDN w:val="0"/>
                    <w:spacing w:line="360" w:lineRule="exact"/>
                    <w:jc w:val="center"/>
                    <w:rPr>
                      <w:snapToGrid w:val="0"/>
                      <w:kern w:val="0"/>
                      <w:szCs w:val="21"/>
                    </w:rPr>
                  </w:pPr>
                  <w:r>
                    <w:rPr>
                      <w:snapToGrid w:val="0"/>
                      <w:kern w:val="0"/>
                      <w:szCs w:val="21"/>
                    </w:rPr>
                    <w:t>0.18</w:t>
                  </w:r>
                </w:p>
              </w:tc>
              <w:tc>
                <w:tcPr>
                  <w:tcW w:w="807" w:type="pct"/>
                  <w:vAlign w:val="center"/>
                </w:tcPr>
                <w:p w14:paraId="160A32AE">
                  <w:pPr>
                    <w:autoSpaceDE w:val="0"/>
                    <w:autoSpaceDN w:val="0"/>
                    <w:spacing w:line="360" w:lineRule="exact"/>
                    <w:jc w:val="center"/>
                    <w:rPr>
                      <w:snapToGrid w:val="0"/>
                      <w:kern w:val="0"/>
                      <w:szCs w:val="21"/>
                    </w:rPr>
                  </w:pPr>
                  <w:r>
                    <w:rPr>
                      <w:snapToGrid w:val="0"/>
                      <w:kern w:val="0"/>
                      <w:szCs w:val="21"/>
                    </w:rPr>
                    <w:t>2500</w:t>
                  </w:r>
                </w:p>
              </w:tc>
              <w:tc>
                <w:tcPr>
                  <w:tcW w:w="1213" w:type="pct"/>
                  <w:vAlign w:val="center"/>
                </w:tcPr>
                <w:p w14:paraId="2585E895">
                  <w:pPr>
                    <w:snapToGrid w:val="0"/>
                    <w:jc w:val="center"/>
                    <w:rPr>
                      <w:szCs w:val="21"/>
                    </w:rPr>
                  </w:pPr>
                  <w:r>
                    <w:rPr>
                      <w:szCs w:val="21"/>
                    </w:rPr>
                    <w:t>0.000072</w:t>
                  </w:r>
                </w:p>
              </w:tc>
            </w:tr>
            <w:tr w14:paraId="17EC3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570019D6">
                  <w:pPr>
                    <w:spacing w:line="360" w:lineRule="exact"/>
                    <w:jc w:val="center"/>
                    <w:rPr>
                      <w:szCs w:val="21"/>
                    </w:rPr>
                  </w:pPr>
                  <w:r>
                    <w:rPr>
                      <w:rFonts w:hint="eastAsia"/>
                      <w:szCs w:val="21"/>
                    </w:rPr>
                    <w:t>2</w:t>
                  </w:r>
                </w:p>
              </w:tc>
              <w:tc>
                <w:tcPr>
                  <w:tcW w:w="984" w:type="pct"/>
                  <w:vAlign w:val="center"/>
                </w:tcPr>
                <w:p w14:paraId="3E05DD4B">
                  <w:pPr>
                    <w:autoSpaceDE w:val="0"/>
                    <w:autoSpaceDN w:val="0"/>
                    <w:spacing w:line="360" w:lineRule="exact"/>
                    <w:jc w:val="center"/>
                    <w:rPr>
                      <w:snapToGrid w:val="0"/>
                      <w:kern w:val="0"/>
                      <w:szCs w:val="21"/>
                    </w:rPr>
                  </w:pPr>
                  <w:r>
                    <w:rPr>
                      <w:rFonts w:hint="eastAsia"/>
                      <w:snapToGrid w:val="0"/>
                      <w:kern w:val="0"/>
                      <w:szCs w:val="21"/>
                    </w:rPr>
                    <w:t>废润滑油</w:t>
                  </w:r>
                </w:p>
              </w:tc>
              <w:tc>
                <w:tcPr>
                  <w:tcW w:w="873" w:type="pct"/>
                  <w:tcBorders>
                    <w:right w:val="single" w:color="auto" w:sz="6" w:space="0"/>
                  </w:tcBorders>
                  <w:vAlign w:val="center"/>
                </w:tcPr>
                <w:p w14:paraId="43EEE185">
                  <w:pPr>
                    <w:autoSpaceDE w:val="0"/>
                    <w:autoSpaceDN w:val="0"/>
                    <w:spacing w:line="360" w:lineRule="exact"/>
                    <w:jc w:val="center"/>
                    <w:rPr>
                      <w:snapToGrid w:val="0"/>
                      <w:kern w:val="0"/>
                      <w:szCs w:val="21"/>
                    </w:rPr>
                  </w:pPr>
                  <w:r>
                    <w:rPr>
                      <w:rFonts w:hint="eastAsia"/>
                      <w:snapToGrid w:val="0"/>
                      <w:kern w:val="0"/>
                      <w:szCs w:val="21"/>
                    </w:rPr>
                    <w:t>危废暂存间</w:t>
                  </w:r>
                </w:p>
              </w:tc>
              <w:tc>
                <w:tcPr>
                  <w:tcW w:w="702" w:type="pct"/>
                  <w:tcBorders>
                    <w:left w:val="single" w:color="auto" w:sz="6" w:space="0"/>
                  </w:tcBorders>
                  <w:vAlign w:val="center"/>
                </w:tcPr>
                <w:p w14:paraId="5B3ED67D">
                  <w:pPr>
                    <w:autoSpaceDE w:val="0"/>
                    <w:autoSpaceDN w:val="0"/>
                    <w:spacing w:line="360" w:lineRule="exact"/>
                    <w:jc w:val="center"/>
                    <w:rPr>
                      <w:snapToGrid w:val="0"/>
                      <w:kern w:val="0"/>
                      <w:szCs w:val="21"/>
                    </w:rPr>
                  </w:pPr>
                  <w:r>
                    <w:rPr>
                      <w:snapToGrid w:val="0"/>
                      <w:kern w:val="0"/>
                      <w:szCs w:val="21"/>
                    </w:rPr>
                    <w:t>0.1</w:t>
                  </w:r>
                </w:p>
              </w:tc>
              <w:tc>
                <w:tcPr>
                  <w:tcW w:w="807" w:type="pct"/>
                  <w:vAlign w:val="center"/>
                </w:tcPr>
                <w:p w14:paraId="7AD9DD23">
                  <w:pPr>
                    <w:autoSpaceDE w:val="0"/>
                    <w:autoSpaceDN w:val="0"/>
                    <w:spacing w:line="360" w:lineRule="exact"/>
                    <w:jc w:val="center"/>
                    <w:rPr>
                      <w:snapToGrid w:val="0"/>
                      <w:kern w:val="0"/>
                      <w:szCs w:val="21"/>
                    </w:rPr>
                  </w:pPr>
                  <w:r>
                    <w:rPr>
                      <w:snapToGrid w:val="0"/>
                      <w:kern w:val="0"/>
                      <w:szCs w:val="21"/>
                    </w:rPr>
                    <w:t>2500</w:t>
                  </w:r>
                </w:p>
              </w:tc>
              <w:tc>
                <w:tcPr>
                  <w:tcW w:w="1213" w:type="pct"/>
                  <w:vAlign w:val="center"/>
                </w:tcPr>
                <w:p w14:paraId="19DF2979">
                  <w:pPr>
                    <w:snapToGrid w:val="0"/>
                    <w:jc w:val="center"/>
                    <w:rPr>
                      <w:szCs w:val="21"/>
                    </w:rPr>
                  </w:pPr>
                  <w:r>
                    <w:rPr>
                      <w:szCs w:val="21"/>
                    </w:rPr>
                    <w:t>0.00004</w:t>
                  </w:r>
                </w:p>
              </w:tc>
            </w:tr>
            <w:tr w14:paraId="37D41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20B7736D">
                  <w:pPr>
                    <w:autoSpaceDE w:val="0"/>
                    <w:autoSpaceDN w:val="0"/>
                    <w:spacing w:line="360" w:lineRule="exact"/>
                    <w:jc w:val="center"/>
                    <w:rPr>
                      <w:snapToGrid w:val="0"/>
                      <w:kern w:val="0"/>
                      <w:szCs w:val="21"/>
                    </w:rPr>
                  </w:pPr>
                  <w:r>
                    <w:rPr>
                      <w:snapToGrid w:val="0"/>
                      <w:kern w:val="0"/>
                      <w:szCs w:val="21"/>
                    </w:rPr>
                    <w:t>3</w:t>
                  </w:r>
                </w:p>
              </w:tc>
              <w:tc>
                <w:tcPr>
                  <w:tcW w:w="984" w:type="pct"/>
                  <w:vAlign w:val="center"/>
                </w:tcPr>
                <w:p w14:paraId="1F6FA597">
                  <w:pPr>
                    <w:jc w:val="center"/>
                    <w:rPr>
                      <w:szCs w:val="21"/>
                    </w:rPr>
                  </w:pPr>
                  <w:r>
                    <w:rPr>
                      <w:rFonts w:hint="eastAsia"/>
                      <w:szCs w:val="21"/>
                    </w:rPr>
                    <w:t>液压油</w:t>
                  </w:r>
                </w:p>
              </w:tc>
              <w:tc>
                <w:tcPr>
                  <w:tcW w:w="873" w:type="pct"/>
                  <w:tcBorders>
                    <w:right w:val="single" w:color="auto" w:sz="6" w:space="0"/>
                  </w:tcBorders>
                  <w:vAlign w:val="center"/>
                </w:tcPr>
                <w:p w14:paraId="4C05EF28">
                  <w:pPr>
                    <w:autoSpaceDE w:val="0"/>
                    <w:autoSpaceDN w:val="0"/>
                    <w:spacing w:line="360" w:lineRule="exact"/>
                    <w:jc w:val="center"/>
                    <w:rPr>
                      <w:snapToGrid w:val="0"/>
                      <w:kern w:val="0"/>
                      <w:szCs w:val="21"/>
                    </w:rPr>
                  </w:pPr>
                  <w:r>
                    <w:rPr>
                      <w:rFonts w:hint="eastAsia"/>
                      <w:snapToGrid w:val="0"/>
                      <w:kern w:val="0"/>
                      <w:szCs w:val="21"/>
                    </w:rPr>
                    <w:t>油类区</w:t>
                  </w:r>
                </w:p>
              </w:tc>
              <w:tc>
                <w:tcPr>
                  <w:tcW w:w="702" w:type="pct"/>
                  <w:tcBorders>
                    <w:left w:val="single" w:color="auto" w:sz="6" w:space="0"/>
                  </w:tcBorders>
                  <w:vAlign w:val="center"/>
                </w:tcPr>
                <w:p w14:paraId="77B6B013">
                  <w:pPr>
                    <w:jc w:val="center"/>
                    <w:rPr>
                      <w:rFonts w:eastAsia="等线"/>
                      <w:szCs w:val="21"/>
                    </w:rPr>
                  </w:pPr>
                  <w:r>
                    <w:rPr>
                      <w:rFonts w:eastAsia="等线"/>
                      <w:szCs w:val="21"/>
                    </w:rPr>
                    <w:t>0.18</w:t>
                  </w:r>
                </w:p>
              </w:tc>
              <w:tc>
                <w:tcPr>
                  <w:tcW w:w="807" w:type="pct"/>
                  <w:vAlign w:val="center"/>
                </w:tcPr>
                <w:p w14:paraId="31A4B1F8">
                  <w:pPr>
                    <w:autoSpaceDE w:val="0"/>
                    <w:autoSpaceDN w:val="0"/>
                    <w:spacing w:line="360" w:lineRule="exact"/>
                    <w:jc w:val="center"/>
                    <w:rPr>
                      <w:snapToGrid w:val="0"/>
                      <w:kern w:val="0"/>
                      <w:szCs w:val="21"/>
                    </w:rPr>
                  </w:pPr>
                  <w:r>
                    <w:rPr>
                      <w:snapToGrid w:val="0"/>
                      <w:kern w:val="0"/>
                      <w:szCs w:val="21"/>
                    </w:rPr>
                    <w:t>2500</w:t>
                  </w:r>
                </w:p>
              </w:tc>
              <w:tc>
                <w:tcPr>
                  <w:tcW w:w="1213" w:type="pct"/>
                  <w:vAlign w:val="center"/>
                </w:tcPr>
                <w:p w14:paraId="409B4167">
                  <w:pPr>
                    <w:snapToGrid w:val="0"/>
                    <w:jc w:val="center"/>
                    <w:rPr>
                      <w:szCs w:val="21"/>
                    </w:rPr>
                  </w:pPr>
                  <w:r>
                    <w:rPr>
                      <w:szCs w:val="21"/>
                    </w:rPr>
                    <w:t>0.000072</w:t>
                  </w:r>
                </w:p>
              </w:tc>
            </w:tr>
            <w:tr w14:paraId="5C7E3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5056AD8E">
                  <w:pPr>
                    <w:autoSpaceDE w:val="0"/>
                    <w:autoSpaceDN w:val="0"/>
                    <w:spacing w:line="360" w:lineRule="exact"/>
                    <w:jc w:val="center"/>
                    <w:rPr>
                      <w:snapToGrid w:val="0"/>
                      <w:kern w:val="0"/>
                      <w:szCs w:val="21"/>
                    </w:rPr>
                  </w:pPr>
                  <w:r>
                    <w:rPr>
                      <w:snapToGrid w:val="0"/>
                      <w:kern w:val="0"/>
                      <w:szCs w:val="21"/>
                    </w:rPr>
                    <w:t>4</w:t>
                  </w:r>
                </w:p>
              </w:tc>
              <w:tc>
                <w:tcPr>
                  <w:tcW w:w="984" w:type="pct"/>
                  <w:vAlign w:val="center"/>
                </w:tcPr>
                <w:p w14:paraId="7A07A145">
                  <w:pPr>
                    <w:jc w:val="center"/>
                    <w:rPr>
                      <w:szCs w:val="21"/>
                    </w:rPr>
                  </w:pPr>
                  <w:r>
                    <w:rPr>
                      <w:rFonts w:hint="eastAsia"/>
                      <w:szCs w:val="21"/>
                    </w:rPr>
                    <w:t>废液压油</w:t>
                  </w:r>
                </w:p>
              </w:tc>
              <w:tc>
                <w:tcPr>
                  <w:tcW w:w="873" w:type="pct"/>
                  <w:tcBorders>
                    <w:right w:val="single" w:color="auto" w:sz="6" w:space="0"/>
                  </w:tcBorders>
                  <w:vAlign w:val="center"/>
                </w:tcPr>
                <w:p w14:paraId="03F37AF8">
                  <w:pPr>
                    <w:autoSpaceDE w:val="0"/>
                    <w:autoSpaceDN w:val="0"/>
                    <w:spacing w:line="360" w:lineRule="exact"/>
                    <w:jc w:val="center"/>
                    <w:rPr>
                      <w:snapToGrid w:val="0"/>
                      <w:kern w:val="0"/>
                      <w:szCs w:val="21"/>
                    </w:rPr>
                  </w:pPr>
                  <w:r>
                    <w:rPr>
                      <w:rFonts w:hint="eastAsia"/>
                      <w:snapToGrid w:val="0"/>
                      <w:kern w:val="0"/>
                      <w:szCs w:val="21"/>
                    </w:rPr>
                    <w:t>危废暂存间</w:t>
                  </w:r>
                </w:p>
              </w:tc>
              <w:tc>
                <w:tcPr>
                  <w:tcW w:w="702" w:type="pct"/>
                  <w:tcBorders>
                    <w:left w:val="single" w:color="auto" w:sz="6" w:space="0"/>
                  </w:tcBorders>
                  <w:vAlign w:val="center"/>
                </w:tcPr>
                <w:p w14:paraId="7E1A6ECC">
                  <w:pPr>
                    <w:jc w:val="center"/>
                    <w:rPr>
                      <w:rFonts w:eastAsia="等线"/>
                      <w:szCs w:val="21"/>
                    </w:rPr>
                  </w:pPr>
                  <w:r>
                    <w:rPr>
                      <w:rFonts w:hint="eastAsia" w:eastAsia="等线"/>
                      <w:szCs w:val="21"/>
                    </w:rPr>
                    <w:t>0</w:t>
                  </w:r>
                  <w:r>
                    <w:rPr>
                      <w:rFonts w:eastAsia="等线"/>
                      <w:szCs w:val="21"/>
                    </w:rPr>
                    <w:t>.1</w:t>
                  </w:r>
                </w:p>
              </w:tc>
              <w:tc>
                <w:tcPr>
                  <w:tcW w:w="807" w:type="pct"/>
                  <w:vAlign w:val="center"/>
                </w:tcPr>
                <w:p w14:paraId="3938F5E5">
                  <w:pPr>
                    <w:autoSpaceDE w:val="0"/>
                    <w:autoSpaceDN w:val="0"/>
                    <w:spacing w:line="360" w:lineRule="exact"/>
                    <w:jc w:val="center"/>
                    <w:rPr>
                      <w:snapToGrid w:val="0"/>
                      <w:kern w:val="0"/>
                      <w:szCs w:val="21"/>
                    </w:rPr>
                  </w:pPr>
                  <w:r>
                    <w:rPr>
                      <w:snapToGrid w:val="0"/>
                      <w:kern w:val="0"/>
                      <w:szCs w:val="21"/>
                    </w:rPr>
                    <w:t>2500</w:t>
                  </w:r>
                </w:p>
              </w:tc>
              <w:tc>
                <w:tcPr>
                  <w:tcW w:w="1213" w:type="pct"/>
                  <w:vAlign w:val="center"/>
                </w:tcPr>
                <w:p w14:paraId="286D476F">
                  <w:pPr>
                    <w:snapToGrid w:val="0"/>
                    <w:jc w:val="center"/>
                    <w:rPr>
                      <w:szCs w:val="21"/>
                    </w:rPr>
                  </w:pPr>
                  <w:r>
                    <w:rPr>
                      <w:szCs w:val="21"/>
                    </w:rPr>
                    <w:t>0.00004</w:t>
                  </w:r>
                </w:p>
              </w:tc>
            </w:tr>
            <w:bookmarkEnd w:id="229"/>
            <w:tr w14:paraId="008E8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87" w:type="pct"/>
                  <w:gridSpan w:val="5"/>
                  <w:vAlign w:val="center"/>
                </w:tcPr>
                <w:p w14:paraId="3D319A95">
                  <w:pPr>
                    <w:autoSpaceDE w:val="0"/>
                    <w:autoSpaceDN w:val="0"/>
                    <w:spacing w:line="360" w:lineRule="exact"/>
                    <w:jc w:val="center"/>
                    <w:rPr>
                      <w:snapToGrid w:val="0"/>
                      <w:kern w:val="0"/>
                      <w:szCs w:val="21"/>
                    </w:rPr>
                  </w:pPr>
                  <w:r>
                    <w:rPr>
                      <w:snapToGrid w:val="0"/>
                      <w:kern w:val="0"/>
                      <w:szCs w:val="21"/>
                    </w:rPr>
                    <w:t>总Q值</w:t>
                  </w:r>
                </w:p>
              </w:tc>
              <w:tc>
                <w:tcPr>
                  <w:tcW w:w="1213" w:type="pct"/>
                  <w:vAlign w:val="center"/>
                </w:tcPr>
                <w:p w14:paraId="4430EF4C">
                  <w:pPr>
                    <w:snapToGrid w:val="0"/>
                    <w:jc w:val="center"/>
                    <w:rPr>
                      <w:szCs w:val="21"/>
                    </w:rPr>
                  </w:pPr>
                  <w:r>
                    <w:rPr>
                      <w:szCs w:val="21"/>
                    </w:rPr>
                    <w:t>0.000224</w:t>
                  </w:r>
                </w:p>
              </w:tc>
            </w:tr>
          </w:tbl>
          <w:p w14:paraId="1BCAB123">
            <w:pPr>
              <w:adjustRightInd w:val="0"/>
              <w:snapToGrid w:val="0"/>
              <w:spacing w:line="360" w:lineRule="auto"/>
              <w:ind w:firstLine="480" w:firstLineChars="200"/>
              <w:rPr>
                <w:sz w:val="24"/>
                <w:szCs w:val="20"/>
              </w:rPr>
            </w:pPr>
            <w:r>
              <w:rPr>
                <w:sz w:val="24"/>
                <w:szCs w:val="20"/>
              </w:rPr>
              <w:t>由上表可知，Q值小于1， 本项目风险类型为废气处理措施故障，会导致废气排放量增加，对周围环境空气造成一定程度影响</w:t>
            </w:r>
            <w:r>
              <w:rPr>
                <w:rFonts w:hint="eastAsia"/>
                <w:sz w:val="24"/>
                <w:szCs w:val="20"/>
              </w:rPr>
              <w:t>；</w:t>
            </w:r>
            <w:r>
              <w:rPr>
                <w:sz w:val="24"/>
                <w:szCs w:val="20"/>
              </w:rPr>
              <w:t>润滑油、</w:t>
            </w:r>
            <w:r>
              <w:rPr>
                <w:rFonts w:hint="eastAsia"/>
                <w:sz w:val="24"/>
                <w:szCs w:val="20"/>
              </w:rPr>
              <w:t>液压油、</w:t>
            </w:r>
            <w:r>
              <w:rPr>
                <w:sz w:val="24"/>
                <w:szCs w:val="20"/>
              </w:rPr>
              <w:t>废活性炭等发生泄漏及引发的火灾、爆炸等引发的伴生/次生污染物排放；润滑油、</w:t>
            </w:r>
            <w:r>
              <w:rPr>
                <w:rFonts w:hint="eastAsia"/>
                <w:sz w:val="24"/>
                <w:szCs w:val="20"/>
              </w:rPr>
              <w:t>液压油、</w:t>
            </w:r>
            <w:r>
              <w:rPr>
                <w:sz w:val="24"/>
                <w:szCs w:val="20"/>
              </w:rPr>
              <w:t>废活性炭等泄漏火灾事故消防废水造成的地表水/地下水影响。</w:t>
            </w:r>
          </w:p>
          <w:p w14:paraId="6938A4B5">
            <w:pPr>
              <w:spacing w:line="360" w:lineRule="auto"/>
              <w:ind w:firstLine="482" w:firstLineChars="200"/>
              <w:rPr>
                <w:b/>
                <w:sz w:val="24"/>
              </w:rPr>
            </w:pPr>
            <w:r>
              <w:rPr>
                <w:b/>
                <w:sz w:val="24"/>
              </w:rPr>
              <w:t>2、风险防范措施</w:t>
            </w:r>
          </w:p>
          <w:p w14:paraId="62B1E42E">
            <w:pPr>
              <w:spacing w:line="360" w:lineRule="auto"/>
              <w:ind w:firstLine="480" w:firstLineChars="200"/>
              <w:rPr>
                <w:bCs/>
                <w:sz w:val="24"/>
              </w:rPr>
            </w:pPr>
            <w:r>
              <w:rPr>
                <w:rFonts w:hint="eastAsia"/>
                <w:bCs/>
                <w:sz w:val="24"/>
              </w:rPr>
              <w:t>建设单位</w:t>
            </w:r>
            <w:r>
              <w:rPr>
                <w:bCs/>
                <w:sz w:val="24"/>
              </w:rPr>
              <w:t>在管理中严格执行各项操作规程，正常生产情况下，可确保安全生产及职工的身体健康。通过科学的设计、施工、操作和管理，可预防、避免事故的发生，将环境风险发生的可能性和危害性降低到最小程度，真正做到防患于未然。项目采用的具体防范及应急处理措施如下：</w:t>
            </w:r>
          </w:p>
          <w:p w14:paraId="7816AA31">
            <w:pPr>
              <w:spacing w:line="360" w:lineRule="auto"/>
              <w:ind w:firstLine="480" w:firstLineChars="200"/>
              <w:rPr>
                <w:bCs/>
                <w:sz w:val="24"/>
              </w:rPr>
            </w:pPr>
            <w:r>
              <w:rPr>
                <w:bCs/>
                <w:sz w:val="24"/>
              </w:rPr>
              <w:t>（1）废气处理装置故障事故应急措施</w:t>
            </w:r>
          </w:p>
          <w:p w14:paraId="0C15F342">
            <w:pPr>
              <w:spacing w:line="360" w:lineRule="auto"/>
              <w:ind w:firstLine="480" w:firstLineChars="200"/>
              <w:rPr>
                <w:bCs/>
                <w:sz w:val="24"/>
              </w:rPr>
            </w:pPr>
            <w:r>
              <w:rPr>
                <w:bCs/>
                <w:sz w:val="24"/>
              </w:rPr>
              <w:t>在生产过程中，废气处理装置发生故障时导致颗粒物、</w:t>
            </w:r>
            <w:r>
              <w:rPr>
                <w:rFonts w:hint="eastAsia"/>
                <w:bCs/>
                <w:sz w:val="24"/>
              </w:rPr>
              <w:t>V</w:t>
            </w:r>
            <w:r>
              <w:rPr>
                <w:bCs/>
                <w:sz w:val="24"/>
              </w:rPr>
              <w:t>OCs排放浓度增加，将会对大气环境造成一定影响。对于此类事故，采取以下应急措施：</w:t>
            </w:r>
          </w:p>
          <w:p w14:paraId="797E9DAC">
            <w:pPr>
              <w:spacing w:line="360" w:lineRule="auto"/>
              <w:ind w:firstLine="480" w:firstLineChars="200"/>
              <w:rPr>
                <w:bCs/>
                <w:sz w:val="24"/>
              </w:rPr>
            </w:pPr>
            <w:r>
              <w:rPr>
                <w:bCs/>
                <w:sz w:val="24"/>
              </w:rPr>
              <w:t>Ⅰ、启动车间紧急停车程序；</w:t>
            </w:r>
          </w:p>
          <w:p w14:paraId="338E0DD5">
            <w:pPr>
              <w:spacing w:line="360" w:lineRule="auto"/>
              <w:ind w:firstLine="480" w:firstLineChars="200"/>
              <w:rPr>
                <w:bCs/>
                <w:sz w:val="24"/>
              </w:rPr>
            </w:pPr>
            <w:r>
              <w:rPr>
                <w:bCs/>
                <w:sz w:val="24"/>
              </w:rPr>
              <w:t>Ⅱ、车间内开门、开窗或采取强制性通风；</w:t>
            </w:r>
          </w:p>
          <w:p w14:paraId="1D1344D5">
            <w:pPr>
              <w:spacing w:line="360" w:lineRule="auto"/>
              <w:ind w:firstLine="480" w:firstLineChars="200"/>
              <w:rPr>
                <w:bCs/>
                <w:sz w:val="24"/>
              </w:rPr>
            </w:pPr>
            <w:r>
              <w:rPr>
                <w:bCs/>
                <w:sz w:val="24"/>
              </w:rPr>
              <w:t>Ⅲ、向主管部门上报事故原因、损害情况、人员健康与环境风险、解救对策和方法；</w:t>
            </w:r>
          </w:p>
          <w:p w14:paraId="5E5219D0">
            <w:pPr>
              <w:spacing w:line="360" w:lineRule="auto"/>
              <w:ind w:firstLine="480" w:firstLineChars="200"/>
              <w:rPr>
                <w:bCs/>
                <w:kern w:val="0"/>
                <w:sz w:val="24"/>
                <w:lang w:bidi="zh-CN"/>
              </w:rPr>
            </w:pPr>
            <w:r>
              <w:rPr>
                <w:bCs/>
                <w:kern w:val="0"/>
                <w:sz w:val="24"/>
                <w:lang w:bidi="zh-CN"/>
              </w:rPr>
              <w:t>Ⅳ、查明事故故障，简单故障自行维修，无法自行修复的联系环保设施生产厂家维修。</w:t>
            </w:r>
          </w:p>
          <w:p w14:paraId="7D4A3161">
            <w:pPr>
              <w:autoSpaceDE w:val="0"/>
              <w:autoSpaceDN w:val="0"/>
              <w:spacing w:line="360" w:lineRule="auto"/>
              <w:ind w:firstLine="480" w:firstLineChars="200"/>
              <w:rPr>
                <w:bCs/>
                <w:kern w:val="0"/>
                <w:sz w:val="24"/>
                <w:lang w:bidi="zh-CN"/>
              </w:rPr>
            </w:pPr>
            <w:r>
              <w:rPr>
                <w:bCs/>
                <w:kern w:val="0"/>
                <w:sz w:val="24"/>
                <w:lang w:bidi="zh-CN"/>
              </w:rPr>
              <w:t>（2）火灾风险防范措施</w:t>
            </w:r>
          </w:p>
          <w:p w14:paraId="14C6DDB4">
            <w:pPr>
              <w:autoSpaceDE w:val="0"/>
              <w:autoSpaceDN w:val="0"/>
              <w:spacing w:line="360" w:lineRule="auto"/>
              <w:ind w:firstLine="480" w:firstLineChars="200"/>
              <w:rPr>
                <w:bCs/>
                <w:kern w:val="0"/>
                <w:sz w:val="24"/>
                <w:lang w:bidi="zh-CN"/>
              </w:rPr>
            </w:pPr>
            <w:r>
              <w:rPr>
                <w:rFonts w:hint="eastAsia" w:ascii="宋体" w:hAnsi="宋体" w:cs="宋体"/>
                <w:bCs/>
                <w:kern w:val="0"/>
                <w:sz w:val="24"/>
                <w:lang w:bidi="zh-CN"/>
              </w:rPr>
              <w:t>1）</w:t>
            </w:r>
            <w:r>
              <w:rPr>
                <w:bCs/>
                <w:kern w:val="0"/>
                <w:sz w:val="24"/>
                <w:lang w:bidi="zh-CN"/>
              </w:rPr>
              <w:t>火灾事故的预防</w:t>
            </w:r>
          </w:p>
          <w:p w14:paraId="581D83B0">
            <w:pPr>
              <w:autoSpaceDE w:val="0"/>
              <w:autoSpaceDN w:val="0"/>
              <w:spacing w:line="360" w:lineRule="auto"/>
              <w:ind w:firstLine="480" w:firstLineChars="200"/>
              <w:rPr>
                <w:bCs/>
                <w:kern w:val="0"/>
                <w:sz w:val="24"/>
                <w:lang w:bidi="zh-CN"/>
              </w:rPr>
            </w:pPr>
            <w:r>
              <w:rPr>
                <w:rFonts w:hint="eastAsia"/>
                <w:bCs/>
                <w:kern w:val="0"/>
                <w:sz w:val="24"/>
                <w:lang w:bidi="zh-CN"/>
              </w:rPr>
              <w:t xml:space="preserve">①加强运行管理，定期检查危废库、油类暂存区、喷塑房、固化间等。 </w:t>
            </w:r>
          </w:p>
          <w:p w14:paraId="7F2328F0">
            <w:pPr>
              <w:autoSpaceDE w:val="0"/>
              <w:autoSpaceDN w:val="0"/>
              <w:spacing w:line="360" w:lineRule="auto"/>
              <w:ind w:firstLine="480" w:firstLineChars="200"/>
              <w:rPr>
                <w:bCs/>
                <w:kern w:val="0"/>
                <w:sz w:val="24"/>
                <w:lang w:bidi="zh-CN"/>
              </w:rPr>
            </w:pPr>
            <w:r>
              <w:rPr>
                <w:rFonts w:hint="eastAsia"/>
                <w:bCs/>
                <w:kern w:val="0"/>
                <w:sz w:val="24"/>
                <w:lang w:bidi="zh-CN"/>
              </w:rPr>
              <w:t>②备足灭火器、灭火沙等灭火工具。</w:t>
            </w:r>
          </w:p>
          <w:p w14:paraId="6FA94A08">
            <w:pPr>
              <w:autoSpaceDE w:val="0"/>
              <w:autoSpaceDN w:val="0"/>
              <w:spacing w:line="360" w:lineRule="auto"/>
              <w:ind w:firstLine="480" w:firstLineChars="200"/>
              <w:rPr>
                <w:bCs/>
                <w:kern w:val="0"/>
                <w:sz w:val="24"/>
                <w:lang w:bidi="zh-CN"/>
              </w:rPr>
            </w:pPr>
            <w:r>
              <w:rPr>
                <w:rFonts w:hint="eastAsia"/>
                <w:bCs/>
                <w:kern w:val="0"/>
                <w:sz w:val="24"/>
                <w:lang w:bidi="zh-CN"/>
              </w:rPr>
              <w:t xml:space="preserve">③加强操作人员的岗位培训，严格遵守规程。对事故易发处按规定时间巡检，发现问题及早解决；该项目防火等消防安全措施必须到位。 </w:t>
            </w:r>
          </w:p>
          <w:p w14:paraId="5E4AE0AA">
            <w:pPr>
              <w:autoSpaceDE w:val="0"/>
              <w:autoSpaceDN w:val="0"/>
              <w:spacing w:line="360" w:lineRule="auto"/>
              <w:ind w:firstLine="480" w:firstLineChars="200"/>
              <w:rPr>
                <w:bCs/>
                <w:kern w:val="0"/>
                <w:sz w:val="24"/>
                <w:lang w:bidi="zh-CN"/>
              </w:rPr>
            </w:pPr>
            <w:r>
              <w:rPr>
                <w:bCs/>
                <w:kern w:val="0"/>
                <w:sz w:val="24"/>
                <w:lang w:bidi="zh-CN"/>
              </w:rPr>
              <w:t>2</w:t>
            </w:r>
            <w:r>
              <w:rPr>
                <w:rFonts w:hint="eastAsia"/>
                <w:bCs/>
                <w:kern w:val="0"/>
                <w:sz w:val="24"/>
                <w:lang w:bidi="zh-CN"/>
              </w:rPr>
              <w:t>）发生火灾的应急措施：</w:t>
            </w:r>
          </w:p>
          <w:p w14:paraId="08E247D6">
            <w:pPr>
              <w:autoSpaceDE w:val="0"/>
              <w:autoSpaceDN w:val="0"/>
              <w:spacing w:line="360" w:lineRule="auto"/>
              <w:ind w:firstLine="480" w:firstLineChars="200"/>
              <w:rPr>
                <w:bCs/>
                <w:kern w:val="0"/>
                <w:sz w:val="24"/>
                <w:lang w:bidi="zh-CN"/>
              </w:rPr>
            </w:pPr>
            <w:r>
              <w:rPr>
                <w:rFonts w:hint="eastAsia"/>
                <w:bCs/>
                <w:kern w:val="0"/>
                <w:sz w:val="24"/>
                <w:lang w:bidi="zh-CN"/>
              </w:rPr>
              <w:t>①厂区按照要求配置足够的干粉、泡沫灭火器、相应的其他消防器材及应急事故照明。灭火器不得随意挪用，检验到期或失效的灭火器要及时更换；</w:t>
            </w:r>
          </w:p>
          <w:p w14:paraId="7C61C963">
            <w:pPr>
              <w:autoSpaceDE w:val="0"/>
              <w:autoSpaceDN w:val="0"/>
              <w:spacing w:line="360" w:lineRule="auto"/>
              <w:ind w:firstLine="480" w:firstLineChars="200"/>
              <w:rPr>
                <w:bCs/>
                <w:kern w:val="0"/>
                <w:sz w:val="24"/>
                <w:lang w:bidi="zh-CN"/>
              </w:rPr>
            </w:pPr>
            <w:r>
              <w:rPr>
                <w:rFonts w:hint="eastAsia"/>
                <w:bCs/>
                <w:kern w:val="0"/>
                <w:sz w:val="24"/>
                <w:lang w:bidi="zh-CN"/>
              </w:rPr>
              <w:t>②发现着火者立即通知公司应急指挥小组；</w:t>
            </w:r>
          </w:p>
          <w:p w14:paraId="681B5AA5">
            <w:pPr>
              <w:autoSpaceDE w:val="0"/>
              <w:autoSpaceDN w:val="0"/>
              <w:spacing w:line="360" w:lineRule="auto"/>
              <w:ind w:firstLine="480" w:firstLineChars="200"/>
              <w:rPr>
                <w:bCs/>
                <w:kern w:val="0"/>
                <w:sz w:val="24"/>
                <w:lang w:bidi="zh-CN"/>
              </w:rPr>
            </w:pPr>
            <w:r>
              <w:rPr>
                <w:rFonts w:hint="eastAsia" w:ascii="宋体" w:hAnsi="宋体" w:cs="宋体"/>
                <w:bCs/>
                <w:kern w:val="0"/>
                <w:sz w:val="24"/>
                <w:lang w:bidi="zh-CN"/>
              </w:rPr>
              <w:t>③</w:t>
            </w:r>
            <w:r>
              <w:rPr>
                <w:bCs/>
                <w:kern w:val="0"/>
                <w:sz w:val="24"/>
                <w:lang w:bidi="zh-CN"/>
              </w:rPr>
              <w:t>当火灾发生并产生浓烟，建议佩戴自吸过滤式防毒面具（半面罩）。</w:t>
            </w:r>
            <w:r>
              <w:rPr>
                <w:rFonts w:hint="eastAsia"/>
                <w:bCs/>
                <w:kern w:val="0"/>
                <w:sz w:val="24"/>
                <w:lang w:bidi="zh-CN"/>
              </w:rPr>
              <w:t>医疗救助员组织现场的无关人立即撤离事故现场，增援现场的受伤人员，</w:t>
            </w:r>
            <w:r>
              <w:rPr>
                <w:bCs/>
                <w:kern w:val="0"/>
                <w:sz w:val="24"/>
                <w:lang w:bidi="zh-CN"/>
              </w:rPr>
              <w:t>紧急事态抢救或撤离时，必须佩戴氧气呼吸器。工作现场禁止吸烟、进食和饮水。工作毕，淋浴更衣。保持良好的卫生习惯。进入高浓度区作业，须有人监护；</w:t>
            </w:r>
          </w:p>
          <w:p w14:paraId="3E72663F">
            <w:pPr>
              <w:autoSpaceDE w:val="0"/>
              <w:autoSpaceDN w:val="0"/>
              <w:spacing w:line="360" w:lineRule="auto"/>
              <w:ind w:firstLine="480" w:firstLineChars="200"/>
              <w:rPr>
                <w:bCs/>
                <w:kern w:val="0"/>
                <w:sz w:val="24"/>
                <w:lang w:bidi="zh-CN"/>
              </w:rPr>
            </w:pPr>
            <w:r>
              <w:rPr>
                <w:rFonts w:hint="eastAsia" w:ascii="宋体" w:hAnsi="宋体" w:cs="宋体"/>
                <w:bCs/>
                <w:kern w:val="0"/>
                <w:sz w:val="24"/>
                <w:lang w:bidi="zh-CN"/>
              </w:rPr>
              <w:t>④</w:t>
            </w:r>
            <w:r>
              <w:rPr>
                <w:bCs/>
                <w:kern w:val="0"/>
                <w:sz w:val="24"/>
                <w:lang w:bidi="zh-CN"/>
              </w:rPr>
              <w:t>当人体吸入有毒气体引起中毒，须迅速脱离现场至空气新鲜处；情节严重的要立即就医；</w:t>
            </w:r>
          </w:p>
          <w:p w14:paraId="586AFD81">
            <w:pPr>
              <w:autoSpaceDE w:val="0"/>
              <w:autoSpaceDN w:val="0"/>
              <w:spacing w:line="360" w:lineRule="auto"/>
              <w:ind w:firstLine="480" w:firstLineChars="200"/>
              <w:rPr>
                <w:bCs/>
                <w:kern w:val="0"/>
                <w:sz w:val="24"/>
                <w:lang w:bidi="zh-CN"/>
              </w:rPr>
            </w:pPr>
            <w:r>
              <w:rPr>
                <w:rFonts w:hint="eastAsia"/>
                <w:bCs/>
                <w:kern w:val="0"/>
                <w:sz w:val="24"/>
                <w:lang w:bidi="zh-CN"/>
              </w:rPr>
              <w:t>⑤</w:t>
            </w:r>
            <w:r>
              <w:rPr>
                <w:bCs/>
                <w:kern w:val="0"/>
                <w:sz w:val="24"/>
                <w:lang w:bidi="zh-CN"/>
              </w:rPr>
              <w:t>消防人员必须佩戴过滤式防毒面具、穿全身消防服，用灭火器紧急处理，及时报告，根据情况拨打119；</w:t>
            </w:r>
          </w:p>
          <w:p w14:paraId="584D6DC6">
            <w:pPr>
              <w:autoSpaceDE w:val="0"/>
              <w:autoSpaceDN w:val="0"/>
              <w:spacing w:line="360" w:lineRule="auto"/>
              <w:ind w:firstLine="480" w:firstLineChars="200"/>
              <w:rPr>
                <w:bCs/>
                <w:kern w:val="0"/>
                <w:sz w:val="24"/>
                <w:lang w:bidi="zh-CN"/>
              </w:rPr>
            </w:pPr>
            <w:r>
              <w:rPr>
                <w:rFonts w:hint="eastAsia"/>
                <w:bCs/>
                <w:kern w:val="0"/>
                <w:sz w:val="24"/>
                <w:lang w:bidi="zh-CN"/>
              </w:rPr>
              <w:t>⑥公司应急指挥小组根据现场察勘情况，组织各成员实施紧急预案，本项目主要原辅料塑粉为易燃物品，采用灭火器、灭火沙进行灭火；</w:t>
            </w:r>
          </w:p>
          <w:p w14:paraId="16E6F822">
            <w:pPr>
              <w:autoSpaceDE w:val="0"/>
              <w:autoSpaceDN w:val="0"/>
              <w:spacing w:line="360" w:lineRule="auto"/>
              <w:ind w:firstLine="480" w:firstLineChars="200"/>
              <w:rPr>
                <w:bCs/>
                <w:kern w:val="0"/>
                <w:sz w:val="24"/>
                <w:lang w:bidi="zh-CN"/>
              </w:rPr>
            </w:pPr>
            <w:r>
              <w:rPr>
                <w:rFonts w:hint="eastAsia"/>
                <w:bCs/>
                <w:kern w:val="0"/>
                <w:sz w:val="24"/>
                <w:lang w:bidi="zh-CN"/>
              </w:rPr>
              <w:t>⑦生产车间及危废库设置截留导排设施；</w:t>
            </w:r>
          </w:p>
          <w:p w14:paraId="0C3C8057">
            <w:pPr>
              <w:autoSpaceDE w:val="0"/>
              <w:autoSpaceDN w:val="0"/>
              <w:spacing w:line="360" w:lineRule="auto"/>
              <w:ind w:firstLine="480" w:firstLineChars="200"/>
              <w:rPr>
                <w:bCs/>
                <w:kern w:val="0"/>
                <w:sz w:val="24"/>
                <w:lang w:bidi="zh-CN"/>
              </w:rPr>
            </w:pPr>
            <w:r>
              <w:rPr>
                <w:rFonts w:hint="eastAsia"/>
                <w:bCs/>
                <w:kern w:val="0"/>
                <w:sz w:val="24"/>
                <w:lang w:bidi="zh-CN"/>
              </w:rPr>
              <w:t>⑧车间内设置火灾预警装置。</w:t>
            </w:r>
          </w:p>
          <w:p w14:paraId="5BF00922">
            <w:pPr>
              <w:autoSpaceDE w:val="0"/>
              <w:autoSpaceDN w:val="0"/>
              <w:spacing w:line="360" w:lineRule="auto"/>
              <w:ind w:firstLine="480" w:firstLineChars="200"/>
              <w:rPr>
                <w:bCs/>
                <w:sz w:val="24"/>
              </w:rPr>
            </w:pPr>
            <w:r>
              <w:rPr>
                <w:bCs/>
                <w:kern w:val="0"/>
                <w:sz w:val="24"/>
                <w:lang w:bidi="zh-CN"/>
              </w:rPr>
              <w:t>（3）</w:t>
            </w:r>
            <w:r>
              <w:rPr>
                <w:bCs/>
                <w:sz w:val="24"/>
              </w:rPr>
              <w:t>泄漏风险防范措施</w:t>
            </w:r>
          </w:p>
          <w:p w14:paraId="07239ECA">
            <w:pPr>
              <w:widowControl/>
              <w:adjustRightInd w:val="0"/>
              <w:snapToGrid w:val="0"/>
              <w:spacing w:line="360" w:lineRule="auto"/>
              <w:ind w:firstLine="480" w:firstLineChars="200"/>
              <w:rPr>
                <w:kern w:val="0"/>
                <w:sz w:val="24"/>
                <w:lang w:bidi="ar"/>
              </w:rPr>
            </w:pPr>
            <w:r>
              <w:rPr>
                <w:rFonts w:hint="eastAsia" w:ascii="宋体" w:hAnsi="宋体" w:cs="宋体"/>
                <w:bCs/>
                <w:kern w:val="0"/>
                <w:sz w:val="24"/>
                <w:lang w:bidi="zh-CN"/>
              </w:rPr>
              <w:t>①</w:t>
            </w:r>
            <w:r>
              <w:rPr>
                <w:bCs/>
                <w:kern w:val="0"/>
                <w:sz w:val="24"/>
                <w:lang w:bidi="zh-CN"/>
              </w:rPr>
              <w:t>本项目润滑油、</w:t>
            </w:r>
            <w:r>
              <w:rPr>
                <w:rFonts w:hint="eastAsia"/>
                <w:bCs/>
                <w:kern w:val="0"/>
                <w:sz w:val="24"/>
                <w:lang w:bidi="zh-CN"/>
              </w:rPr>
              <w:t>液压油</w:t>
            </w:r>
            <w:r>
              <w:rPr>
                <w:bCs/>
                <w:kern w:val="0"/>
                <w:sz w:val="24"/>
                <w:lang w:bidi="zh-CN"/>
              </w:rPr>
              <w:t>采用桶装</w:t>
            </w:r>
            <w:r>
              <w:rPr>
                <w:rFonts w:hint="eastAsia"/>
                <w:bCs/>
                <w:kern w:val="0"/>
                <w:sz w:val="24"/>
                <w:lang w:bidi="zh-CN"/>
              </w:rPr>
              <w:t>，</w:t>
            </w:r>
            <w:r>
              <w:rPr>
                <w:bCs/>
                <w:kern w:val="0"/>
                <w:sz w:val="24"/>
                <w:lang w:bidi="zh-CN"/>
              </w:rPr>
              <w:t>本项目化粪池、危废</w:t>
            </w:r>
            <w:r>
              <w:rPr>
                <w:rFonts w:hint="eastAsia"/>
                <w:bCs/>
                <w:kern w:val="0"/>
                <w:sz w:val="24"/>
                <w:lang w:bidi="zh-CN"/>
              </w:rPr>
              <w:t>暂存间、生产车间（油类暂存区）、事故水池</w:t>
            </w:r>
            <w:r>
              <w:rPr>
                <w:bCs/>
                <w:kern w:val="0"/>
                <w:sz w:val="24"/>
                <w:lang w:bidi="zh-CN"/>
              </w:rPr>
              <w:t>为重点防渗区，</w:t>
            </w:r>
            <w:r>
              <w:rPr>
                <w:kern w:val="0"/>
                <w:sz w:val="24"/>
                <w:lang w:bidi="ar"/>
              </w:rPr>
              <w:t>防渗性能不应低于6.0m厚渗透系数为1.0×10</w:t>
            </w:r>
            <w:r>
              <w:rPr>
                <w:kern w:val="0"/>
                <w:sz w:val="24"/>
                <w:vertAlign w:val="superscript"/>
                <w:lang w:bidi="ar"/>
              </w:rPr>
              <w:t>-7</w:t>
            </w:r>
            <w:r>
              <w:rPr>
                <w:kern w:val="0"/>
                <w:sz w:val="24"/>
                <w:lang w:bidi="ar"/>
              </w:rPr>
              <w:t>cm/s的粘土层的防渗性能</w:t>
            </w:r>
            <w:r>
              <w:rPr>
                <w:bCs/>
                <w:kern w:val="0"/>
                <w:sz w:val="24"/>
                <w:lang w:bidi="zh-CN"/>
              </w:rPr>
              <w:t>；车间其他区域为一般防渗区，</w:t>
            </w:r>
            <w:r>
              <w:rPr>
                <w:kern w:val="0"/>
                <w:sz w:val="24"/>
                <w:lang w:bidi="ar"/>
              </w:rPr>
              <w:t>防渗性能不应低于1.5m厚渗透系数为1.0×10</w:t>
            </w:r>
            <w:r>
              <w:rPr>
                <w:kern w:val="0"/>
                <w:sz w:val="24"/>
                <w:vertAlign w:val="superscript"/>
                <w:lang w:bidi="ar"/>
              </w:rPr>
              <w:t>-7</w:t>
            </w:r>
            <w:r>
              <w:rPr>
                <w:kern w:val="0"/>
                <w:sz w:val="24"/>
                <w:lang w:bidi="ar"/>
              </w:rPr>
              <w:t>cm/s的粘土层的防渗性能</w:t>
            </w:r>
            <w:r>
              <w:rPr>
                <w:bCs/>
                <w:kern w:val="0"/>
                <w:sz w:val="24"/>
                <w:lang w:bidi="zh-CN"/>
              </w:rPr>
              <w:t>。</w:t>
            </w:r>
          </w:p>
          <w:p w14:paraId="15F5300F">
            <w:pPr>
              <w:widowControl/>
              <w:adjustRightInd w:val="0"/>
              <w:snapToGrid w:val="0"/>
              <w:spacing w:line="360" w:lineRule="auto"/>
              <w:ind w:firstLine="480" w:firstLineChars="200"/>
              <w:jc w:val="left"/>
              <w:rPr>
                <w:bCs/>
                <w:kern w:val="0"/>
                <w:sz w:val="24"/>
                <w:lang w:bidi="zh-CN"/>
              </w:rPr>
            </w:pPr>
            <w:r>
              <w:rPr>
                <w:rFonts w:hint="eastAsia" w:ascii="宋体" w:hAnsi="宋体" w:cs="宋体"/>
                <w:bCs/>
                <w:kern w:val="0"/>
                <w:sz w:val="24"/>
                <w:lang w:bidi="zh-CN"/>
              </w:rPr>
              <w:t>②</w:t>
            </w:r>
            <w:r>
              <w:rPr>
                <w:rFonts w:hint="eastAsia"/>
                <w:bCs/>
                <w:sz w:val="24"/>
                <w:szCs w:val="21"/>
              </w:rPr>
              <w:t>油类暂存区</w:t>
            </w:r>
            <w:r>
              <w:rPr>
                <w:sz w:val="24"/>
              </w:rPr>
              <w:t>和危废</w:t>
            </w:r>
            <w:r>
              <w:rPr>
                <w:rFonts w:hint="eastAsia"/>
                <w:sz w:val="24"/>
              </w:rPr>
              <w:t>暂存间</w:t>
            </w:r>
            <w:r>
              <w:rPr>
                <w:sz w:val="24"/>
              </w:rPr>
              <w:t>设置</w:t>
            </w:r>
            <w:r>
              <w:rPr>
                <w:rFonts w:hint="eastAsia"/>
                <w:sz w:val="24"/>
              </w:rPr>
              <w:t>防渗</w:t>
            </w:r>
            <w:r>
              <w:rPr>
                <w:sz w:val="24"/>
              </w:rPr>
              <w:t>托盘，防止废油泄</w:t>
            </w:r>
            <w:r>
              <w:rPr>
                <w:rFonts w:hint="eastAsia"/>
                <w:sz w:val="24"/>
              </w:rPr>
              <w:t>漏</w:t>
            </w:r>
            <w:r>
              <w:rPr>
                <w:sz w:val="24"/>
              </w:rPr>
              <w:t>外流</w:t>
            </w:r>
            <w:r>
              <w:rPr>
                <w:rFonts w:hint="eastAsia"/>
                <w:sz w:val="24"/>
              </w:rPr>
              <w:t>，托盘的最小容积不小于包装容器的容积。生产车间及危废库设置截留导排设施，在装置开停工、检修、生产过程中及危废库暂存危废废物过程中，可能产生含有可燃、有毒、对环境有污染液体漫流到装置单元周围，因此生产车间设置截留导排设施。</w:t>
            </w:r>
          </w:p>
          <w:p w14:paraId="74280CDC">
            <w:pPr>
              <w:autoSpaceDE w:val="0"/>
              <w:autoSpaceDN w:val="0"/>
              <w:spacing w:line="360" w:lineRule="auto"/>
              <w:ind w:firstLine="480" w:firstLineChars="200"/>
              <w:jc w:val="left"/>
              <w:rPr>
                <w:kern w:val="36"/>
                <w:sz w:val="24"/>
                <w:szCs w:val="21"/>
              </w:rPr>
            </w:pPr>
            <w:r>
              <w:rPr>
                <w:rFonts w:hint="eastAsia" w:ascii="宋体" w:hAnsi="宋体" w:cs="宋体"/>
                <w:bCs/>
                <w:kern w:val="0"/>
                <w:sz w:val="24"/>
                <w:lang w:bidi="zh-CN"/>
              </w:rPr>
              <w:t>③</w:t>
            </w:r>
            <w:r>
              <w:rPr>
                <w:sz w:val="24"/>
              </w:rPr>
              <w:t>定期</w:t>
            </w:r>
            <w:r>
              <w:rPr>
                <w:bCs/>
                <w:kern w:val="0"/>
                <w:sz w:val="24"/>
                <w:lang w:bidi="zh-CN"/>
              </w:rPr>
              <w:t>安排工作人员日常</w:t>
            </w:r>
            <w:r>
              <w:rPr>
                <w:kern w:val="36"/>
                <w:sz w:val="24"/>
                <w:szCs w:val="21"/>
              </w:rPr>
              <w:t>巡检，及时发现隐患，及时维护，</w:t>
            </w:r>
            <w:r>
              <w:rPr>
                <w:bCs/>
                <w:kern w:val="0"/>
                <w:sz w:val="24"/>
                <w:lang w:bidi="zh-CN"/>
              </w:rPr>
              <w:t>尽量减少泄漏的可能性</w:t>
            </w:r>
            <w:r>
              <w:rPr>
                <w:kern w:val="36"/>
                <w:sz w:val="24"/>
                <w:szCs w:val="21"/>
              </w:rPr>
              <w:t>。</w:t>
            </w:r>
          </w:p>
          <w:p w14:paraId="4E145D67">
            <w:pPr>
              <w:autoSpaceDE w:val="0"/>
              <w:autoSpaceDN w:val="0"/>
              <w:spacing w:line="360" w:lineRule="auto"/>
              <w:ind w:firstLine="480" w:firstLineChars="200"/>
              <w:jc w:val="left"/>
              <w:rPr>
                <w:kern w:val="36"/>
                <w:sz w:val="24"/>
              </w:rPr>
            </w:pPr>
            <w:r>
              <w:rPr>
                <w:rFonts w:hint="eastAsia"/>
                <w:kern w:val="36"/>
                <w:sz w:val="24"/>
              </w:rPr>
              <w:t>④</w:t>
            </w:r>
            <w:r>
              <w:rPr>
                <w:rFonts w:hint="eastAsia" w:cs="宋体"/>
                <w:sz w:val="24"/>
              </w:rPr>
              <w:t>当风险物质发生泄漏时，用沙子将泄漏的物料进行覆盖吸附后，收至容器内。泄漏物收集后暂存在危废库内，委托给有资质部门处理，任何个人和部门不得擅自处理；当固体危险废物发生洒落时，用洁净的铲子收集于有盖的容器中，避免扬尘，禁止直接用自来水冲洗</w:t>
            </w:r>
            <w:r>
              <w:rPr>
                <w:bCs/>
                <w:sz w:val="24"/>
              </w:rPr>
              <w:t>。</w:t>
            </w:r>
          </w:p>
          <w:p w14:paraId="089D835E">
            <w:pPr>
              <w:autoSpaceDE w:val="0"/>
              <w:autoSpaceDN w:val="0"/>
              <w:spacing w:line="360" w:lineRule="auto"/>
              <w:ind w:firstLine="480" w:firstLineChars="200"/>
              <w:jc w:val="left"/>
              <w:rPr>
                <w:sz w:val="24"/>
              </w:rPr>
            </w:pPr>
            <w:r>
              <w:rPr>
                <w:bCs/>
                <w:kern w:val="0"/>
                <w:sz w:val="24"/>
                <w:lang w:bidi="zh-CN"/>
              </w:rPr>
              <w:t>（4）</w:t>
            </w:r>
            <w:r>
              <w:rPr>
                <w:rFonts w:hint="eastAsia"/>
                <w:sz w:val="24"/>
              </w:rPr>
              <w:t>三级应急防控体系</w:t>
            </w:r>
          </w:p>
          <w:p w14:paraId="74D69BBD">
            <w:pPr>
              <w:autoSpaceDE w:val="0"/>
              <w:autoSpaceDN w:val="0"/>
              <w:spacing w:line="360" w:lineRule="auto"/>
              <w:ind w:firstLine="480" w:firstLineChars="200"/>
              <w:jc w:val="left"/>
              <w:rPr>
                <w:bCs/>
                <w:kern w:val="0"/>
                <w:sz w:val="24"/>
                <w:lang w:bidi="zh-CN"/>
              </w:rPr>
            </w:pPr>
            <w:r>
              <w:rPr>
                <w:bCs/>
                <w:sz w:val="24"/>
              </w:rPr>
              <w:t>参照《中国石油天然气集团公司石油化工企业水污染应急防控技术要点》、《建设项目环境风险评价技术导则》（HJ169-2018）要求，针对项目污染物来源及其特性，以实现达标排放和满足应急处置为原则，建立“单元—厂区—园区/区域”的“三级防控”机制。</w:t>
            </w:r>
          </w:p>
          <w:p w14:paraId="58067922">
            <w:pPr>
              <w:spacing w:line="360" w:lineRule="auto"/>
              <w:ind w:firstLine="480" w:firstLineChars="200"/>
              <w:rPr>
                <w:bCs/>
                <w:sz w:val="24"/>
              </w:rPr>
            </w:pPr>
            <w:r>
              <w:rPr>
                <w:bCs/>
                <w:sz w:val="24"/>
              </w:rPr>
              <w:t>一级防控措施：生产车间内设置</w:t>
            </w:r>
            <w:r>
              <w:rPr>
                <w:rFonts w:hint="eastAsia"/>
                <w:bCs/>
                <w:sz w:val="24"/>
              </w:rPr>
              <w:t>导流管</w:t>
            </w:r>
            <w:r>
              <w:rPr>
                <w:bCs/>
                <w:sz w:val="24"/>
              </w:rPr>
              <w:t>沟，构筑生产过程中环境安全的第一层防控网，防止轻微事故泄漏造成的环境污染。</w:t>
            </w:r>
          </w:p>
          <w:p w14:paraId="73086AE9">
            <w:pPr>
              <w:spacing w:line="360" w:lineRule="auto"/>
              <w:ind w:firstLine="480" w:firstLineChars="200"/>
              <w:rPr>
                <w:bCs/>
                <w:sz w:val="24"/>
              </w:rPr>
            </w:pPr>
            <w:r>
              <w:rPr>
                <w:bCs/>
                <w:sz w:val="24"/>
              </w:rPr>
              <w:t>二级防控措施：在污染严重污染物的装置或厂区设置事故缓冲池并设置切换阀，并在雨水排放口设置截止阀，切断污染物与外部的通道、导入</w:t>
            </w:r>
            <w:r>
              <w:rPr>
                <w:rFonts w:hint="eastAsia"/>
                <w:bCs/>
                <w:sz w:val="24"/>
              </w:rPr>
              <w:t>事故水池</w:t>
            </w:r>
            <w:r>
              <w:rPr>
                <w:bCs/>
                <w:sz w:val="24"/>
              </w:rPr>
              <w:t>，将污染控制在厂内，防止重大事故泄漏物料和污染消防水造成的环境污染。</w:t>
            </w:r>
          </w:p>
          <w:p w14:paraId="66E69417">
            <w:pPr>
              <w:spacing w:line="360" w:lineRule="auto"/>
              <w:ind w:firstLine="480" w:firstLineChars="200"/>
              <w:rPr>
                <w:bCs/>
                <w:sz w:val="24"/>
              </w:rPr>
            </w:pPr>
            <w:r>
              <w:rPr>
                <w:bCs/>
                <w:sz w:val="24"/>
              </w:rPr>
              <w:t>参照《事故状态下水体污染的预防与控制技术要求》（Q/SY1190-2013）计算公式确定，具体公式如下：</w:t>
            </w:r>
          </w:p>
          <w:p w14:paraId="5E9BFEA1">
            <w:pPr>
              <w:spacing w:line="360" w:lineRule="auto"/>
              <w:ind w:firstLine="480" w:firstLineChars="200"/>
              <w:rPr>
                <w:bCs/>
                <w:sz w:val="24"/>
              </w:rPr>
            </w:pPr>
            <w:r>
              <w:rPr>
                <w:bCs/>
                <w:sz w:val="24"/>
              </w:rPr>
              <w:t>V</w:t>
            </w:r>
            <w:r>
              <w:rPr>
                <w:bCs/>
                <w:sz w:val="24"/>
                <w:vertAlign w:val="subscript"/>
              </w:rPr>
              <w:t>总</w:t>
            </w:r>
            <w:r>
              <w:rPr>
                <w:bCs/>
                <w:sz w:val="24"/>
              </w:rPr>
              <w:t>=(V</w:t>
            </w:r>
            <w:r>
              <w:rPr>
                <w:bCs/>
                <w:sz w:val="24"/>
                <w:vertAlign w:val="subscript"/>
              </w:rPr>
              <w:t>1</w:t>
            </w:r>
            <w:r>
              <w:rPr>
                <w:bCs/>
                <w:sz w:val="24"/>
              </w:rPr>
              <w:t>+V</w:t>
            </w:r>
            <w:r>
              <w:rPr>
                <w:bCs/>
                <w:sz w:val="24"/>
                <w:vertAlign w:val="subscript"/>
              </w:rPr>
              <w:t>2</w:t>
            </w:r>
            <w:r>
              <w:rPr>
                <w:bCs/>
                <w:sz w:val="24"/>
              </w:rPr>
              <w:t>-V</w:t>
            </w:r>
            <w:r>
              <w:rPr>
                <w:bCs/>
                <w:sz w:val="24"/>
                <w:vertAlign w:val="subscript"/>
              </w:rPr>
              <w:t>3</w:t>
            </w:r>
            <w:r>
              <w:rPr>
                <w:bCs/>
                <w:sz w:val="24"/>
              </w:rPr>
              <w:t>)+V</w:t>
            </w:r>
            <w:r>
              <w:rPr>
                <w:bCs/>
                <w:sz w:val="24"/>
                <w:vertAlign w:val="subscript"/>
              </w:rPr>
              <w:t>4</w:t>
            </w:r>
            <w:r>
              <w:rPr>
                <w:bCs/>
                <w:sz w:val="24"/>
              </w:rPr>
              <w:t>+V</w:t>
            </w:r>
            <w:r>
              <w:rPr>
                <w:bCs/>
                <w:sz w:val="24"/>
                <w:vertAlign w:val="subscript"/>
              </w:rPr>
              <w:t>5</w:t>
            </w:r>
          </w:p>
          <w:p w14:paraId="06C09978">
            <w:pPr>
              <w:spacing w:line="360" w:lineRule="auto"/>
              <w:ind w:firstLine="480" w:firstLineChars="200"/>
              <w:rPr>
                <w:bCs/>
                <w:sz w:val="24"/>
              </w:rPr>
            </w:pPr>
            <w:r>
              <w:rPr>
                <w:bCs/>
                <w:sz w:val="24"/>
              </w:rPr>
              <w:t>V</w:t>
            </w:r>
            <w:r>
              <w:rPr>
                <w:bCs/>
                <w:sz w:val="24"/>
                <w:vertAlign w:val="subscript"/>
              </w:rPr>
              <w:t>2</w:t>
            </w:r>
            <w:r>
              <w:rPr>
                <w:bCs/>
                <w:sz w:val="24"/>
              </w:rPr>
              <w:t>=∑Q</w:t>
            </w:r>
            <w:r>
              <w:rPr>
                <w:bCs/>
                <w:sz w:val="24"/>
                <w:vertAlign w:val="subscript"/>
              </w:rPr>
              <w:t>消</w:t>
            </w:r>
            <w:r>
              <w:rPr>
                <w:bCs/>
                <w:sz w:val="24"/>
              </w:rPr>
              <w:t>·t</w:t>
            </w:r>
            <w:r>
              <w:rPr>
                <w:bCs/>
                <w:sz w:val="24"/>
                <w:vertAlign w:val="subscript"/>
              </w:rPr>
              <w:t>消</w:t>
            </w:r>
            <w:r>
              <w:rPr>
                <w:bCs/>
                <w:sz w:val="24"/>
              </w:rPr>
              <w:t>；V</w:t>
            </w:r>
            <w:r>
              <w:rPr>
                <w:bCs/>
                <w:sz w:val="24"/>
                <w:vertAlign w:val="subscript"/>
              </w:rPr>
              <w:t>5</w:t>
            </w:r>
            <w:r>
              <w:rPr>
                <w:bCs/>
                <w:sz w:val="24"/>
              </w:rPr>
              <w:t>=10q·f；q=qa/n</w:t>
            </w:r>
          </w:p>
          <w:p w14:paraId="6D601C08">
            <w:pPr>
              <w:spacing w:line="360" w:lineRule="auto"/>
              <w:ind w:firstLine="480" w:firstLineChars="200"/>
              <w:rPr>
                <w:bCs/>
                <w:sz w:val="24"/>
              </w:rPr>
            </w:pPr>
            <w:r>
              <w:rPr>
                <w:bCs/>
                <w:sz w:val="24"/>
              </w:rPr>
              <w:t>V1：</w:t>
            </w:r>
            <w:r>
              <w:rPr>
                <w:rFonts w:hint="eastAsia"/>
                <w:bCs/>
                <w:sz w:val="24"/>
              </w:rPr>
              <w:t>收集系统范围内发生事故的物料量；本项目</w:t>
            </w:r>
            <w:r>
              <w:rPr>
                <w:bCs/>
                <w:sz w:val="24"/>
              </w:rPr>
              <w:t>V1=0</w:t>
            </w:r>
            <w:r>
              <w:rPr>
                <w:rFonts w:hint="eastAsia"/>
                <w:bCs/>
                <w:sz w:val="24"/>
              </w:rPr>
              <w:t>。</w:t>
            </w:r>
          </w:p>
          <w:p w14:paraId="7E328650">
            <w:pPr>
              <w:spacing w:line="360" w:lineRule="auto"/>
              <w:ind w:firstLine="480" w:firstLineChars="200"/>
              <w:rPr>
                <w:bCs/>
                <w:sz w:val="24"/>
              </w:rPr>
            </w:pPr>
            <w:r>
              <w:rPr>
                <w:bCs/>
                <w:sz w:val="24"/>
              </w:rPr>
              <w:t>V2：</w:t>
            </w:r>
            <w:r>
              <w:rPr>
                <w:rFonts w:hint="eastAsia"/>
                <w:bCs/>
                <w:snapToGrid w:val="0"/>
                <w:kern w:val="0"/>
                <w:sz w:val="24"/>
              </w:rPr>
              <w:t>按照《石油化工企业设计防火规范》（GB50160-2008）规定，室内消火栓设计流量按15L/s，火灾时间</w:t>
            </w:r>
            <w:r>
              <w:rPr>
                <w:bCs/>
                <w:snapToGrid w:val="0"/>
                <w:kern w:val="0"/>
                <w:sz w:val="24"/>
              </w:rPr>
              <w:t>2</w:t>
            </w:r>
            <w:r>
              <w:rPr>
                <w:rFonts w:hint="eastAsia"/>
                <w:bCs/>
                <w:snapToGrid w:val="0"/>
                <w:kern w:val="0"/>
                <w:sz w:val="24"/>
              </w:rPr>
              <w:t>h计，消防水量为</w:t>
            </w:r>
            <w:r>
              <w:rPr>
                <w:bCs/>
                <w:snapToGrid w:val="0"/>
                <w:kern w:val="0"/>
                <w:sz w:val="24"/>
              </w:rPr>
              <w:t>108</w:t>
            </w:r>
            <w:r>
              <w:rPr>
                <w:rFonts w:hint="eastAsia"/>
                <w:bCs/>
                <w:snapToGrid w:val="0"/>
                <w:kern w:val="0"/>
                <w:sz w:val="24"/>
              </w:rPr>
              <w:t>m³</w:t>
            </w:r>
            <w:r>
              <w:rPr>
                <w:bCs/>
                <w:sz w:val="24"/>
              </w:rPr>
              <w:t>；</w:t>
            </w:r>
          </w:p>
          <w:p w14:paraId="626EF031">
            <w:pPr>
              <w:spacing w:line="360" w:lineRule="auto"/>
              <w:ind w:firstLine="480" w:firstLineChars="200"/>
              <w:rPr>
                <w:bCs/>
                <w:sz w:val="24"/>
              </w:rPr>
            </w:pPr>
            <w:r>
              <w:rPr>
                <w:bCs/>
                <w:sz w:val="24"/>
              </w:rPr>
              <w:t xml:space="preserve"> V3：发生事故时可以转输到其他设施的物料量，</w:t>
            </w:r>
            <w:r>
              <w:rPr>
                <w:rFonts w:hint="eastAsia"/>
                <w:bCs/>
                <w:sz w:val="24"/>
              </w:rPr>
              <w:t>V</w:t>
            </w:r>
            <w:r>
              <w:rPr>
                <w:bCs/>
                <w:sz w:val="24"/>
              </w:rPr>
              <w:t>3=0m</w:t>
            </w:r>
            <w:r>
              <w:rPr>
                <w:bCs/>
                <w:sz w:val="24"/>
                <w:vertAlign w:val="superscript"/>
              </w:rPr>
              <w:t>3</w:t>
            </w:r>
          </w:p>
          <w:p w14:paraId="545EE23B">
            <w:pPr>
              <w:spacing w:line="360" w:lineRule="auto"/>
              <w:ind w:firstLine="480" w:firstLineChars="200"/>
              <w:rPr>
                <w:bCs/>
                <w:sz w:val="24"/>
              </w:rPr>
            </w:pPr>
            <w:r>
              <w:rPr>
                <w:bCs/>
                <w:sz w:val="24"/>
              </w:rPr>
              <w:t>V4：发生事故时必须进入该收集系统的生产废水量；本项目为0m</w:t>
            </w:r>
            <w:r>
              <w:rPr>
                <w:bCs/>
                <w:sz w:val="24"/>
                <w:vertAlign w:val="superscript"/>
              </w:rPr>
              <w:t>3</w:t>
            </w:r>
            <w:r>
              <w:rPr>
                <w:bCs/>
                <w:sz w:val="24"/>
              </w:rPr>
              <w:t>；</w:t>
            </w:r>
          </w:p>
          <w:p w14:paraId="4379DDB7">
            <w:pPr>
              <w:spacing w:line="360" w:lineRule="auto"/>
              <w:ind w:firstLine="480" w:firstLineChars="200"/>
              <w:rPr>
                <w:bCs/>
                <w:sz w:val="24"/>
              </w:rPr>
            </w:pPr>
            <w:r>
              <w:rPr>
                <w:bCs/>
                <w:sz w:val="24"/>
              </w:rPr>
              <w:t>V5：</w:t>
            </w:r>
            <w:r>
              <w:rPr>
                <w:rFonts w:hint="eastAsia"/>
                <w:bCs/>
                <w:sz w:val="24"/>
              </w:rPr>
              <w:t>发生事故时可能进入该收集系统的降雨量；根据Vs=10qf可知，项目区全部位于室内，无进入系统降水。V</w:t>
            </w:r>
            <w:r>
              <w:rPr>
                <w:bCs/>
                <w:sz w:val="24"/>
              </w:rPr>
              <w:t>5=0。</w:t>
            </w:r>
          </w:p>
          <w:p w14:paraId="31030A84">
            <w:pPr>
              <w:spacing w:line="360" w:lineRule="auto"/>
              <w:ind w:firstLine="480" w:firstLineChars="200"/>
              <w:rPr>
                <w:bCs/>
                <w:sz w:val="24"/>
              </w:rPr>
            </w:pPr>
            <w:r>
              <w:rPr>
                <w:bCs/>
                <w:sz w:val="24"/>
              </w:rPr>
              <w:t>经计算可得V</w:t>
            </w:r>
            <w:r>
              <w:rPr>
                <w:bCs/>
                <w:sz w:val="24"/>
                <w:vertAlign w:val="subscript"/>
              </w:rPr>
              <w:t>总</w:t>
            </w:r>
            <w:r>
              <w:rPr>
                <w:bCs/>
                <w:sz w:val="24"/>
              </w:rPr>
              <w:t>= 108m</w:t>
            </w:r>
            <w:r>
              <w:rPr>
                <w:bCs/>
                <w:sz w:val="24"/>
                <w:vertAlign w:val="superscript"/>
              </w:rPr>
              <w:t>3</w:t>
            </w:r>
            <w:r>
              <w:rPr>
                <w:bCs/>
                <w:sz w:val="24"/>
              </w:rPr>
              <w:t>。</w:t>
            </w:r>
          </w:p>
          <w:p w14:paraId="5DABC830">
            <w:pPr>
              <w:spacing w:line="360" w:lineRule="auto"/>
              <w:ind w:firstLine="480" w:firstLineChars="200"/>
              <w:rPr>
                <w:sz w:val="24"/>
              </w:rPr>
            </w:pPr>
            <w:r>
              <w:rPr>
                <w:sz w:val="24"/>
              </w:rPr>
              <w:t>综上可见，本项目应建设</w:t>
            </w:r>
            <w:r>
              <w:rPr>
                <w:rFonts w:hint="eastAsia"/>
                <w:sz w:val="24"/>
              </w:rPr>
              <w:t>1座</w:t>
            </w:r>
            <w:r>
              <w:rPr>
                <w:sz w:val="24"/>
              </w:rPr>
              <w:t>110m³的应急事故水池，能够确保本项目事故废水不外排。</w:t>
            </w:r>
          </w:p>
          <w:p w14:paraId="1B596628">
            <w:pPr>
              <w:spacing w:line="360" w:lineRule="auto"/>
              <w:ind w:firstLine="480" w:firstLineChars="200"/>
              <w:rPr>
                <w:bCs/>
                <w:sz w:val="24"/>
              </w:rPr>
            </w:pPr>
            <w:r>
              <w:rPr>
                <w:bCs/>
                <w:sz w:val="24"/>
              </w:rPr>
              <w:t>三级防控措施：</w:t>
            </w:r>
            <w:r>
              <w:rPr>
                <w:rFonts w:hint="eastAsia"/>
                <w:bCs/>
                <w:sz w:val="24"/>
              </w:rPr>
              <w:t>项目区一旦事故发生后，事故废水由企业用槽车统一外运，委托至有资质的单位进行处理，严禁不达标准直接排放。当厂内事故水未得到有效收集，通过雨水管网流出厂界时，应及时通知园区相关部门，启动园区突发环境事件应急预案，采取防控措施，将事故废水控制在园区内。</w:t>
            </w:r>
            <w:r>
              <w:rPr>
                <w:bCs/>
                <w:sz w:val="24"/>
              </w:rPr>
              <w:t>当厂内事故水未得到有效收集，通过雨水管网流出厂界时，应及时通知园区相关部门，启动园区突发环境事件应急预案，采取防控措施，将事故废水控制在园区内。若污染物扩散出厂界、企业应急预案无法应对时应启动园区应急预案，进行园区范围内应急响应，企业应急预案同时保持响应；若污染物扩散出园区边界时应及时通知</w:t>
            </w:r>
            <w:r>
              <w:rPr>
                <w:rFonts w:hint="eastAsia"/>
                <w:bCs/>
                <w:sz w:val="24"/>
              </w:rPr>
              <w:t>上级部门</w:t>
            </w:r>
            <w:r>
              <w:rPr>
                <w:bCs/>
                <w:sz w:val="24"/>
              </w:rPr>
              <w:t>，启动突发环境事件应急预案，进行镇域范围内应急响应，项目区应急预案和企业应急预案同时保持响应。</w:t>
            </w:r>
          </w:p>
          <w:p w14:paraId="2572B124">
            <w:pPr>
              <w:spacing w:line="360" w:lineRule="auto"/>
              <w:ind w:firstLine="480" w:firstLineChars="200"/>
              <w:rPr>
                <w:bCs/>
                <w:sz w:val="24"/>
              </w:rPr>
            </w:pPr>
            <w:r>
              <w:rPr>
                <w:bCs/>
                <w:sz w:val="24"/>
              </w:rPr>
              <w:t>通过三级防控体系的设置可以有效拦截事故废水进入下游河流，防止事故废水对当地地表水、地下水造成大的影响。</w:t>
            </w:r>
          </w:p>
          <w:p w14:paraId="31CAFA9F">
            <w:pPr>
              <w:adjustRightInd w:val="0"/>
              <w:snapToGrid w:val="0"/>
              <w:spacing w:line="360" w:lineRule="auto"/>
              <w:ind w:firstLine="482" w:firstLineChars="200"/>
              <w:rPr>
                <w:b/>
                <w:sz w:val="24"/>
                <w:szCs w:val="20"/>
              </w:rPr>
            </w:pPr>
            <w:r>
              <w:rPr>
                <w:b/>
                <w:sz w:val="24"/>
                <w:szCs w:val="20"/>
              </w:rPr>
              <w:t>3、风险小结</w:t>
            </w:r>
          </w:p>
          <w:p w14:paraId="421C93A5">
            <w:pPr>
              <w:adjustRightInd w:val="0"/>
              <w:snapToGrid w:val="0"/>
              <w:spacing w:line="360" w:lineRule="auto"/>
              <w:ind w:firstLine="480" w:firstLineChars="200"/>
              <w:rPr>
                <w:sz w:val="24"/>
                <w:szCs w:val="20"/>
              </w:rPr>
            </w:pPr>
            <w:r>
              <w:rPr>
                <w:sz w:val="24"/>
                <w:szCs w:val="20"/>
              </w:rPr>
              <w:t>项目运行过程中存在火灾</w:t>
            </w:r>
            <w:r>
              <w:rPr>
                <w:rFonts w:hint="eastAsia"/>
                <w:sz w:val="24"/>
                <w:szCs w:val="20"/>
              </w:rPr>
              <w:t>、泄漏</w:t>
            </w:r>
            <w:r>
              <w:rPr>
                <w:sz w:val="24"/>
                <w:szCs w:val="20"/>
              </w:rPr>
              <w:t>风险，必须严格执行国家的技术规范和操作规程要求，落实各项规章制度，加强监控和管理，避免火灾</w:t>
            </w:r>
            <w:r>
              <w:rPr>
                <w:rFonts w:hint="eastAsia"/>
                <w:sz w:val="24"/>
                <w:szCs w:val="20"/>
              </w:rPr>
              <w:t>、泄漏</w:t>
            </w:r>
            <w:r>
              <w:rPr>
                <w:sz w:val="24"/>
                <w:szCs w:val="20"/>
              </w:rPr>
              <w:t>事故的发生。</w:t>
            </w:r>
          </w:p>
          <w:p w14:paraId="07931771">
            <w:pPr>
              <w:adjustRightInd w:val="0"/>
              <w:snapToGrid w:val="0"/>
              <w:spacing w:line="360" w:lineRule="auto"/>
              <w:ind w:firstLine="489" w:firstLineChars="204"/>
              <w:rPr>
                <w:sz w:val="24"/>
                <w:szCs w:val="20"/>
              </w:rPr>
            </w:pPr>
            <w:r>
              <w:rPr>
                <w:sz w:val="24"/>
                <w:szCs w:val="20"/>
              </w:rPr>
              <w:t>在认真落实本次评价提出的要求后，项目环境风险</w:t>
            </w:r>
            <w:r>
              <w:rPr>
                <w:rFonts w:hint="eastAsia"/>
                <w:sz w:val="24"/>
                <w:szCs w:val="20"/>
              </w:rPr>
              <w:t>可防可控。</w:t>
            </w:r>
          </w:p>
          <w:p w14:paraId="2E81DC9C">
            <w:pPr>
              <w:adjustRightInd w:val="0"/>
              <w:snapToGrid w:val="0"/>
              <w:spacing w:line="360" w:lineRule="auto"/>
              <w:ind w:firstLine="482" w:firstLineChars="200"/>
              <w:rPr>
                <w:b/>
                <w:sz w:val="24"/>
                <w:szCs w:val="20"/>
              </w:rPr>
            </w:pPr>
            <w:r>
              <w:rPr>
                <w:rFonts w:hint="eastAsia"/>
                <w:b/>
                <w:sz w:val="24"/>
                <w:szCs w:val="20"/>
              </w:rPr>
              <w:t>七、</w:t>
            </w:r>
            <w:r>
              <w:rPr>
                <w:b/>
                <w:sz w:val="24"/>
                <w:szCs w:val="20"/>
              </w:rPr>
              <w:t>安全风险辨识管理</w:t>
            </w:r>
          </w:p>
          <w:p w14:paraId="5B2930E6">
            <w:pPr>
              <w:autoSpaceDE w:val="0"/>
              <w:autoSpaceDN w:val="0"/>
              <w:spacing w:line="360" w:lineRule="auto"/>
              <w:ind w:firstLine="480" w:firstLineChars="200"/>
              <w:jc w:val="left"/>
              <w:rPr>
                <w:sz w:val="24"/>
                <w:szCs w:val="20"/>
              </w:rPr>
            </w:pPr>
            <w:r>
              <w:rPr>
                <w:rFonts w:hint="eastAsia"/>
                <w:sz w:val="24"/>
                <w:szCs w:val="20"/>
              </w:rPr>
              <w:t>根据《国务院安委会办公室 生态环境部 应急管理部关于进一步加强环保设备设施安全生产工作的通知》（安委办明电〔2022〕17 号）要求，建设项目需开展环保设备设施安全风险辨识评估和隐患排查治理，落实安全生产各项责任措施。</w:t>
            </w:r>
          </w:p>
          <w:p w14:paraId="6C8246D4">
            <w:pPr>
              <w:autoSpaceDE w:val="0"/>
              <w:autoSpaceDN w:val="0"/>
              <w:spacing w:line="360" w:lineRule="auto"/>
              <w:ind w:firstLine="480" w:firstLineChars="200"/>
              <w:jc w:val="left"/>
              <w:rPr>
                <w:sz w:val="24"/>
                <w:szCs w:val="20"/>
              </w:rPr>
            </w:pPr>
            <w:r>
              <w:rPr>
                <w:rFonts w:hint="eastAsia"/>
                <w:sz w:val="24"/>
                <w:szCs w:val="20"/>
              </w:rPr>
              <w:t>本项目需对“布袋除尘器”</w:t>
            </w:r>
            <w:r>
              <w:rPr>
                <w:sz w:val="24"/>
                <w:szCs w:val="20"/>
              </w:rPr>
              <w:t>、“二级活性炭”</w:t>
            </w:r>
            <w:r>
              <w:rPr>
                <w:rFonts w:hint="eastAsia"/>
                <w:sz w:val="24"/>
                <w:szCs w:val="20"/>
              </w:rPr>
              <w:t>开展安全风险辨识评估和隐患排查治理。</w:t>
            </w:r>
          </w:p>
          <w:p w14:paraId="5A0D4ED2">
            <w:pPr>
              <w:autoSpaceDE w:val="0"/>
              <w:autoSpaceDN w:val="0"/>
              <w:spacing w:line="360" w:lineRule="auto"/>
              <w:ind w:firstLine="480" w:firstLineChars="200"/>
              <w:jc w:val="left"/>
              <w:rPr>
                <w:sz w:val="24"/>
                <w:szCs w:val="20"/>
              </w:rPr>
            </w:pPr>
            <w:r>
              <w:rPr>
                <w:rFonts w:hint="eastAsia"/>
                <w:sz w:val="24"/>
                <w:szCs w:val="20"/>
              </w:rPr>
              <w:t>1）安全风险辨识</w:t>
            </w:r>
          </w:p>
          <w:p w14:paraId="3F603CC7">
            <w:pPr>
              <w:autoSpaceDE w:val="0"/>
              <w:autoSpaceDN w:val="0"/>
              <w:spacing w:line="360" w:lineRule="auto"/>
              <w:ind w:firstLine="480" w:firstLineChars="200"/>
              <w:jc w:val="left"/>
              <w:rPr>
                <w:sz w:val="24"/>
                <w:szCs w:val="20"/>
              </w:rPr>
            </w:pPr>
            <w:r>
              <w:rPr>
                <w:rFonts w:hint="eastAsia"/>
                <w:sz w:val="24"/>
                <w:szCs w:val="20"/>
              </w:rPr>
              <w:t>①除尘管道：管道内可燃性粉尘达到爆炸下限，同时遇到积累的静电或其他点火源，可能发生爆炸；或者粉尘在管内沉积，当受到某种冲击时，可燃性粉尘再次飞扬，在瞬间形成高浓度粉尘云，若遇上火源，也容易发生爆炸。</w:t>
            </w:r>
          </w:p>
          <w:p w14:paraId="60EF5E3C">
            <w:pPr>
              <w:autoSpaceDE w:val="0"/>
              <w:autoSpaceDN w:val="0"/>
              <w:spacing w:line="360" w:lineRule="auto"/>
              <w:ind w:firstLine="480" w:firstLineChars="200"/>
              <w:jc w:val="left"/>
              <w:rPr>
                <w:sz w:val="24"/>
                <w:szCs w:val="20"/>
              </w:rPr>
            </w:pPr>
            <w:r>
              <w:rPr>
                <w:rFonts w:hint="eastAsia"/>
                <w:sz w:val="24"/>
                <w:szCs w:val="20"/>
              </w:rPr>
              <w:t>②除尘器：布袋除尘器中很容易形成高浓度粉尘云，例如在清扫滤筒、布袋式除尘器的滤筒、布袋时，反吹动作足以引起高浓度粉尘云，如果遇到点火源，就会发生爆炸，并通过管道传播，会危及到邻近的房间或与之联接的设备。</w:t>
            </w:r>
          </w:p>
          <w:p w14:paraId="6760B535">
            <w:pPr>
              <w:autoSpaceDE w:val="0"/>
              <w:autoSpaceDN w:val="0"/>
              <w:spacing w:line="360" w:lineRule="auto"/>
              <w:ind w:firstLine="480" w:firstLineChars="200"/>
              <w:jc w:val="left"/>
              <w:rPr>
                <w:sz w:val="24"/>
                <w:szCs w:val="20"/>
              </w:rPr>
            </w:pPr>
            <w:r>
              <w:rPr>
                <w:rFonts w:hint="eastAsia"/>
                <w:sz w:val="24"/>
                <w:szCs w:val="20"/>
              </w:rPr>
              <w:t>③二级活性炭吸附：因有机废气的易燃性，装置存在爆炸风险。</w:t>
            </w:r>
          </w:p>
          <w:p w14:paraId="281FF3E2">
            <w:pPr>
              <w:autoSpaceDE w:val="0"/>
              <w:autoSpaceDN w:val="0"/>
              <w:spacing w:line="360" w:lineRule="auto"/>
              <w:ind w:firstLine="480" w:firstLineChars="200"/>
              <w:jc w:val="left"/>
              <w:rPr>
                <w:sz w:val="24"/>
                <w:szCs w:val="20"/>
              </w:rPr>
            </w:pPr>
            <w:r>
              <w:rPr>
                <w:rFonts w:hint="eastAsia"/>
                <w:sz w:val="24"/>
                <w:szCs w:val="20"/>
              </w:rPr>
              <w:t>2）隐患排查治理措施</w:t>
            </w:r>
          </w:p>
          <w:p w14:paraId="15A0E43F">
            <w:pPr>
              <w:autoSpaceDE w:val="0"/>
              <w:autoSpaceDN w:val="0"/>
              <w:spacing w:line="360" w:lineRule="auto"/>
              <w:ind w:firstLine="480" w:firstLineChars="200"/>
              <w:jc w:val="left"/>
              <w:rPr>
                <w:sz w:val="24"/>
                <w:szCs w:val="20"/>
              </w:rPr>
            </w:pPr>
            <w:r>
              <w:rPr>
                <w:rFonts w:hint="eastAsia"/>
                <w:sz w:val="24"/>
                <w:szCs w:val="20"/>
              </w:rPr>
              <w:t>①加强除尘系统通风量，特别是要及时清灰，使除尘器和管道中的粉尘浓度低于危险范围的下限，并定时检查清灰装置，若脉冲阀或反吹切换阀门出现故障应及时修理。</w:t>
            </w:r>
          </w:p>
          <w:p w14:paraId="278CA123">
            <w:pPr>
              <w:autoSpaceDE w:val="0"/>
              <w:autoSpaceDN w:val="0"/>
              <w:spacing w:line="360" w:lineRule="auto"/>
              <w:ind w:firstLine="480" w:firstLineChars="200"/>
              <w:jc w:val="left"/>
              <w:rPr>
                <w:sz w:val="24"/>
                <w:szCs w:val="20"/>
              </w:rPr>
            </w:pPr>
            <w:r>
              <w:rPr>
                <w:rFonts w:hint="eastAsia"/>
                <w:sz w:val="24"/>
                <w:szCs w:val="20"/>
              </w:rPr>
              <w:t>②除尘器过滤器应设置压差计，当压差超过设定范围时，应立即清理或更换过滤材料。除尘器内采用防静电滤布；除尘系统的通风机叶片应采用导电、运行时不产生火花的材料制造，通风机及叶片应安装紧固、运转正常，不应产生碰撞、摩擦，无异常杂音。</w:t>
            </w:r>
          </w:p>
          <w:p w14:paraId="2599CD9B">
            <w:pPr>
              <w:autoSpaceDE w:val="0"/>
              <w:autoSpaceDN w:val="0"/>
              <w:spacing w:line="360" w:lineRule="auto"/>
              <w:ind w:firstLine="480" w:firstLineChars="200"/>
              <w:jc w:val="left"/>
              <w:rPr>
                <w:sz w:val="24"/>
                <w:szCs w:val="20"/>
              </w:rPr>
            </w:pPr>
            <w:r>
              <w:rPr>
                <w:rFonts w:hint="eastAsia"/>
                <w:sz w:val="24"/>
                <w:szCs w:val="20"/>
              </w:rPr>
              <w:t>③经常观察灰斗及袋室内的温度，以便随时控制装置内的温度，防止积蓄热诱发火灾引起爆炸。</w:t>
            </w:r>
          </w:p>
          <w:p w14:paraId="271BF164">
            <w:pPr>
              <w:autoSpaceDE w:val="0"/>
              <w:autoSpaceDN w:val="0"/>
              <w:spacing w:line="360" w:lineRule="auto"/>
              <w:ind w:firstLine="480" w:firstLineChars="200"/>
              <w:jc w:val="left"/>
              <w:rPr>
                <w:sz w:val="24"/>
                <w:szCs w:val="20"/>
              </w:rPr>
            </w:pPr>
            <w:r>
              <w:rPr>
                <w:rFonts w:hint="eastAsia"/>
                <w:sz w:val="24"/>
                <w:szCs w:val="20"/>
              </w:rPr>
              <w:t>④二级活性炭吸附装置设置温度过热保护、防爆泄压装置等安全措施。</w:t>
            </w:r>
          </w:p>
          <w:p w14:paraId="48DB36EA">
            <w:pPr>
              <w:autoSpaceDE w:val="0"/>
              <w:autoSpaceDN w:val="0"/>
              <w:spacing w:line="360" w:lineRule="auto"/>
              <w:ind w:firstLine="480" w:firstLineChars="200"/>
              <w:jc w:val="left"/>
              <w:rPr>
                <w:sz w:val="24"/>
                <w:szCs w:val="20"/>
              </w:rPr>
            </w:pPr>
            <w:r>
              <w:rPr>
                <w:rFonts w:hint="eastAsia"/>
                <w:sz w:val="24"/>
                <w:szCs w:val="20"/>
              </w:rPr>
              <w:t>⑤加强安全管理，提高工人防爆意识，在修理除尘器前及时清除修理部位周围的粉尘；使用防爆工具，不应敲击除尘器各金属部件。</w:t>
            </w:r>
          </w:p>
          <w:p w14:paraId="70CEF4CD">
            <w:pPr>
              <w:autoSpaceDE w:val="0"/>
              <w:autoSpaceDN w:val="0"/>
              <w:spacing w:line="360" w:lineRule="auto"/>
              <w:ind w:firstLine="480" w:firstLineChars="200"/>
              <w:jc w:val="left"/>
              <w:rPr>
                <w:sz w:val="24"/>
                <w:szCs w:val="20"/>
              </w:rPr>
            </w:pPr>
            <w:r>
              <w:rPr>
                <w:rFonts w:hint="eastAsia"/>
                <w:sz w:val="24"/>
                <w:szCs w:val="20"/>
              </w:rPr>
              <w:t>⑥环保设施及时进行维护保养，定期检查，避免设备疲劳运行防范事故发生。</w:t>
            </w:r>
          </w:p>
          <w:p w14:paraId="5DB4A477">
            <w:pPr>
              <w:autoSpaceDE w:val="0"/>
              <w:autoSpaceDN w:val="0"/>
              <w:spacing w:line="360" w:lineRule="auto"/>
              <w:ind w:firstLine="480" w:firstLineChars="200"/>
              <w:jc w:val="left"/>
              <w:rPr>
                <w:sz w:val="24"/>
                <w:szCs w:val="20"/>
              </w:rPr>
            </w:pPr>
            <w:r>
              <w:rPr>
                <w:rFonts w:hint="eastAsia"/>
                <w:sz w:val="24"/>
                <w:szCs w:val="20"/>
              </w:rPr>
              <w:t>⑦建立隐患整改台账，明确整改责任人、措施、资金、时限和应急救援预案，及时消除隐患。</w:t>
            </w:r>
          </w:p>
          <w:p w14:paraId="2969257D">
            <w:pPr>
              <w:adjustRightInd w:val="0"/>
              <w:snapToGrid w:val="0"/>
              <w:spacing w:line="360" w:lineRule="auto"/>
              <w:ind w:firstLine="489" w:firstLineChars="204"/>
              <w:rPr>
                <w:sz w:val="24"/>
                <w:szCs w:val="20"/>
              </w:rPr>
            </w:pPr>
            <w:r>
              <w:rPr>
                <w:rFonts w:hint="eastAsia"/>
                <w:sz w:val="24"/>
                <w:szCs w:val="20"/>
              </w:rPr>
              <w:t>3）安全管理制度</w:t>
            </w:r>
          </w:p>
          <w:p w14:paraId="16170416">
            <w:pPr>
              <w:adjustRightInd w:val="0"/>
              <w:snapToGrid w:val="0"/>
              <w:spacing w:line="360" w:lineRule="auto"/>
              <w:ind w:firstLine="489" w:firstLineChars="204"/>
              <w:rPr>
                <w:sz w:val="24"/>
                <w:szCs w:val="20"/>
              </w:rPr>
            </w:pPr>
            <w:r>
              <w:rPr>
                <w:rFonts w:hint="eastAsia"/>
                <w:sz w:val="24"/>
                <w:szCs w:val="20"/>
              </w:rPr>
              <w:t>①明确企业主要负责人为安全生产第一责任人，将环保设备设施安全作为企业安全管理的重要组成部分，全面负责落实本单位的环保设备设施安全生产工作。</w:t>
            </w:r>
          </w:p>
          <w:p w14:paraId="714EC9D5">
            <w:pPr>
              <w:adjustRightInd w:val="0"/>
              <w:snapToGrid w:val="0"/>
              <w:spacing w:line="360" w:lineRule="auto"/>
              <w:ind w:firstLine="489" w:firstLineChars="204"/>
              <w:rPr>
                <w:sz w:val="24"/>
                <w:szCs w:val="20"/>
              </w:rPr>
            </w:pPr>
            <w:r>
              <w:rPr>
                <w:rFonts w:hint="eastAsia"/>
                <w:sz w:val="24"/>
                <w:szCs w:val="20"/>
              </w:rPr>
              <w:t>②严格落实涉环保设施项目环保和安全“三同时”要求，委托有资质的设计单位进行正规设计；在选用污染防治技术时要充分考虑安全因素，依法开展安全风险评估，按要求设置安全监测监控系统和联锁保护装置，做好安全防范。</w:t>
            </w:r>
          </w:p>
          <w:p w14:paraId="2EEF3F57">
            <w:pPr>
              <w:adjustRightInd w:val="0"/>
              <w:snapToGrid w:val="0"/>
              <w:spacing w:line="360" w:lineRule="auto"/>
              <w:ind w:firstLine="489" w:firstLineChars="204"/>
              <w:rPr>
                <w:sz w:val="24"/>
                <w:szCs w:val="20"/>
              </w:rPr>
            </w:pPr>
            <w:r>
              <w:rPr>
                <w:rFonts w:hint="eastAsia"/>
                <w:sz w:val="24"/>
                <w:szCs w:val="20"/>
              </w:rPr>
              <w:t>③对涉环保设施相关岗位人员进行操作规程、风险管控、应急处置、典型事故警示等专项安全培训、教育。</w:t>
            </w:r>
          </w:p>
          <w:p w14:paraId="74D62F68">
            <w:pPr>
              <w:adjustRightInd w:val="0"/>
              <w:snapToGrid w:val="0"/>
              <w:spacing w:line="360" w:lineRule="auto"/>
              <w:ind w:firstLine="492" w:firstLineChars="204"/>
              <w:rPr>
                <w:b/>
                <w:sz w:val="24"/>
                <w:szCs w:val="20"/>
              </w:rPr>
            </w:pPr>
            <w:r>
              <w:rPr>
                <w:rFonts w:hint="eastAsia"/>
                <w:b/>
                <w:sz w:val="24"/>
                <w:szCs w:val="20"/>
              </w:rPr>
              <w:t>八、排污口规范化</w:t>
            </w:r>
            <w:r>
              <w:rPr>
                <w:b/>
                <w:sz w:val="24"/>
                <w:szCs w:val="20"/>
              </w:rPr>
              <w:t>管理</w:t>
            </w:r>
          </w:p>
          <w:p w14:paraId="7C780D32">
            <w:pPr>
              <w:adjustRightInd w:val="0"/>
              <w:snapToGrid w:val="0"/>
              <w:spacing w:line="360" w:lineRule="auto"/>
              <w:ind w:firstLine="489" w:firstLineChars="204"/>
              <w:rPr>
                <w:sz w:val="24"/>
                <w:szCs w:val="20"/>
              </w:rPr>
            </w:pPr>
            <w:r>
              <w:rPr>
                <w:sz w:val="24"/>
                <w:szCs w:val="20"/>
              </w:rPr>
              <w:t>对照污染源排放口规范化整治管理相关办法要求，</w:t>
            </w:r>
            <w:r>
              <w:rPr>
                <w:rFonts w:hint="eastAsia"/>
                <w:sz w:val="24"/>
                <w:szCs w:val="20"/>
              </w:rPr>
              <w:t>厂区</w:t>
            </w:r>
            <w:r>
              <w:rPr>
                <w:sz w:val="24"/>
                <w:szCs w:val="20"/>
              </w:rPr>
              <w:t>废气排气筒、固废</w:t>
            </w:r>
            <w:r>
              <w:rPr>
                <w:rFonts w:hint="eastAsia"/>
                <w:sz w:val="24"/>
                <w:szCs w:val="20"/>
              </w:rPr>
              <w:t>暂存</w:t>
            </w:r>
            <w:r>
              <w:rPr>
                <w:sz w:val="24"/>
                <w:szCs w:val="20"/>
              </w:rPr>
              <w:t>场所必须进行规范化设置。对废气排气筒按规范要求搭设采样监测平台，预留监测孔，便于环境管理及监测部门的日常监督、检查及监测。</w:t>
            </w:r>
          </w:p>
          <w:p w14:paraId="274CB6C4">
            <w:pPr>
              <w:adjustRightInd w:val="0"/>
              <w:snapToGrid w:val="0"/>
              <w:spacing w:line="360" w:lineRule="auto"/>
              <w:ind w:firstLine="489" w:firstLineChars="204"/>
              <w:rPr>
                <w:sz w:val="24"/>
                <w:szCs w:val="20"/>
              </w:rPr>
            </w:pPr>
            <w:r>
              <w:rPr>
                <w:rFonts w:hint="eastAsia"/>
                <w:sz w:val="24"/>
                <w:szCs w:val="20"/>
              </w:rPr>
              <w:t>在厂区废气、噪声及固体废物排放点，设置明显标志牌，排污口标志牌的图形标志、图形颜色、外观质量以及字体等要求应符合《固定污染源废气监测点位设置技术规范》（</w:t>
            </w:r>
            <w:r>
              <w:rPr>
                <w:sz w:val="24"/>
                <w:szCs w:val="20"/>
              </w:rPr>
              <w:t>DB37/T</w:t>
            </w:r>
            <w:r>
              <w:rPr>
                <w:rFonts w:hint="eastAsia"/>
                <w:sz w:val="24"/>
                <w:szCs w:val="20"/>
              </w:rPr>
              <w:t xml:space="preserve"> </w:t>
            </w:r>
            <w:r>
              <w:rPr>
                <w:sz w:val="24"/>
                <w:szCs w:val="20"/>
              </w:rPr>
              <w:t>3535-2019</w:t>
            </w:r>
            <w:r>
              <w:rPr>
                <w:rFonts w:hint="eastAsia"/>
                <w:sz w:val="24"/>
                <w:szCs w:val="20"/>
              </w:rPr>
              <w:t>）、《环境保护图形标志》（</w:t>
            </w:r>
            <w:r>
              <w:rPr>
                <w:sz w:val="24"/>
                <w:szCs w:val="20"/>
              </w:rPr>
              <w:t>GB</w:t>
            </w:r>
            <w:r>
              <w:rPr>
                <w:rFonts w:hint="eastAsia"/>
                <w:sz w:val="24"/>
                <w:szCs w:val="20"/>
              </w:rPr>
              <w:t xml:space="preserve"> </w:t>
            </w:r>
            <w:r>
              <w:rPr>
                <w:sz w:val="24"/>
                <w:szCs w:val="20"/>
              </w:rPr>
              <w:t>15562.1-1995</w:t>
            </w:r>
            <w:r>
              <w:rPr>
                <w:rFonts w:hint="eastAsia"/>
                <w:sz w:val="24"/>
                <w:szCs w:val="20"/>
              </w:rPr>
              <w:t>）及修改单、《</w:t>
            </w:r>
            <w:r>
              <w:rPr>
                <w:sz w:val="24"/>
                <w:szCs w:val="20"/>
              </w:rPr>
              <w:t>危险废物识别标志设置技术规范》</w:t>
            </w:r>
            <w:r>
              <w:fldChar w:fldCharType="begin"/>
            </w:r>
            <w:r>
              <w:instrText xml:space="preserve"> HYPERLINK "https://www.mee.gov.cn/ywgz/fgbz/bz/bzwb/gthw/wxfwjbffbz/202302/W020230224650971041729.pdf" </w:instrText>
            </w:r>
            <w:r>
              <w:fldChar w:fldCharType="separate"/>
            </w:r>
            <w:r>
              <w:rPr>
                <w:rStyle w:val="34"/>
                <w:color w:val="auto"/>
                <w:sz w:val="24"/>
                <w:szCs w:val="20"/>
                <w:u w:val="none"/>
              </w:rPr>
              <w:t>（HJ</w:t>
            </w:r>
            <w:r>
              <w:rPr>
                <w:rStyle w:val="34"/>
                <w:rFonts w:hint="eastAsia"/>
                <w:color w:val="auto"/>
                <w:sz w:val="24"/>
                <w:szCs w:val="20"/>
                <w:u w:val="none"/>
              </w:rPr>
              <w:t xml:space="preserve"> </w:t>
            </w:r>
            <w:r>
              <w:rPr>
                <w:rStyle w:val="34"/>
                <w:color w:val="auto"/>
                <w:sz w:val="24"/>
                <w:szCs w:val="20"/>
                <w:u w:val="none"/>
              </w:rPr>
              <w:t>1276</w:t>
            </w:r>
            <w:r>
              <w:rPr>
                <w:rStyle w:val="34"/>
                <w:rFonts w:hint="eastAsia"/>
                <w:color w:val="auto"/>
                <w:sz w:val="24"/>
                <w:szCs w:val="20"/>
                <w:u w:val="none"/>
              </w:rPr>
              <w:t>-</w:t>
            </w:r>
            <w:r>
              <w:rPr>
                <w:rStyle w:val="34"/>
                <w:color w:val="auto"/>
                <w:sz w:val="24"/>
                <w:szCs w:val="20"/>
                <w:u w:val="none"/>
              </w:rPr>
              <w:t>202</w:t>
            </w:r>
            <w:r>
              <w:rPr>
                <w:rStyle w:val="34"/>
                <w:rFonts w:hint="eastAsia"/>
                <w:color w:val="auto"/>
                <w:sz w:val="24"/>
                <w:szCs w:val="20"/>
                <w:u w:val="none"/>
              </w:rPr>
              <w:t>2</w:t>
            </w:r>
            <w:r>
              <w:rPr>
                <w:rStyle w:val="34"/>
                <w:color w:val="auto"/>
                <w:sz w:val="24"/>
                <w:szCs w:val="20"/>
                <w:u w:val="none"/>
              </w:rPr>
              <w:t>）</w:t>
            </w:r>
            <w:r>
              <w:rPr>
                <w:rStyle w:val="34"/>
                <w:color w:val="auto"/>
                <w:sz w:val="24"/>
                <w:szCs w:val="20"/>
                <w:u w:val="none"/>
              </w:rPr>
              <w:fldChar w:fldCharType="end"/>
            </w:r>
            <w:r>
              <w:rPr>
                <w:rFonts w:hint="eastAsia"/>
                <w:sz w:val="24"/>
                <w:szCs w:val="20"/>
              </w:rPr>
              <w:t>等要求。</w:t>
            </w:r>
          </w:p>
          <w:p w14:paraId="53754246">
            <w:pPr>
              <w:adjustRightInd w:val="0"/>
              <w:snapToGrid w:val="0"/>
              <w:spacing w:line="360" w:lineRule="auto"/>
              <w:jc w:val="center"/>
              <w:rPr>
                <w:b/>
                <w:sz w:val="24"/>
                <w:szCs w:val="20"/>
              </w:rPr>
            </w:pPr>
            <w:r>
              <w:rPr>
                <w:b/>
                <w:sz w:val="24"/>
                <w:szCs w:val="20"/>
              </w:rPr>
              <w:t>表37环境保护图形</w:t>
            </w:r>
            <w:r>
              <w:rPr>
                <w:rFonts w:hint="eastAsia"/>
                <w:b/>
                <w:sz w:val="24"/>
                <w:szCs w:val="20"/>
              </w:rPr>
              <w:t>标志</w:t>
            </w:r>
            <w:r>
              <w:rPr>
                <w:b/>
                <w:sz w:val="24"/>
                <w:szCs w:val="20"/>
              </w:rPr>
              <w:t>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680"/>
              <w:gridCol w:w="3700"/>
              <w:gridCol w:w="1727"/>
              <w:gridCol w:w="2656"/>
            </w:tblGrid>
            <w:tr w14:paraId="6BFA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388" w:type="pct"/>
                  <w:vAlign w:val="center"/>
                </w:tcPr>
                <w:p w14:paraId="1AE285DC">
                  <w:pPr>
                    <w:adjustRightInd w:val="0"/>
                    <w:snapToGrid w:val="0"/>
                    <w:jc w:val="center"/>
                    <w:rPr>
                      <w:szCs w:val="21"/>
                    </w:rPr>
                  </w:pPr>
                  <w:r>
                    <w:rPr>
                      <w:szCs w:val="21"/>
                    </w:rPr>
                    <w:t>序号</w:t>
                  </w:r>
                </w:p>
              </w:tc>
              <w:tc>
                <w:tcPr>
                  <w:tcW w:w="2110" w:type="pct"/>
                  <w:vAlign w:val="center"/>
                </w:tcPr>
                <w:p w14:paraId="2538C128">
                  <w:pPr>
                    <w:adjustRightInd w:val="0"/>
                    <w:snapToGrid w:val="0"/>
                    <w:jc w:val="center"/>
                    <w:rPr>
                      <w:szCs w:val="21"/>
                    </w:rPr>
                  </w:pPr>
                  <w:r>
                    <w:rPr>
                      <w:rFonts w:hint="eastAsia"/>
                      <w:szCs w:val="21"/>
                    </w:rPr>
                    <w:t>标志牌样式</w:t>
                  </w:r>
                </w:p>
              </w:tc>
              <w:tc>
                <w:tcPr>
                  <w:tcW w:w="985" w:type="pct"/>
                  <w:vAlign w:val="center"/>
                </w:tcPr>
                <w:p w14:paraId="79891254">
                  <w:pPr>
                    <w:adjustRightInd w:val="0"/>
                    <w:snapToGrid w:val="0"/>
                    <w:jc w:val="center"/>
                    <w:rPr>
                      <w:szCs w:val="21"/>
                    </w:rPr>
                  </w:pPr>
                  <w:r>
                    <w:rPr>
                      <w:szCs w:val="21"/>
                    </w:rPr>
                    <w:t>名称</w:t>
                  </w:r>
                </w:p>
              </w:tc>
              <w:tc>
                <w:tcPr>
                  <w:tcW w:w="1515" w:type="pct"/>
                  <w:vAlign w:val="center"/>
                </w:tcPr>
                <w:p w14:paraId="2C1FBA18">
                  <w:pPr>
                    <w:adjustRightInd w:val="0"/>
                    <w:snapToGrid w:val="0"/>
                    <w:jc w:val="center"/>
                    <w:rPr>
                      <w:szCs w:val="21"/>
                    </w:rPr>
                  </w:pPr>
                  <w:r>
                    <w:rPr>
                      <w:szCs w:val="21"/>
                    </w:rPr>
                    <w:t>功能</w:t>
                  </w:r>
                </w:p>
              </w:tc>
            </w:tr>
            <w:tr w14:paraId="55280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388" w:type="pct"/>
                  <w:vAlign w:val="center"/>
                </w:tcPr>
                <w:p w14:paraId="20E469F6">
                  <w:pPr>
                    <w:adjustRightInd w:val="0"/>
                    <w:snapToGrid w:val="0"/>
                    <w:jc w:val="center"/>
                    <w:rPr>
                      <w:bCs/>
                      <w:sz w:val="24"/>
                    </w:rPr>
                  </w:pPr>
                  <w:r>
                    <w:rPr>
                      <w:bCs/>
                      <w:sz w:val="24"/>
                    </w:rPr>
                    <w:t>1</w:t>
                  </w:r>
                </w:p>
              </w:tc>
              <w:tc>
                <w:tcPr>
                  <w:tcW w:w="2110" w:type="pct"/>
                  <w:vAlign w:val="center"/>
                </w:tcPr>
                <w:p w14:paraId="7F0E9218">
                  <w:pPr>
                    <w:adjustRightInd w:val="0"/>
                    <w:snapToGrid w:val="0"/>
                    <w:jc w:val="center"/>
                    <w:rPr>
                      <w:bCs/>
                      <w:sz w:val="24"/>
                    </w:rPr>
                  </w:pPr>
                  <w:r>
                    <w:rPr>
                      <w:sz w:val="24"/>
                    </w:rPr>
                    <w:drawing>
                      <wp:inline distT="0" distB="0" distL="0" distR="0">
                        <wp:extent cx="1501140" cy="993140"/>
                        <wp:effectExtent l="0" t="0" r="3810" b="0"/>
                        <wp:docPr id="18" name="图片 18" descr="微信图片_2023030810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303081022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501140" cy="993140"/>
                                </a:xfrm>
                                <a:prstGeom prst="rect">
                                  <a:avLst/>
                                </a:prstGeom>
                                <a:noFill/>
                                <a:ln>
                                  <a:noFill/>
                                </a:ln>
                              </pic:spPr>
                            </pic:pic>
                          </a:graphicData>
                        </a:graphic>
                      </wp:inline>
                    </w:drawing>
                  </w:r>
                </w:p>
              </w:tc>
              <w:tc>
                <w:tcPr>
                  <w:tcW w:w="985" w:type="pct"/>
                  <w:vAlign w:val="center"/>
                </w:tcPr>
                <w:p w14:paraId="0A3FF7E3">
                  <w:pPr>
                    <w:adjustRightInd w:val="0"/>
                    <w:snapToGrid w:val="0"/>
                    <w:jc w:val="center"/>
                    <w:rPr>
                      <w:bCs/>
                      <w:szCs w:val="21"/>
                    </w:rPr>
                  </w:pPr>
                  <w:r>
                    <w:rPr>
                      <w:bCs/>
                      <w:szCs w:val="21"/>
                    </w:rPr>
                    <w:t>废气排放口</w:t>
                  </w:r>
                </w:p>
              </w:tc>
              <w:tc>
                <w:tcPr>
                  <w:tcW w:w="1515" w:type="pct"/>
                  <w:vAlign w:val="center"/>
                </w:tcPr>
                <w:p w14:paraId="7F695A6F">
                  <w:pPr>
                    <w:adjustRightInd w:val="0"/>
                    <w:snapToGrid w:val="0"/>
                    <w:jc w:val="center"/>
                    <w:rPr>
                      <w:bCs/>
                      <w:szCs w:val="21"/>
                    </w:rPr>
                  </w:pPr>
                  <w:r>
                    <w:rPr>
                      <w:bCs/>
                      <w:szCs w:val="21"/>
                    </w:rPr>
                    <w:t>表示废气向大气环境排放</w:t>
                  </w:r>
                </w:p>
              </w:tc>
            </w:tr>
            <w:tr w14:paraId="0CC23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88" w:type="pct"/>
                  <w:vAlign w:val="center"/>
                </w:tcPr>
                <w:p w14:paraId="7272BDA4">
                  <w:pPr>
                    <w:adjustRightInd w:val="0"/>
                    <w:snapToGrid w:val="0"/>
                    <w:jc w:val="center"/>
                    <w:rPr>
                      <w:bCs/>
                      <w:sz w:val="24"/>
                    </w:rPr>
                  </w:pPr>
                  <w:r>
                    <w:rPr>
                      <w:bCs/>
                      <w:sz w:val="24"/>
                    </w:rPr>
                    <w:t>2</w:t>
                  </w:r>
                </w:p>
              </w:tc>
              <w:tc>
                <w:tcPr>
                  <w:tcW w:w="2110" w:type="pct"/>
                  <w:vAlign w:val="center"/>
                </w:tcPr>
                <w:p w14:paraId="7722C455">
                  <w:pPr>
                    <w:adjustRightInd w:val="0"/>
                    <w:snapToGrid w:val="0"/>
                    <w:jc w:val="center"/>
                    <w:rPr>
                      <w:bCs/>
                      <w:sz w:val="24"/>
                    </w:rPr>
                  </w:pPr>
                  <w:r>
                    <w:rPr>
                      <w:sz w:val="24"/>
                    </w:rPr>
                    <w:drawing>
                      <wp:inline distT="0" distB="0" distL="0" distR="0">
                        <wp:extent cx="1512570" cy="993140"/>
                        <wp:effectExtent l="0" t="0" r="0" b="0"/>
                        <wp:docPr id="17" name="图片 17" descr="微信图片_20230308102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3030810221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512570" cy="993140"/>
                                </a:xfrm>
                                <a:prstGeom prst="rect">
                                  <a:avLst/>
                                </a:prstGeom>
                                <a:noFill/>
                                <a:ln>
                                  <a:noFill/>
                                </a:ln>
                              </pic:spPr>
                            </pic:pic>
                          </a:graphicData>
                        </a:graphic>
                      </wp:inline>
                    </w:drawing>
                  </w:r>
                </w:p>
              </w:tc>
              <w:tc>
                <w:tcPr>
                  <w:tcW w:w="985" w:type="pct"/>
                  <w:vAlign w:val="center"/>
                </w:tcPr>
                <w:p w14:paraId="75CD59EA">
                  <w:pPr>
                    <w:adjustRightInd w:val="0"/>
                    <w:snapToGrid w:val="0"/>
                    <w:jc w:val="center"/>
                    <w:rPr>
                      <w:bCs/>
                      <w:szCs w:val="21"/>
                    </w:rPr>
                  </w:pPr>
                  <w:r>
                    <w:rPr>
                      <w:bCs/>
                      <w:szCs w:val="21"/>
                    </w:rPr>
                    <w:t>一般固体废物</w:t>
                  </w:r>
                </w:p>
              </w:tc>
              <w:tc>
                <w:tcPr>
                  <w:tcW w:w="1515" w:type="pct"/>
                  <w:vAlign w:val="center"/>
                </w:tcPr>
                <w:p w14:paraId="5064C18A">
                  <w:pPr>
                    <w:adjustRightInd w:val="0"/>
                    <w:snapToGrid w:val="0"/>
                    <w:jc w:val="center"/>
                    <w:rPr>
                      <w:bCs/>
                      <w:szCs w:val="21"/>
                    </w:rPr>
                  </w:pPr>
                  <w:r>
                    <w:rPr>
                      <w:bCs/>
                      <w:szCs w:val="21"/>
                    </w:rPr>
                    <w:t>表示一般固体废物贮存场</w:t>
                  </w:r>
                </w:p>
              </w:tc>
            </w:tr>
            <w:tr w14:paraId="2B746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88" w:type="pct"/>
                  <w:vAlign w:val="center"/>
                </w:tcPr>
                <w:p w14:paraId="3F521418">
                  <w:pPr>
                    <w:adjustRightInd w:val="0"/>
                    <w:snapToGrid w:val="0"/>
                    <w:jc w:val="center"/>
                    <w:rPr>
                      <w:bCs/>
                      <w:szCs w:val="21"/>
                    </w:rPr>
                  </w:pPr>
                  <w:r>
                    <w:rPr>
                      <w:rFonts w:hint="eastAsia"/>
                      <w:bCs/>
                      <w:szCs w:val="21"/>
                    </w:rPr>
                    <w:t>3</w:t>
                  </w:r>
                </w:p>
              </w:tc>
              <w:tc>
                <w:tcPr>
                  <w:tcW w:w="2110" w:type="pct"/>
                  <w:vAlign w:val="center"/>
                </w:tcPr>
                <w:p w14:paraId="5D893DB2">
                  <w:pPr>
                    <w:adjustRightInd w:val="0"/>
                    <w:snapToGrid w:val="0"/>
                    <w:jc w:val="center"/>
                    <w:rPr>
                      <w:sz w:val="24"/>
                    </w:rPr>
                  </w:pPr>
                  <w:r>
                    <w:rPr>
                      <w:sz w:val="24"/>
                    </w:rPr>
                    <w:drawing>
                      <wp:inline distT="0" distB="0" distL="0" distR="0">
                        <wp:extent cx="11430" cy="114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430" cy="11430"/>
                                </a:xfrm>
                                <a:prstGeom prst="rect">
                                  <a:avLst/>
                                </a:prstGeom>
                                <a:noFill/>
                                <a:ln>
                                  <a:noFill/>
                                </a:ln>
                              </pic:spPr>
                            </pic:pic>
                          </a:graphicData>
                        </a:graphic>
                      </wp:inline>
                    </w:drawing>
                  </w:r>
                  <w:r>
                    <w:rPr>
                      <w:sz w:val="24"/>
                    </w:rPr>
                    <w:drawing>
                      <wp:inline distT="0" distB="0" distL="0" distR="0">
                        <wp:extent cx="11430" cy="1143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430" cy="11430"/>
                                </a:xfrm>
                                <a:prstGeom prst="rect">
                                  <a:avLst/>
                                </a:prstGeom>
                                <a:noFill/>
                                <a:ln>
                                  <a:noFill/>
                                </a:ln>
                              </pic:spPr>
                            </pic:pic>
                          </a:graphicData>
                        </a:graphic>
                      </wp:inline>
                    </w:drawing>
                  </w:r>
                  <w:r>
                    <w:rPr>
                      <w:sz w:val="24"/>
                    </w:rPr>
                    <w:drawing>
                      <wp:inline distT="0" distB="0" distL="0" distR="0">
                        <wp:extent cx="1569085" cy="1038860"/>
                        <wp:effectExtent l="0" t="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569085" cy="1038860"/>
                                </a:xfrm>
                                <a:prstGeom prst="rect">
                                  <a:avLst/>
                                </a:prstGeom>
                                <a:noFill/>
                                <a:ln>
                                  <a:noFill/>
                                </a:ln>
                              </pic:spPr>
                            </pic:pic>
                          </a:graphicData>
                        </a:graphic>
                      </wp:inline>
                    </w:drawing>
                  </w:r>
                </w:p>
              </w:tc>
              <w:tc>
                <w:tcPr>
                  <w:tcW w:w="985" w:type="pct"/>
                  <w:vAlign w:val="center"/>
                </w:tcPr>
                <w:p w14:paraId="3529B489">
                  <w:pPr>
                    <w:adjustRightInd w:val="0"/>
                    <w:snapToGrid w:val="0"/>
                    <w:jc w:val="center"/>
                    <w:rPr>
                      <w:bCs/>
                      <w:szCs w:val="21"/>
                    </w:rPr>
                  </w:pPr>
                  <w:r>
                    <w:rPr>
                      <w:rFonts w:hint="eastAsia"/>
                      <w:bCs/>
                      <w:szCs w:val="21"/>
                    </w:rPr>
                    <w:t>危险废物</w:t>
                  </w:r>
                </w:p>
              </w:tc>
              <w:tc>
                <w:tcPr>
                  <w:tcW w:w="1515" w:type="pct"/>
                  <w:vAlign w:val="center"/>
                </w:tcPr>
                <w:p w14:paraId="02DB3849">
                  <w:pPr>
                    <w:adjustRightInd w:val="0"/>
                    <w:snapToGrid w:val="0"/>
                    <w:jc w:val="center"/>
                    <w:rPr>
                      <w:bCs/>
                      <w:szCs w:val="21"/>
                    </w:rPr>
                  </w:pPr>
                  <w:r>
                    <w:rPr>
                      <w:bCs/>
                      <w:szCs w:val="21"/>
                    </w:rPr>
                    <w:t>表示</w:t>
                  </w:r>
                  <w:r>
                    <w:rPr>
                      <w:rFonts w:hint="eastAsia"/>
                      <w:bCs/>
                      <w:szCs w:val="21"/>
                    </w:rPr>
                    <w:t>危险</w:t>
                  </w:r>
                  <w:r>
                    <w:rPr>
                      <w:bCs/>
                      <w:szCs w:val="21"/>
                    </w:rPr>
                    <w:t>废物贮存场</w:t>
                  </w:r>
                </w:p>
              </w:tc>
            </w:tr>
            <w:tr w14:paraId="0A836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388" w:type="pct"/>
                  <w:vAlign w:val="center"/>
                </w:tcPr>
                <w:p w14:paraId="7019017F">
                  <w:pPr>
                    <w:adjustRightInd w:val="0"/>
                    <w:snapToGrid w:val="0"/>
                    <w:jc w:val="center"/>
                    <w:rPr>
                      <w:bCs/>
                      <w:szCs w:val="21"/>
                    </w:rPr>
                  </w:pPr>
                  <w:r>
                    <w:rPr>
                      <w:rFonts w:hint="eastAsia"/>
                      <w:bCs/>
                      <w:szCs w:val="21"/>
                    </w:rPr>
                    <w:t>4</w:t>
                  </w:r>
                </w:p>
              </w:tc>
              <w:tc>
                <w:tcPr>
                  <w:tcW w:w="2110" w:type="pct"/>
                  <w:vAlign w:val="center"/>
                </w:tcPr>
                <w:p w14:paraId="30666605">
                  <w:pPr>
                    <w:adjustRightInd w:val="0"/>
                    <w:snapToGrid w:val="0"/>
                    <w:jc w:val="center"/>
                    <w:rPr>
                      <w:bCs/>
                      <w:sz w:val="24"/>
                    </w:rPr>
                  </w:pPr>
                  <w:r>
                    <w:rPr>
                      <w:sz w:val="24"/>
                    </w:rPr>
                    <w:drawing>
                      <wp:inline distT="0" distB="0" distL="0" distR="0">
                        <wp:extent cx="1614170" cy="1016000"/>
                        <wp:effectExtent l="0" t="0" r="5080" b="0"/>
                        <wp:docPr id="5" name="图片 5" descr="微信图片_20230308102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3030810221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614170" cy="1016000"/>
                                </a:xfrm>
                                <a:prstGeom prst="rect">
                                  <a:avLst/>
                                </a:prstGeom>
                                <a:noFill/>
                                <a:ln>
                                  <a:noFill/>
                                </a:ln>
                              </pic:spPr>
                            </pic:pic>
                          </a:graphicData>
                        </a:graphic>
                      </wp:inline>
                    </w:drawing>
                  </w:r>
                </w:p>
              </w:tc>
              <w:tc>
                <w:tcPr>
                  <w:tcW w:w="985" w:type="pct"/>
                  <w:vAlign w:val="center"/>
                </w:tcPr>
                <w:p w14:paraId="1FA74520">
                  <w:pPr>
                    <w:adjustRightInd w:val="0"/>
                    <w:snapToGrid w:val="0"/>
                    <w:jc w:val="center"/>
                    <w:rPr>
                      <w:bCs/>
                      <w:szCs w:val="21"/>
                    </w:rPr>
                  </w:pPr>
                  <w:r>
                    <w:rPr>
                      <w:bCs/>
                      <w:szCs w:val="21"/>
                    </w:rPr>
                    <w:t>车间噪声源</w:t>
                  </w:r>
                </w:p>
              </w:tc>
              <w:tc>
                <w:tcPr>
                  <w:tcW w:w="1515" w:type="pct"/>
                  <w:vAlign w:val="center"/>
                </w:tcPr>
                <w:p w14:paraId="2BB2AE5F">
                  <w:pPr>
                    <w:adjustRightInd w:val="0"/>
                    <w:snapToGrid w:val="0"/>
                    <w:jc w:val="center"/>
                    <w:rPr>
                      <w:bCs/>
                      <w:szCs w:val="21"/>
                    </w:rPr>
                  </w:pPr>
                  <w:r>
                    <w:rPr>
                      <w:bCs/>
                      <w:szCs w:val="21"/>
                    </w:rPr>
                    <w:t>表示噪声向外环境排放</w:t>
                  </w:r>
                </w:p>
              </w:tc>
            </w:tr>
          </w:tbl>
          <w:p w14:paraId="576DFB60">
            <w:pPr>
              <w:widowControl/>
              <w:jc w:val="left"/>
              <w:rPr>
                <w:rFonts w:ascii="宋体" w:hAnsi="宋体"/>
                <w:kern w:val="0"/>
                <w:sz w:val="24"/>
                <w:szCs w:val="20"/>
              </w:rPr>
            </w:pPr>
          </w:p>
        </w:tc>
      </w:tr>
    </w:tbl>
    <w:p w14:paraId="395380FE">
      <w:pPr>
        <w:widowControl/>
        <w:jc w:val="left"/>
        <w:rPr>
          <w:rFonts w:ascii="宋体" w:hAnsi="宋体"/>
          <w:kern w:val="0"/>
          <w:sz w:val="24"/>
          <w:szCs w:val="20"/>
        </w:rPr>
      </w:pPr>
    </w:p>
    <w:p w14:paraId="1D9AAD48">
      <w:pPr>
        <w:widowControl/>
        <w:jc w:val="left"/>
        <w:rPr>
          <w:rFonts w:ascii="宋体" w:hAnsi="宋体"/>
          <w:kern w:val="0"/>
          <w:sz w:val="24"/>
          <w:szCs w:val="20"/>
        </w:rPr>
      </w:pPr>
    </w:p>
    <w:p w14:paraId="24969DEB">
      <w:pPr>
        <w:widowControl/>
        <w:jc w:val="left"/>
        <w:rPr>
          <w:rFonts w:ascii="宋体" w:hAnsi="宋体"/>
          <w:kern w:val="0"/>
          <w:sz w:val="24"/>
          <w:szCs w:val="20"/>
        </w:rPr>
      </w:pPr>
    </w:p>
    <w:p w14:paraId="0981D857">
      <w:pPr>
        <w:widowControl/>
        <w:jc w:val="left"/>
        <w:rPr>
          <w:rFonts w:ascii="宋体" w:hAnsi="宋体"/>
          <w:kern w:val="0"/>
          <w:sz w:val="24"/>
          <w:szCs w:val="20"/>
        </w:rPr>
      </w:pPr>
    </w:p>
    <w:p w14:paraId="58D7CC96">
      <w:pPr>
        <w:widowControl/>
        <w:jc w:val="left"/>
        <w:rPr>
          <w:rFonts w:ascii="宋体" w:hAnsi="宋体"/>
          <w:kern w:val="0"/>
          <w:sz w:val="24"/>
          <w:szCs w:val="20"/>
        </w:rPr>
      </w:pPr>
    </w:p>
    <w:p w14:paraId="08E921B4">
      <w:pPr>
        <w:widowControl/>
        <w:jc w:val="left"/>
        <w:rPr>
          <w:rFonts w:ascii="宋体" w:hAnsi="宋体"/>
          <w:kern w:val="0"/>
          <w:sz w:val="24"/>
          <w:szCs w:val="20"/>
        </w:rPr>
      </w:pPr>
    </w:p>
    <w:p w14:paraId="7B5F2C3C">
      <w:pPr>
        <w:widowControl/>
        <w:jc w:val="left"/>
        <w:rPr>
          <w:rFonts w:ascii="宋体" w:hAnsi="宋体"/>
          <w:kern w:val="0"/>
          <w:sz w:val="24"/>
          <w:szCs w:val="20"/>
        </w:rPr>
      </w:pPr>
    </w:p>
    <w:p w14:paraId="3AB0EBCA">
      <w:pPr>
        <w:widowControl/>
        <w:jc w:val="left"/>
        <w:rPr>
          <w:rFonts w:ascii="宋体" w:hAnsi="宋体"/>
          <w:kern w:val="0"/>
          <w:sz w:val="24"/>
          <w:szCs w:val="20"/>
        </w:rPr>
      </w:pPr>
    </w:p>
    <w:p w14:paraId="5623744C">
      <w:pPr>
        <w:widowControl/>
        <w:jc w:val="left"/>
        <w:rPr>
          <w:rFonts w:ascii="宋体" w:hAnsi="宋体"/>
          <w:kern w:val="0"/>
          <w:sz w:val="24"/>
          <w:szCs w:val="20"/>
        </w:rPr>
      </w:pPr>
    </w:p>
    <w:p w14:paraId="7980781D">
      <w:pPr>
        <w:pStyle w:val="21"/>
        <w:spacing w:before="0" w:beforeAutospacing="0" w:after="0" w:afterAutospacing="0" w:line="360" w:lineRule="auto"/>
        <w:jc w:val="center"/>
        <w:outlineLvl w:val="0"/>
        <w:rPr>
          <w:rFonts w:ascii="黑体" w:hAnsi="黑体" w:eastAsia="黑体"/>
          <w:snapToGrid w:val="0"/>
          <w:sz w:val="30"/>
          <w:szCs w:val="30"/>
        </w:rPr>
      </w:pPr>
      <w:r>
        <w:rPr>
          <w:rFonts w:ascii="黑体" w:hAnsi="黑体" w:eastAsia="黑体"/>
          <w:snapToGrid w:val="0"/>
          <w:sz w:val="30"/>
          <w:szCs w:val="30"/>
        </w:rPr>
        <w:t>五、环境保护措施监督检查清单</w:t>
      </w:r>
    </w:p>
    <w:tbl>
      <w:tblPr>
        <w:tblStyle w:val="25"/>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7"/>
        <w:gridCol w:w="462"/>
        <w:gridCol w:w="1076"/>
        <w:gridCol w:w="1371"/>
        <w:gridCol w:w="76"/>
        <w:gridCol w:w="2048"/>
        <w:gridCol w:w="1371"/>
        <w:gridCol w:w="2335"/>
      </w:tblGrid>
      <w:tr w14:paraId="739C6E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tcBorders>
              <w:tl2br w:val="single" w:color="auto" w:sz="4" w:space="0"/>
            </w:tcBorders>
          </w:tcPr>
          <w:p w14:paraId="31C9DA60">
            <w:pPr>
              <w:adjustRightInd w:val="0"/>
              <w:snapToGrid w:val="0"/>
              <w:spacing w:line="360" w:lineRule="exact"/>
              <w:ind w:left="210" w:leftChars="100"/>
              <w:rPr>
                <w:szCs w:val="21"/>
              </w:rPr>
            </w:pPr>
            <w:r>
              <w:rPr>
                <w:szCs w:val="21"/>
              </w:rPr>
              <w:t>内容</w:t>
            </w:r>
          </w:p>
          <w:p w14:paraId="7D00EC70">
            <w:pPr>
              <w:adjustRightInd w:val="0"/>
              <w:snapToGrid w:val="0"/>
              <w:spacing w:line="360" w:lineRule="exact"/>
              <w:rPr>
                <w:szCs w:val="21"/>
              </w:rPr>
            </w:pPr>
            <w:r>
              <w:rPr>
                <w:szCs w:val="21"/>
              </w:rPr>
              <w:t>要素</w:t>
            </w:r>
          </w:p>
        </w:tc>
        <w:tc>
          <w:tcPr>
            <w:tcW w:w="813" w:type="pct"/>
            <w:gridSpan w:val="2"/>
            <w:vAlign w:val="center"/>
          </w:tcPr>
          <w:p w14:paraId="0CB39984">
            <w:pPr>
              <w:adjustRightInd w:val="0"/>
              <w:snapToGrid w:val="0"/>
              <w:jc w:val="center"/>
              <w:rPr>
                <w:szCs w:val="21"/>
              </w:rPr>
            </w:pPr>
            <w:r>
              <w:rPr>
                <w:szCs w:val="21"/>
              </w:rPr>
              <w:t>排放口(编号、</w:t>
            </w:r>
          </w:p>
          <w:p w14:paraId="1A1C00D3">
            <w:pPr>
              <w:adjustRightInd w:val="0"/>
              <w:snapToGrid w:val="0"/>
              <w:jc w:val="center"/>
              <w:rPr>
                <w:szCs w:val="21"/>
              </w:rPr>
            </w:pPr>
            <w:r>
              <w:rPr>
                <w:szCs w:val="21"/>
              </w:rPr>
              <w:t>名称)/污染源</w:t>
            </w:r>
          </w:p>
        </w:tc>
        <w:tc>
          <w:tcPr>
            <w:tcW w:w="725" w:type="pct"/>
            <w:vAlign w:val="center"/>
          </w:tcPr>
          <w:p w14:paraId="75EC12EE">
            <w:pPr>
              <w:adjustRightInd w:val="0"/>
              <w:snapToGrid w:val="0"/>
              <w:jc w:val="center"/>
              <w:rPr>
                <w:szCs w:val="21"/>
              </w:rPr>
            </w:pPr>
            <w:r>
              <w:rPr>
                <w:szCs w:val="21"/>
              </w:rPr>
              <w:t>污染物项目</w:t>
            </w:r>
          </w:p>
        </w:tc>
        <w:tc>
          <w:tcPr>
            <w:tcW w:w="1123" w:type="pct"/>
            <w:gridSpan w:val="2"/>
            <w:tcBorders>
              <w:bottom w:val="single" w:color="auto" w:sz="4" w:space="0"/>
            </w:tcBorders>
            <w:vAlign w:val="center"/>
          </w:tcPr>
          <w:p w14:paraId="6805704A">
            <w:pPr>
              <w:adjustRightInd w:val="0"/>
              <w:snapToGrid w:val="0"/>
              <w:jc w:val="center"/>
              <w:rPr>
                <w:szCs w:val="21"/>
              </w:rPr>
            </w:pPr>
            <w:r>
              <w:rPr>
                <w:szCs w:val="21"/>
              </w:rPr>
              <w:t>环境保护措施</w:t>
            </w:r>
          </w:p>
        </w:tc>
        <w:tc>
          <w:tcPr>
            <w:tcW w:w="1960" w:type="pct"/>
            <w:gridSpan w:val="2"/>
            <w:tcBorders>
              <w:bottom w:val="single" w:color="auto" w:sz="4" w:space="0"/>
            </w:tcBorders>
            <w:vAlign w:val="center"/>
          </w:tcPr>
          <w:p w14:paraId="1F8E72A3">
            <w:pPr>
              <w:adjustRightInd w:val="0"/>
              <w:snapToGrid w:val="0"/>
              <w:jc w:val="center"/>
              <w:rPr>
                <w:szCs w:val="21"/>
              </w:rPr>
            </w:pPr>
            <w:r>
              <w:rPr>
                <w:szCs w:val="21"/>
              </w:rPr>
              <w:t>执行标准</w:t>
            </w:r>
          </w:p>
        </w:tc>
      </w:tr>
      <w:tr w14:paraId="73DFA3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restart"/>
            <w:vAlign w:val="center"/>
          </w:tcPr>
          <w:p w14:paraId="74A31554">
            <w:pPr>
              <w:adjustRightInd w:val="0"/>
              <w:snapToGrid w:val="0"/>
              <w:spacing w:line="360" w:lineRule="exact"/>
              <w:jc w:val="center"/>
              <w:rPr>
                <w:szCs w:val="21"/>
              </w:rPr>
            </w:pPr>
            <w:r>
              <w:rPr>
                <w:szCs w:val="21"/>
              </w:rPr>
              <w:t>大气环境</w:t>
            </w:r>
          </w:p>
        </w:tc>
        <w:tc>
          <w:tcPr>
            <w:tcW w:w="244" w:type="pct"/>
            <w:vMerge w:val="restart"/>
            <w:vAlign w:val="center"/>
          </w:tcPr>
          <w:p w14:paraId="2D47BCB7">
            <w:pPr>
              <w:adjustRightInd w:val="0"/>
              <w:snapToGrid w:val="0"/>
              <w:jc w:val="center"/>
              <w:rPr>
                <w:szCs w:val="21"/>
              </w:rPr>
            </w:pPr>
            <w:r>
              <w:rPr>
                <w:szCs w:val="21"/>
              </w:rPr>
              <w:t>有组织</w:t>
            </w:r>
          </w:p>
        </w:tc>
        <w:tc>
          <w:tcPr>
            <w:tcW w:w="569" w:type="pct"/>
            <w:vAlign w:val="center"/>
          </w:tcPr>
          <w:p w14:paraId="3524D861">
            <w:pPr>
              <w:adjustRightInd w:val="0"/>
              <w:snapToGrid w:val="0"/>
              <w:jc w:val="center"/>
              <w:rPr>
                <w:szCs w:val="21"/>
              </w:rPr>
            </w:pPr>
            <w:r>
              <w:rPr>
                <w:szCs w:val="21"/>
              </w:rPr>
              <w:t>DA001/切割工序、焊接工序、抛光工序</w:t>
            </w:r>
          </w:p>
        </w:tc>
        <w:tc>
          <w:tcPr>
            <w:tcW w:w="725" w:type="pct"/>
            <w:vAlign w:val="center"/>
          </w:tcPr>
          <w:p w14:paraId="30266975">
            <w:pPr>
              <w:adjustRightInd w:val="0"/>
              <w:snapToGrid w:val="0"/>
              <w:jc w:val="center"/>
              <w:rPr>
                <w:szCs w:val="21"/>
              </w:rPr>
            </w:pPr>
            <w:r>
              <w:rPr>
                <w:szCs w:val="21"/>
              </w:rPr>
              <w:t>颗粒物</w:t>
            </w:r>
          </w:p>
        </w:tc>
        <w:tc>
          <w:tcPr>
            <w:tcW w:w="1123" w:type="pct"/>
            <w:gridSpan w:val="2"/>
            <w:vAlign w:val="center"/>
          </w:tcPr>
          <w:p w14:paraId="5DADE150">
            <w:pPr>
              <w:adjustRightInd w:val="0"/>
              <w:snapToGrid w:val="0"/>
              <w:jc w:val="center"/>
              <w:rPr>
                <w:szCs w:val="21"/>
              </w:rPr>
            </w:pPr>
            <w:bookmarkStart w:id="230" w:name="OLE_LINK167"/>
            <w:bookmarkStart w:id="231" w:name="OLE_LINK166"/>
            <w:r>
              <w:rPr>
                <w:szCs w:val="21"/>
              </w:rPr>
              <w:t>集气罩</w:t>
            </w:r>
            <w:r>
              <w:rPr>
                <w:rFonts w:hint="eastAsia"/>
                <w:szCs w:val="21"/>
              </w:rPr>
              <w:t>+</w:t>
            </w:r>
            <w:r>
              <w:rPr>
                <w:szCs w:val="21"/>
              </w:rPr>
              <w:t>布袋除尘器（TA001）</w:t>
            </w:r>
          </w:p>
          <w:p w14:paraId="5A6EB5E5">
            <w:pPr>
              <w:adjustRightInd w:val="0"/>
              <w:snapToGrid w:val="0"/>
              <w:jc w:val="center"/>
              <w:rPr>
                <w:szCs w:val="21"/>
              </w:rPr>
            </w:pPr>
            <w:r>
              <w:rPr>
                <w:szCs w:val="21"/>
              </w:rPr>
              <w:t>+15</w:t>
            </w:r>
            <w:r>
              <w:rPr>
                <w:rFonts w:hint="eastAsia"/>
                <w:szCs w:val="21"/>
              </w:rPr>
              <w:t>m高</w:t>
            </w:r>
            <w:r>
              <w:rPr>
                <w:szCs w:val="21"/>
              </w:rPr>
              <w:t>排气筒（DA001）</w:t>
            </w:r>
            <w:bookmarkEnd w:id="230"/>
            <w:bookmarkEnd w:id="231"/>
          </w:p>
        </w:tc>
        <w:tc>
          <w:tcPr>
            <w:tcW w:w="1960" w:type="pct"/>
            <w:gridSpan w:val="2"/>
            <w:vAlign w:val="center"/>
          </w:tcPr>
          <w:p w14:paraId="4F4E63CB">
            <w:pPr>
              <w:contextualSpacing/>
              <w:jc w:val="center"/>
              <w:rPr>
                <w:szCs w:val="21"/>
              </w:rPr>
            </w:pPr>
            <w:r>
              <w:t>排放浓度执行《区域性大气污染物综合排放标准》（DB37/2376-2019）表1</w:t>
            </w:r>
            <w:r>
              <w:rPr>
                <w:szCs w:val="21"/>
              </w:rPr>
              <w:t>“一般控制区”</w:t>
            </w:r>
            <w:r>
              <w:t>排放浓度限值要求（</w:t>
            </w:r>
            <w:r>
              <w:rPr>
                <w:szCs w:val="21"/>
              </w:rPr>
              <w:t>≤</w:t>
            </w:r>
            <w:r>
              <w:t>20mg/m</w:t>
            </w:r>
            <w:r>
              <w:rPr>
                <w:vertAlign w:val="superscript"/>
              </w:rPr>
              <w:t>3</w:t>
            </w:r>
            <w:r>
              <w:t>），排放速率</w:t>
            </w:r>
            <w:r>
              <w:rPr>
                <w:rFonts w:hint="eastAsia"/>
              </w:rPr>
              <w:t>执行</w:t>
            </w:r>
            <w:r>
              <w:t>《大气污染物综合排放标准》（GB16297-1996）表2中</w:t>
            </w:r>
            <w:r>
              <w:rPr>
                <w:szCs w:val="21"/>
              </w:rPr>
              <w:t>二级排放标准限值要求</w:t>
            </w:r>
            <w:r>
              <w:t>（15m排气筒，</w:t>
            </w:r>
            <w:r>
              <w:rPr>
                <w:szCs w:val="21"/>
              </w:rPr>
              <w:t>≤</w:t>
            </w:r>
            <w:r>
              <w:t>3.5kg/h）</w:t>
            </w:r>
          </w:p>
        </w:tc>
      </w:tr>
      <w:tr w14:paraId="1CD2BD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70AFEED7">
            <w:pPr>
              <w:adjustRightInd w:val="0"/>
              <w:snapToGrid w:val="0"/>
              <w:spacing w:line="360" w:lineRule="exact"/>
              <w:jc w:val="center"/>
              <w:rPr>
                <w:szCs w:val="21"/>
              </w:rPr>
            </w:pPr>
          </w:p>
        </w:tc>
        <w:tc>
          <w:tcPr>
            <w:tcW w:w="244" w:type="pct"/>
            <w:vMerge w:val="continue"/>
            <w:vAlign w:val="center"/>
          </w:tcPr>
          <w:p w14:paraId="7BCB67CF">
            <w:pPr>
              <w:adjustRightInd w:val="0"/>
              <w:snapToGrid w:val="0"/>
              <w:jc w:val="center"/>
              <w:rPr>
                <w:szCs w:val="21"/>
              </w:rPr>
            </w:pPr>
          </w:p>
        </w:tc>
        <w:tc>
          <w:tcPr>
            <w:tcW w:w="569" w:type="pct"/>
            <w:vAlign w:val="center"/>
          </w:tcPr>
          <w:p w14:paraId="5ECD32C6">
            <w:pPr>
              <w:adjustRightInd w:val="0"/>
              <w:snapToGrid w:val="0"/>
              <w:jc w:val="center"/>
              <w:rPr>
                <w:szCs w:val="21"/>
              </w:rPr>
            </w:pPr>
            <w:r>
              <w:rPr>
                <w:szCs w:val="21"/>
              </w:rPr>
              <w:t>DA002/喷</w:t>
            </w:r>
            <w:r>
              <w:rPr>
                <w:rFonts w:hint="eastAsia"/>
                <w:szCs w:val="21"/>
              </w:rPr>
              <w:t>塑</w:t>
            </w:r>
            <w:r>
              <w:rPr>
                <w:szCs w:val="21"/>
              </w:rPr>
              <w:t>工序</w:t>
            </w:r>
          </w:p>
        </w:tc>
        <w:tc>
          <w:tcPr>
            <w:tcW w:w="725" w:type="pct"/>
            <w:vAlign w:val="center"/>
          </w:tcPr>
          <w:p w14:paraId="655A88C8">
            <w:pPr>
              <w:adjustRightInd w:val="0"/>
              <w:snapToGrid w:val="0"/>
              <w:jc w:val="center"/>
              <w:rPr>
                <w:szCs w:val="21"/>
              </w:rPr>
            </w:pPr>
            <w:r>
              <w:rPr>
                <w:szCs w:val="21"/>
              </w:rPr>
              <w:t>颗粒物</w:t>
            </w:r>
          </w:p>
        </w:tc>
        <w:tc>
          <w:tcPr>
            <w:tcW w:w="1123" w:type="pct"/>
            <w:gridSpan w:val="2"/>
            <w:vAlign w:val="center"/>
          </w:tcPr>
          <w:p w14:paraId="4F2AFBC1">
            <w:pPr>
              <w:adjustRightInd w:val="0"/>
              <w:snapToGrid w:val="0"/>
              <w:jc w:val="center"/>
              <w:rPr>
                <w:szCs w:val="21"/>
              </w:rPr>
            </w:pPr>
            <w:bookmarkStart w:id="232" w:name="OLE_LINK168"/>
            <w:bookmarkStart w:id="233" w:name="OLE_LINK169"/>
            <w:r>
              <w:rPr>
                <w:rFonts w:hint="eastAsia"/>
                <w:szCs w:val="21"/>
              </w:rPr>
              <w:t>集气管道</w:t>
            </w:r>
            <w:r>
              <w:rPr>
                <w:szCs w:val="21"/>
              </w:rPr>
              <w:t>+</w:t>
            </w:r>
            <w:r>
              <w:rPr>
                <w:rFonts w:hint="eastAsia"/>
                <w:szCs w:val="21"/>
              </w:rPr>
              <w:t>布袋除尘器（</w:t>
            </w:r>
            <w:r>
              <w:rPr>
                <w:szCs w:val="21"/>
              </w:rPr>
              <w:t>TA002</w:t>
            </w:r>
            <w:r>
              <w:rPr>
                <w:rFonts w:hint="eastAsia"/>
                <w:szCs w:val="21"/>
              </w:rPr>
              <w:t>）</w:t>
            </w:r>
          </w:p>
          <w:p w14:paraId="2607883E">
            <w:pPr>
              <w:adjustRightInd w:val="0"/>
              <w:snapToGrid w:val="0"/>
              <w:jc w:val="center"/>
              <w:rPr>
                <w:szCs w:val="21"/>
              </w:rPr>
            </w:pPr>
            <w:r>
              <w:rPr>
                <w:szCs w:val="21"/>
              </w:rPr>
              <w:t>+15m</w:t>
            </w:r>
            <w:r>
              <w:rPr>
                <w:rFonts w:hint="eastAsia"/>
                <w:szCs w:val="21"/>
              </w:rPr>
              <w:t>高排气筒（</w:t>
            </w:r>
            <w:r>
              <w:rPr>
                <w:szCs w:val="21"/>
              </w:rPr>
              <w:t>DA002</w:t>
            </w:r>
            <w:r>
              <w:rPr>
                <w:rFonts w:hint="eastAsia"/>
                <w:szCs w:val="21"/>
              </w:rPr>
              <w:t>）</w:t>
            </w:r>
            <w:bookmarkEnd w:id="232"/>
            <w:bookmarkEnd w:id="233"/>
          </w:p>
        </w:tc>
        <w:tc>
          <w:tcPr>
            <w:tcW w:w="1960" w:type="pct"/>
            <w:gridSpan w:val="2"/>
            <w:vAlign w:val="center"/>
          </w:tcPr>
          <w:p w14:paraId="2B687F46">
            <w:pPr>
              <w:contextualSpacing/>
              <w:jc w:val="center"/>
              <w:rPr>
                <w:szCs w:val="21"/>
              </w:rPr>
            </w:pPr>
            <w:r>
              <w:t>排放浓度执行《区域性大气污染物综合排放标准》（DB37/2376-2019）表1</w:t>
            </w:r>
            <w:r>
              <w:rPr>
                <w:szCs w:val="21"/>
              </w:rPr>
              <w:t>“一般控制区”</w:t>
            </w:r>
            <w:r>
              <w:t>排放浓度限值要求（</w:t>
            </w:r>
            <w:r>
              <w:rPr>
                <w:szCs w:val="21"/>
              </w:rPr>
              <w:t>≤</w:t>
            </w:r>
            <w:r>
              <w:t>20mg/m</w:t>
            </w:r>
            <w:r>
              <w:rPr>
                <w:vertAlign w:val="superscript"/>
              </w:rPr>
              <w:t>3</w:t>
            </w:r>
            <w:r>
              <w:t>），排放速率</w:t>
            </w:r>
            <w:r>
              <w:rPr>
                <w:rFonts w:hint="eastAsia"/>
              </w:rPr>
              <w:t>执行</w:t>
            </w:r>
            <w:r>
              <w:t>《大气污染物综合排放标准》（GB16297-1996）表2中</w:t>
            </w:r>
            <w:r>
              <w:rPr>
                <w:szCs w:val="21"/>
              </w:rPr>
              <w:t>二级排放标准限值要求</w:t>
            </w:r>
            <w:r>
              <w:t>（15m排气筒，</w:t>
            </w:r>
            <w:r>
              <w:rPr>
                <w:szCs w:val="21"/>
              </w:rPr>
              <w:t>≤</w:t>
            </w:r>
            <w:r>
              <w:t>3.5kg/h）</w:t>
            </w:r>
          </w:p>
        </w:tc>
      </w:tr>
      <w:tr w14:paraId="620B0D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7FE91CAE">
            <w:pPr>
              <w:adjustRightInd w:val="0"/>
              <w:snapToGrid w:val="0"/>
              <w:spacing w:line="360" w:lineRule="exact"/>
              <w:jc w:val="center"/>
              <w:rPr>
                <w:szCs w:val="21"/>
              </w:rPr>
            </w:pPr>
          </w:p>
        </w:tc>
        <w:tc>
          <w:tcPr>
            <w:tcW w:w="244" w:type="pct"/>
            <w:vMerge w:val="continue"/>
            <w:vAlign w:val="center"/>
          </w:tcPr>
          <w:p w14:paraId="33571518">
            <w:pPr>
              <w:adjustRightInd w:val="0"/>
              <w:snapToGrid w:val="0"/>
              <w:jc w:val="center"/>
              <w:rPr>
                <w:szCs w:val="21"/>
              </w:rPr>
            </w:pPr>
          </w:p>
        </w:tc>
        <w:tc>
          <w:tcPr>
            <w:tcW w:w="569" w:type="pct"/>
            <w:vAlign w:val="center"/>
          </w:tcPr>
          <w:p w14:paraId="76EC54DF">
            <w:pPr>
              <w:adjustRightInd w:val="0"/>
              <w:snapToGrid w:val="0"/>
              <w:jc w:val="center"/>
              <w:rPr>
                <w:szCs w:val="21"/>
              </w:rPr>
            </w:pPr>
            <w:r>
              <w:rPr>
                <w:rFonts w:hint="eastAsia"/>
                <w:szCs w:val="21"/>
              </w:rPr>
              <w:t>D</w:t>
            </w:r>
            <w:r>
              <w:rPr>
                <w:szCs w:val="21"/>
              </w:rPr>
              <w:t>A003/固化工序</w:t>
            </w:r>
          </w:p>
        </w:tc>
        <w:tc>
          <w:tcPr>
            <w:tcW w:w="725" w:type="pct"/>
            <w:vAlign w:val="center"/>
          </w:tcPr>
          <w:p w14:paraId="63A4E154">
            <w:pPr>
              <w:adjustRightInd w:val="0"/>
              <w:snapToGrid w:val="0"/>
              <w:jc w:val="center"/>
              <w:rPr>
                <w:szCs w:val="21"/>
              </w:rPr>
            </w:pPr>
            <w:r>
              <w:rPr>
                <w:rFonts w:hint="eastAsia"/>
                <w:szCs w:val="21"/>
              </w:rPr>
              <w:t>VOC</w:t>
            </w:r>
            <w:r>
              <w:rPr>
                <w:szCs w:val="21"/>
              </w:rPr>
              <w:t>s</w:t>
            </w:r>
          </w:p>
        </w:tc>
        <w:tc>
          <w:tcPr>
            <w:tcW w:w="1123" w:type="pct"/>
            <w:gridSpan w:val="2"/>
            <w:vAlign w:val="center"/>
          </w:tcPr>
          <w:p w14:paraId="0CA2BFBA">
            <w:pPr>
              <w:adjustRightInd w:val="0"/>
              <w:snapToGrid w:val="0"/>
              <w:jc w:val="center"/>
              <w:rPr>
                <w:szCs w:val="21"/>
              </w:rPr>
            </w:pPr>
            <w:r>
              <w:rPr>
                <w:rFonts w:hint="eastAsia"/>
                <w:szCs w:val="21"/>
              </w:rPr>
              <w:t>集气管道</w:t>
            </w:r>
            <w:r>
              <w:rPr>
                <w:szCs w:val="21"/>
              </w:rPr>
              <w:t>+</w:t>
            </w:r>
            <w:r>
              <w:rPr>
                <w:rFonts w:hint="eastAsia"/>
                <w:szCs w:val="21"/>
              </w:rPr>
              <w:t>二级活性炭（</w:t>
            </w:r>
            <w:r>
              <w:rPr>
                <w:szCs w:val="21"/>
              </w:rPr>
              <w:t>TA00</w:t>
            </w:r>
            <w:r>
              <w:rPr>
                <w:rFonts w:hint="eastAsia"/>
                <w:szCs w:val="21"/>
              </w:rPr>
              <w:t>3）</w:t>
            </w:r>
          </w:p>
          <w:p w14:paraId="1C828C5C">
            <w:pPr>
              <w:adjustRightInd w:val="0"/>
              <w:snapToGrid w:val="0"/>
              <w:jc w:val="center"/>
              <w:rPr>
                <w:szCs w:val="21"/>
              </w:rPr>
            </w:pPr>
            <w:r>
              <w:rPr>
                <w:szCs w:val="21"/>
              </w:rPr>
              <w:t>+15m</w:t>
            </w:r>
            <w:r>
              <w:rPr>
                <w:rFonts w:hint="eastAsia"/>
                <w:szCs w:val="21"/>
              </w:rPr>
              <w:t>高排气筒（</w:t>
            </w:r>
            <w:r>
              <w:rPr>
                <w:szCs w:val="21"/>
              </w:rPr>
              <w:t>DA00</w:t>
            </w:r>
            <w:r>
              <w:rPr>
                <w:rFonts w:hint="eastAsia"/>
                <w:szCs w:val="21"/>
              </w:rPr>
              <w:t>3）</w:t>
            </w:r>
          </w:p>
        </w:tc>
        <w:tc>
          <w:tcPr>
            <w:tcW w:w="1960" w:type="pct"/>
            <w:gridSpan w:val="2"/>
            <w:vAlign w:val="center"/>
          </w:tcPr>
          <w:p w14:paraId="560FD48B">
            <w:pPr>
              <w:contextualSpacing/>
              <w:jc w:val="center"/>
              <w:rPr>
                <w:szCs w:val="21"/>
              </w:rPr>
            </w:pPr>
            <w:r>
              <w:rPr>
                <w:bCs/>
                <w:szCs w:val="21"/>
              </w:rPr>
              <w:t>VOCs有组织排放</w:t>
            </w:r>
            <w:r>
              <w:rPr>
                <w:rFonts w:hint="eastAsia"/>
                <w:bCs/>
                <w:szCs w:val="21"/>
              </w:rPr>
              <w:t>执行</w:t>
            </w:r>
            <w:r>
              <w:rPr>
                <w:bCs/>
                <w:szCs w:val="21"/>
              </w:rPr>
              <w:t>《挥发性有机物排放标准 第5部分：表面涂装行业》（DB37/2801.5-2018）表2</w:t>
            </w:r>
            <w:r>
              <w:rPr>
                <w:szCs w:val="21"/>
              </w:rPr>
              <w:t>中</w:t>
            </w:r>
            <w:r>
              <w:rPr>
                <w:rFonts w:hint="eastAsia"/>
                <w:szCs w:val="21"/>
              </w:rPr>
              <w:t>集装箱及金属包装容器制造(C333)</w:t>
            </w:r>
            <w:r>
              <w:rPr>
                <w:bCs/>
                <w:szCs w:val="21"/>
              </w:rPr>
              <w:t>VOCs排放限值要求（VOCs：70mg/m³，2.4kg/h）</w:t>
            </w:r>
          </w:p>
        </w:tc>
      </w:tr>
      <w:tr w14:paraId="19E91C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5CAECEB6">
            <w:pPr>
              <w:adjustRightInd w:val="0"/>
              <w:snapToGrid w:val="0"/>
              <w:spacing w:line="360" w:lineRule="exact"/>
              <w:jc w:val="center"/>
              <w:rPr>
                <w:szCs w:val="21"/>
              </w:rPr>
            </w:pPr>
          </w:p>
        </w:tc>
        <w:tc>
          <w:tcPr>
            <w:tcW w:w="244" w:type="pct"/>
            <w:vAlign w:val="center"/>
          </w:tcPr>
          <w:p w14:paraId="5C888915">
            <w:pPr>
              <w:adjustRightInd w:val="0"/>
              <w:snapToGrid w:val="0"/>
              <w:jc w:val="center"/>
              <w:rPr>
                <w:szCs w:val="21"/>
              </w:rPr>
            </w:pPr>
            <w:r>
              <w:rPr>
                <w:szCs w:val="21"/>
              </w:rPr>
              <w:t>无组织</w:t>
            </w:r>
          </w:p>
        </w:tc>
        <w:tc>
          <w:tcPr>
            <w:tcW w:w="569" w:type="pct"/>
            <w:vAlign w:val="center"/>
          </w:tcPr>
          <w:p w14:paraId="1859DB4C">
            <w:pPr>
              <w:adjustRightInd w:val="0"/>
              <w:snapToGrid w:val="0"/>
              <w:jc w:val="center"/>
              <w:rPr>
                <w:szCs w:val="21"/>
              </w:rPr>
            </w:pPr>
            <w:r>
              <w:rPr>
                <w:szCs w:val="21"/>
              </w:rPr>
              <w:t>生产车间</w:t>
            </w:r>
          </w:p>
        </w:tc>
        <w:tc>
          <w:tcPr>
            <w:tcW w:w="725" w:type="pct"/>
            <w:vAlign w:val="center"/>
          </w:tcPr>
          <w:p w14:paraId="7758FBE5">
            <w:pPr>
              <w:adjustRightInd w:val="0"/>
              <w:snapToGrid w:val="0"/>
              <w:jc w:val="center"/>
              <w:rPr>
                <w:szCs w:val="21"/>
              </w:rPr>
            </w:pPr>
            <w:r>
              <w:rPr>
                <w:szCs w:val="21"/>
              </w:rPr>
              <w:t>未被收集的颗粒物、VOCs</w:t>
            </w:r>
          </w:p>
        </w:tc>
        <w:tc>
          <w:tcPr>
            <w:tcW w:w="1123" w:type="pct"/>
            <w:gridSpan w:val="2"/>
            <w:tcBorders>
              <w:top w:val="single" w:color="auto" w:sz="4" w:space="0"/>
            </w:tcBorders>
            <w:vAlign w:val="center"/>
          </w:tcPr>
          <w:p w14:paraId="5CB2A27B">
            <w:pPr>
              <w:adjustRightInd w:val="0"/>
              <w:snapToGrid w:val="0"/>
              <w:jc w:val="center"/>
              <w:rPr>
                <w:szCs w:val="21"/>
              </w:rPr>
            </w:pPr>
            <w:r>
              <w:rPr>
                <w:szCs w:val="21"/>
              </w:rPr>
              <w:t>加强车间</w:t>
            </w:r>
            <w:r>
              <w:rPr>
                <w:rFonts w:hint="eastAsia"/>
                <w:szCs w:val="21"/>
              </w:rPr>
              <w:t>密闭</w:t>
            </w:r>
            <w:r>
              <w:rPr>
                <w:szCs w:val="21"/>
              </w:rPr>
              <w:t>以无组织形式排放</w:t>
            </w:r>
          </w:p>
        </w:tc>
        <w:tc>
          <w:tcPr>
            <w:tcW w:w="1960" w:type="pct"/>
            <w:gridSpan w:val="2"/>
            <w:tcBorders>
              <w:top w:val="single" w:color="auto" w:sz="4" w:space="0"/>
            </w:tcBorders>
            <w:vAlign w:val="center"/>
          </w:tcPr>
          <w:p w14:paraId="752BCBCD">
            <w:pPr>
              <w:contextualSpacing/>
              <w:jc w:val="center"/>
              <w:rPr>
                <w:bCs/>
                <w:szCs w:val="21"/>
              </w:rPr>
            </w:pPr>
            <w:r>
              <w:rPr>
                <w:rFonts w:hint="eastAsia"/>
                <w:bCs/>
                <w:szCs w:val="21"/>
              </w:rPr>
              <w:t>厂界</w:t>
            </w:r>
            <w:r>
              <w:rPr>
                <w:bCs/>
                <w:szCs w:val="21"/>
              </w:rPr>
              <w:t>无组织</w:t>
            </w:r>
            <w:r>
              <w:rPr>
                <w:rFonts w:hint="eastAsia"/>
                <w:bCs/>
                <w:szCs w:val="21"/>
              </w:rPr>
              <w:t>颗粒物执行</w:t>
            </w:r>
            <w:r>
              <w:rPr>
                <w:bCs/>
                <w:szCs w:val="21"/>
              </w:rPr>
              <w:t>《大气污染物综合排放标准》（GB16297-1996）表2无组织排放监控浓度限值要求（</w:t>
            </w:r>
            <w:r>
              <w:rPr>
                <w:rFonts w:hint="eastAsia"/>
                <w:bCs/>
                <w:szCs w:val="21"/>
              </w:rPr>
              <w:t>颗粒物1</w:t>
            </w:r>
            <w:r>
              <w:rPr>
                <w:bCs/>
                <w:szCs w:val="21"/>
              </w:rPr>
              <w:t>.0 mg/m</w:t>
            </w:r>
            <w:r>
              <w:rPr>
                <w:rFonts w:hint="eastAsia"/>
                <w:bCs/>
                <w:szCs w:val="21"/>
                <w:vertAlign w:val="superscript"/>
              </w:rPr>
              <w:t>3</w:t>
            </w:r>
            <w:r>
              <w:rPr>
                <w:bCs/>
                <w:szCs w:val="21"/>
              </w:rPr>
              <w:t>） ；VOCs厂界浓度执行《挥发性有机物排放标准 第5部分：表面涂装行业》（DB37/2801.5-2018）表3中浓度限值要求（VOCs≤2.0mg/m</w:t>
            </w:r>
            <w:r>
              <w:rPr>
                <w:bCs/>
                <w:szCs w:val="21"/>
                <w:vertAlign w:val="superscript"/>
              </w:rPr>
              <w:t>3</w:t>
            </w:r>
            <w:r>
              <w:rPr>
                <w:bCs/>
                <w:szCs w:val="21"/>
              </w:rPr>
              <w:t>）；厂区内VOCs无组织排放执行《挥发性有机物无组织排放控制标准》（GB37822-2019）附录A中表A.1的要求（1h平均浓度值：6mg/m</w:t>
            </w:r>
            <w:r>
              <w:rPr>
                <w:bCs/>
                <w:szCs w:val="21"/>
                <w:vertAlign w:val="superscript"/>
              </w:rPr>
              <w:t>3</w:t>
            </w:r>
            <w:r>
              <w:rPr>
                <w:bCs/>
                <w:szCs w:val="21"/>
              </w:rPr>
              <w:t>、任意一次浓度值：20mg/m</w:t>
            </w:r>
            <w:r>
              <w:rPr>
                <w:bCs/>
                <w:szCs w:val="21"/>
                <w:vertAlign w:val="superscript"/>
              </w:rPr>
              <w:t>3</w:t>
            </w:r>
            <w:r>
              <w:rPr>
                <w:bCs/>
                <w:szCs w:val="21"/>
              </w:rPr>
              <w:t>）</w:t>
            </w:r>
          </w:p>
        </w:tc>
      </w:tr>
      <w:tr w14:paraId="702C99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07534716">
            <w:pPr>
              <w:adjustRightInd w:val="0"/>
              <w:snapToGrid w:val="0"/>
              <w:jc w:val="center"/>
              <w:rPr>
                <w:szCs w:val="21"/>
              </w:rPr>
            </w:pPr>
            <w:r>
              <w:rPr>
                <w:szCs w:val="21"/>
              </w:rPr>
              <w:t>地表水环境</w:t>
            </w:r>
          </w:p>
        </w:tc>
        <w:tc>
          <w:tcPr>
            <w:tcW w:w="813" w:type="pct"/>
            <w:gridSpan w:val="2"/>
            <w:vAlign w:val="center"/>
          </w:tcPr>
          <w:p w14:paraId="2646C69E">
            <w:pPr>
              <w:adjustRightInd w:val="0"/>
              <w:snapToGrid w:val="0"/>
              <w:jc w:val="center"/>
              <w:rPr>
                <w:szCs w:val="21"/>
              </w:rPr>
            </w:pPr>
            <w:r>
              <w:rPr>
                <w:szCs w:val="21"/>
              </w:rPr>
              <w:t>生活污水</w:t>
            </w:r>
          </w:p>
        </w:tc>
        <w:tc>
          <w:tcPr>
            <w:tcW w:w="725" w:type="pct"/>
            <w:vAlign w:val="center"/>
          </w:tcPr>
          <w:p w14:paraId="2D92CEEF">
            <w:pPr>
              <w:adjustRightInd w:val="0"/>
              <w:snapToGrid w:val="0"/>
              <w:jc w:val="center"/>
              <w:rPr>
                <w:szCs w:val="21"/>
              </w:rPr>
            </w:pPr>
            <w:r>
              <w:rPr>
                <w:szCs w:val="21"/>
              </w:rPr>
              <w:t>BOD</w:t>
            </w:r>
            <w:r>
              <w:rPr>
                <w:szCs w:val="21"/>
                <w:vertAlign w:val="subscript"/>
              </w:rPr>
              <w:t>5</w:t>
            </w:r>
            <w:r>
              <w:rPr>
                <w:szCs w:val="21"/>
              </w:rPr>
              <w:t>、COD、氨氮、SS等</w:t>
            </w:r>
          </w:p>
        </w:tc>
        <w:tc>
          <w:tcPr>
            <w:tcW w:w="1123" w:type="pct"/>
            <w:gridSpan w:val="2"/>
            <w:vAlign w:val="center"/>
          </w:tcPr>
          <w:p w14:paraId="3C944B22">
            <w:pPr>
              <w:adjustRightInd w:val="0"/>
              <w:snapToGrid w:val="0"/>
              <w:jc w:val="center"/>
              <w:rPr>
                <w:szCs w:val="21"/>
              </w:rPr>
            </w:pPr>
            <w:r>
              <w:rPr>
                <w:szCs w:val="21"/>
              </w:rPr>
              <w:t>经厂区化粪池沉淀处理后，由环卫部门定期清运</w:t>
            </w:r>
          </w:p>
        </w:tc>
        <w:tc>
          <w:tcPr>
            <w:tcW w:w="1960" w:type="pct"/>
            <w:gridSpan w:val="2"/>
            <w:vAlign w:val="center"/>
          </w:tcPr>
          <w:p w14:paraId="0E8EEA43">
            <w:pPr>
              <w:adjustRightInd w:val="0"/>
              <w:snapToGrid w:val="0"/>
              <w:jc w:val="center"/>
              <w:rPr>
                <w:szCs w:val="21"/>
              </w:rPr>
            </w:pPr>
            <w:r>
              <w:rPr>
                <w:szCs w:val="21"/>
              </w:rPr>
              <w:t>不外排</w:t>
            </w:r>
          </w:p>
        </w:tc>
      </w:tr>
      <w:tr w14:paraId="7C1586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036E282F">
            <w:pPr>
              <w:adjustRightInd w:val="0"/>
              <w:snapToGrid w:val="0"/>
              <w:jc w:val="center"/>
              <w:rPr>
                <w:szCs w:val="21"/>
              </w:rPr>
            </w:pPr>
            <w:r>
              <w:rPr>
                <w:szCs w:val="21"/>
              </w:rPr>
              <w:t>声环境</w:t>
            </w:r>
          </w:p>
        </w:tc>
        <w:tc>
          <w:tcPr>
            <w:tcW w:w="813" w:type="pct"/>
            <w:gridSpan w:val="2"/>
            <w:vAlign w:val="center"/>
          </w:tcPr>
          <w:p w14:paraId="401867AB">
            <w:pPr>
              <w:adjustRightInd w:val="0"/>
              <w:snapToGrid w:val="0"/>
              <w:jc w:val="center"/>
              <w:rPr>
                <w:szCs w:val="21"/>
              </w:rPr>
            </w:pPr>
            <w:r>
              <w:rPr>
                <w:szCs w:val="21"/>
              </w:rPr>
              <w:t>厂界四周</w:t>
            </w:r>
          </w:p>
        </w:tc>
        <w:tc>
          <w:tcPr>
            <w:tcW w:w="725" w:type="pct"/>
            <w:vAlign w:val="center"/>
          </w:tcPr>
          <w:p w14:paraId="6E7AE230">
            <w:pPr>
              <w:adjustRightInd w:val="0"/>
              <w:snapToGrid w:val="0"/>
              <w:jc w:val="center"/>
              <w:rPr>
                <w:szCs w:val="21"/>
              </w:rPr>
            </w:pPr>
            <w:r>
              <w:rPr>
                <w:szCs w:val="21"/>
              </w:rPr>
              <w:t>噪声</w:t>
            </w:r>
          </w:p>
        </w:tc>
        <w:tc>
          <w:tcPr>
            <w:tcW w:w="1123" w:type="pct"/>
            <w:gridSpan w:val="2"/>
            <w:vAlign w:val="center"/>
          </w:tcPr>
          <w:p w14:paraId="0B838D56">
            <w:pPr>
              <w:adjustRightInd w:val="0"/>
              <w:snapToGrid w:val="0"/>
              <w:jc w:val="center"/>
              <w:rPr>
                <w:szCs w:val="21"/>
              </w:rPr>
            </w:pPr>
            <w:r>
              <w:rPr>
                <w:szCs w:val="21"/>
              </w:rPr>
              <w:t>选用低噪声设备，设置基础减振，厂房隔声</w:t>
            </w:r>
          </w:p>
        </w:tc>
        <w:tc>
          <w:tcPr>
            <w:tcW w:w="1960" w:type="pct"/>
            <w:gridSpan w:val="2"/>
            <w:vAlign w:val="center"/>
          </w:tcPr>
          <w:p w14:paraId="7FF84B17">
            <w:pPr>
              <w:adjustRightInd w:val="0"/>
              <w:snapToGrid w:val="0"/>
              <w:spacing w:line="360" w:lineRule="exact"/>
              <w:jc w:val="center"/>
              <w:rPr>
                <w:lang w:val="zh-CN"/>
              </w:rPr>
            </w:pPr>
            <w:r>
              <w:rPr>
                <w:lang w:val="zh-CN"/>
              </w:rPr>
              <w:t>《工业企业厂界环境噪声排放标准》（GB</w:t>
            </w:r>
            <w:r>
              <w:t xml:space="preserve"> </w:t>
            </w:r>
            <w:r>
              <w:rPr>
                <w:lang w:val="zh-CN"/>
              </w:rPr>
              <w:t>12348-2008）</w:t>
            </w:r>
            <w:r>
              <w:t>2</w:t>
            </w:r>
            <w:r>
              <w:rPr>
                <w:lang w:val="zh-CN"/>
              </w:rPr>
              <w:t>类标准</w:t>
            </w:r>
          </w:p>
        </w:tc>
      </w:tr>
      <w:tr w14:paraId="590946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6F27EB58">
            <w:pPr>
              <w:adjustRightInd w:val="0"/>
              <w:snapToGrid w:val="0"/>
              <w:jc w:val="center"/>
              <w:rPr>
                <w:szCs w:val="21"/>
              </w:rPr>
            </w:pPr>
            <w:r>
              <w:rPr>
                <w:szCs w:val="21"/>
              </w:rPr>
              <w:t>电磁辐射</w:t>
            </w:r>
          </w:p>
        </w:tc>
        <w:tc>
          <w:tcPr>
            <w:tcW w:w="4621" w:type="pct"/>
            <w:gridSpan w:val="7"/>
            <w:vAlign w:val="center"/>
          </w:tcPr>
          <w:p w14:paraId="40F4AF51">
            <w:pPr>
              <w:adjustRightInd w:val="0"/>
              <w:snapToGrid w:val="0"/>
              <w:spacing w:line="360" w:lineRule="exact"/>
              <w:jc w:val="center"/>
              <w:rPr>
                <w:szCs w:val="21"/>
              </w:rPr>
            </w:pPr>
            <w:r>
              <w:rPr>
                <w:szCs w:val="21"/>
              </w:rPr>
              <w:t>/</w:t>
            </w:r>
          </w:p>
        </w:tc>
      </w:tr>
      <w:tr w14:paraId="287390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restart"/>
            <w:vAlign w:val="center"/>
          </w:tcPr>
          <w:p w14:paraId="2DBDEFDD">
            <w:pPr>
              <w:adjustRightInd w:val="0"/>
              <w:snapToGrid w:val="0"/>
              <w:jc w:val="center"/>
              <w:rPr>
                <w:szCs w:val="21"/>
              </w:rPr>
            </w:pPr>
            <w:r>
              <w:rPr>
                <w:rFonts w:hint="eastAsia"/>
                <w:szCs w:val="21"/>
              </w:rPr>
              <w:t>固体废物</w:t>
            </w:r>
          </w:p>
        </w:tc>
        <w:tc>
          <w:tcPr>
            <w:tcW w:w="1578" w:type="pct"/>
            <w:gridSpan w:val="4"/>
            <w:vAlign w:val="center"/>
          </w:tcPr>
          <w:p w14:paraId="003EA160">
            <w:pPr>
              <w:adjustRightInd w:val="0"/>
              <w:snapToGrid w:val="0"/>
              <w:jc w:val="center"/>
              <w:rPr>
                <w:szCs w:val="21"/>
              </w:rPr>
            </w:pPr>
            <w:r>
              <w:rPr>
                <w:szCs w:val="21"/>
              </w:rPr>
              <w:t>废包装材料</w:t>
            </w:r>
          </w:p>
        </w:tc>
        <w:tc>
          <w:tcPr>
            <w:tcW w:w="1808" w:type="pct"/>
            <w:gridSpan w:val="2"/>
            <w:vMerge w:val="restart"/>
            <w:vAlign w:val="center"/>
          </w:tcPr>
          <w:p w14:paraId="11DEBCA9">
            <w:pPr>
              <w:adjustRightInd w:val="0"/>
              <w:snapToGrid w:val="0"/>
              <w:jc w:val="center"/>
              <w:rPr>
                <w:szCs w:val="21"/>
              </w:rPr>
            </w:pPr>
            <w:r>
              <w:rPr>
                <w:rFonts w:hint="eastAsia"/>
                <w:szCs w:val="21"/>
              </w:rPr>
              <w:t>收集后外售物资回收单位</w:t>
            </w:r>
          </w:p>
        </w:tc>
        <w:tc>
          <w:tcPr>
            <w:tcW w:w="1235" w:type="pct"/>
            <w:vMerge w:val="restart"/>
            <w:vAlign w:val="center"/>
          </w:tcPr>
          <w:p w14:paraId="25067EB0">
            <w:pPr>
              <w:adjustRightInd w:val="0"/>
              <w:snapToGrid w:val="0"/>
              <w:jc w:val="center"/>
              <w:rPr>
                <w:szCs w:val="21"/>
              </w:rPr>
            </w:pPr>
            <w:r>
              <w:rPr>
                <w:rFonts w:hint="eastAsia"/>
                <w:szCs w:val="21"/>
              </w:rPr>
              <w:t>《中华人民共和国固体废物污染环境防治法》（2020年修订）、《一般工业固体废物管理台账制定指南（试行）》</w:t>
            </w:r>
          </w:p>
        </w:tc>
      </w:tr>
      <w:tr w14:paraId="0D135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7E8445BE">
            <w:pPr>
              <w:adjustRightInd w:val="0"/>
              <w:snapToGrid w:val="0"/>
              <w:jc w:val="center"/>
              <w:rPr>
                <w:szCs w:val="21"/>
              </w:rPr>
            </w:pPr>
          </w:p>
        </w:tc>
        <w:tc>
          <w:tcPr>
            <w:tcW w:w="1578" w:type="pct"/>
            <w:gridSpan w:val="4"/>
            <w:vAlign w:val="center"/>
          </w:tcPr>
          <w:p w14:paraId="0063ED59">
            <w:pPr>
              <w:adjustRightInd w:val="0"/>
              <w:snapToGrid w:val="0"/>
              <w:jc w:val="center"/>
              <w:rPr>
                <w:szCs w:val="21"/>
              </w:rPr>
            </w:pPr>
            <w:r>
              <w:rPr>
                <w:szCs w:val="21"/>
              </w:rPr>
              <w:t>除尘器收尘</w:t>
            </w:r>
          </w:p>
        </w:tc>
        <w:tc>
          <w:tcPr>
            <w:tcW w:w="1808" w:type="pct"/>
            <w:gridSpan w:val="2"/>
            <w:vMerge w:val="continue"/>
            <w:vAlign w:val="center"/>
          </w:tcPr>
          <w:p w14:paraId="04B37E9E">
            <w:pPr>
              <w:adjustRightInd w:val="0"/>
              <w:snapToGrid w:val="0"/>
              <w:jc w:val="center"/>
              <w:rPr>
                <w:szCs w:val="21"/>
              </w:rPr>
            </w:pPr>
          </w:p>
        </w:tc>
        <w:tc>
          <w:tcPr>
            <w:tcW w:w="1235" w:type="pct"/>
            <w:vMerge w:val="continue"/>
            <w:vAlign w:val="center"/>
          </w:tcPr>
          <w:p w14:paraId="39290A54">
            <w:pPr>
              <w:adjustRightInd w:val="0"/>
              <w:snapToGrid w:val="0"/>
              <w:jc w:val="center"/>
              <w:rPr>
                <w:szCs w:val="21"/>
              </w:rPr>
            </w:pPr>
          </w:p>
        </w:tc>
      </w:tr>
      <w:tr w14:paraId="0F8CA8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2F222C0A">
            <w:pPr>
              <w:adjustRightInd w:val="0"/>
              <w:snapToGrid w:val="0"/>
              <w:jc w:val="center"/>
              <w:rPr>
                <w:szCs w:val="21"/>
              </w:rPr>
            </w:pPr>
          </w:p>
        </w:tc>
        <w:tc>
          <w:tcPr>
            <w:tcW w:w="1578" w:type="pct"/>
            <w:gridSpan w:val="4"/>
            <w:vAlign w:val="center"/>
          </w:tcPr>
          <w:p w14:paraId="1E85B34B">
            <w:pPr>
              <w:adjustRightInd w:val="0"/>
              <w:snapToGrid w:val="0"/>
              <w:jc w:val="center"/>
              <w:rPr>
                <w:szCs w:val="21"/>
              </w:rPr>
            </w:pPr>
            <w:r>
              <w:rPr>
                <w:rFonts w:hint="eastAsia"/>
                <w:szCs w:val="21"/>
              </w:rPr>
              <w:t>下脚料</w:t>
            </w:r>
          </w:p>
        </w:tc>
        <w:tc>
          <w:tcPr>
            <w:tcW w:w="1808" w:type="pct"/>
            <w:gridSpan w:val="2"/>
            <w:vMerge w:val="continue"/>
            <w:vAlign w:val="center"/>
          </w:tcPr>
          <w:p w14:paraId="09DB9596">
            <w:pPr>
              <w:adjustRightInd w:val="0"/>
              <w:snapToGrid w:val="0"/>
              <w:jc w:val="center"/>
              <w:rPr>
                <w:szCs w:val="21"/>
              </w:rPr>
            </w:pPr>
          </w:p>
        </w:tc>
        <w:tc>
          <w:tcPr>
            <w:tcW w:w="1235" w:type="pct"/>
            <w:vMerge w:val="continue"/>
            <w:vAlign w:val="center"/>
          </w:tcPr>
          <w:p w14:paraId="7FA9D69A">
            <w:pPr>
              <w:adjustRightInd w:val="0"/>
              <w:snapToGrid w:val="0"/>
              <w:jc w:val="center"/>
              <w:rPr>
                <w:szCs w:val="21"/>
              </w:rPr>
            </w:pPr>
          </w:p>
        </w:tc>
      </w:tr>
      <w:tr w14:paraId="711A6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21F3D54D">
            <w:pPr>
              <w:adjustRightInd w:val="0"/>
              <w:snapToGrid w:val="0"/>
              <w:jc w:val="center"/>
              <w:rPr>
                <w:szCs w:val="21"/>
              </w:rPr>
            </w:pPr>
          </w:p>
        </w:tc>
        <w:tc>
          <w:tcPr>
            <w:tcW w:w="1578" w:type="pct"/>
            <w:gridSpan w:val="4"/>
            <w:vAlign w:val="center"/>
          </w:tcPr>
          <w:p w14:paraId="3C13CA8B">
            <w:pPr>
              <w:adjustRightInd w:val="0"/>
              <w:snapToGrid w:val="0"/>
              <w:jc w:val="center"/>
              <w:rPr>
                <w:szCs w:val="21"/>
              </w:rPr>
            </w:pPr>
            <w:r>
              <w:rPr>
                <w:rFonts w:hint="eastAsia"/>
                <w:szCs w:val="21"/>
              </w:rPr>
              <w:t>废布袋</w:t>
            </w:r>
          </w:p>
        </w:tc>
        <w:tc>
          <w:tcPr>
            <w:tcW w:w="1808" w:type="pct"/>
            <w:gridSpan w:val="2"/>
            <w:vMerge w:val="continue"/>
            <w:vAlign w:val="center"/>
          </w:tcPr>
          <w:p w14:paraId="2896132A">
            <w:pPr>
              <w:adjustRightInd w:val="0"/>
              <w:snapToGrid w:val="0"/>
              <w:jc w:val="center"/>
              <w:rPr>
                <w:szCs w:val="21"/>
              </w:rPr>
            </w:pPr>
          </w:p>
        </w:tc>
        <w:tc>
          <w:tcPr>
            <w:tcW w:w="1235" w:type="pct"/>
            <w:vMerge w:val="continue"/>
            <w:vAlign w:val="center"/>
          </w:tcPr>
          <w:p w14:paraId="5CD55FDD">
            <w:pPr>
              <w:adjustRightInd w:val="0"/>
              <w:snapToGrid w:val="0"/>
              <w:jc w:val="center"/>
              <w:rPr>
                <w:szCs w:val="21"/>
              </w:rPr>
            </w:pPr>
          </w:p>
        </w:tc>
      </w:tr>
      <w:tr w14:paraId="1F210E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641846A6">
            <w:pPr>
              <w:adjustRightInd w:val="0"/>
              <w:snapToGrid w:val="0"/>
              <w:jc w:val="center"/>
              <w:rPr>
                <w:szCs w:val="21"/>
              </w:rPr>
            </w:pPr>
          </w:p>
        </w:tc>
        <w:tc>
          <w:tcPr>
            <w:tcW w:w="1578" w:type="pct"/>
            <w:gridSpan w:val="4"/>
            <w:vAlign w:val="center"/>
          </w:tcPr>
          <w:p w14:paraId="08040AFA">
            <w:pPr>
              <w:adjustRightInd w:val="0"/>
              <w:snapToGrid w:val="0"/>
              <w:jc w:val="center"/>
              <w:rPr>
                <w:szCs w:val="21"/>
              </w:rPr>
            </w:pPr>
            <w:r>
              <w:rPr>
                <w:rFonts w:hint="eastAsia"/>
                <w:szCs w:val="21"/>
              </w:rPr>
              <w:t>不合格品</w:t>
            </w:r>
          </w:p>
        </w:tc>
        <w:tc>
          <w:tcPr>
            <w:tcW w:w="1808" w:type="pct"/>
            <w:gridSpan w:val="2"/>
            <w:vMerge w:val="continue"/>
            <w:vAlign w:val="center"/>
          </w:tcPr>
          <w:p w14:paraId="5258268C">
            <w:pPr>
              <w:adjustRightInd w:val="0"/>
              <w:snapToGrid w:val="0"/>
              <w:jc w:val="center"/>
              <w:rPr>
                <w:szCs w:val="21"/>
              </w:rPr>
            </w:pPr>
          </w:p>
        </w:tc>
        <w:tc>
          <w:tcPr>
            <w:tcW w:w="1235" w:type="pct"/>
            <w:vMerge w:val="continue"/>
            <w:vAlign w:val="center"/>
          </w:tcPr>
          <w:p w14:paraId="75AD5270">
            <w:pPr>
              <w:adjustRightInd w:val="0"/>
              <w:snapToGrid w:val="0"/>
              <w:jc w:val="center"/>
              <w:rPr>
                <w:szCs w:val="21"/>
              </w:rPr>
            </w:pPr>
          </w:p>
        </w:tc>
      </w:tr>
      <w:tr w14:paraId="1B7814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690800D7">
            <w:pPr>
              <w:adjustRightInd w:val="0"/>
              <w:snapToGrid w:val="0"/>
              <w:jc w:val="center"/>
              <w:rPr>
                <w:szCs w:val="21"/>
              </w:rPr>
            </w:pPr>
          </w:p>
        </w:tc>
        <w:tc>
          <w:tcPr>
            <w:tcW w:w="1578" w:type="pct"/>
            <w:gridSpan w:val="4"/>
            <w:vAlign w:val="center"/>
          </w:tcPr>
          <w:p w14:paraId="5023B4E8">
            <w:pPr>
              <w:adjustRightInd w:val="0"/>
              <w:snapToGrid w:val="0"/>
              <w:jc w:val="center"/>
              <w:rPr>
                <w:szCs w:val="21"/>
              </w:rPr>
            </w:pPr>
            <w:r>
              <w:rPr>
                <w:szCs w:val="21"/>
              </w:rPr>
              <w:t>焊渣</w:t>
            </w:r>
          </w:p>
        </w:tc>
        <w:tc>
          <w:tcPr>
            <w:tcW w:w="1808" w:type="pct"/>
            <w:gridSpan w:val="2"/>
            <w:vMerge w:val="continue"/>
            <w:vAlign w:val="center"/>
          </w:tcPr>
          <w:p w14:paraId="681F6493">
            <w:pPr>
              <w:adjustRightInd w:val="0"/>
              <w:snapToGrid w:val="0"/>
              <w:jc w:val="center"/>
              <w:rPr>
                <w:szCs w:val="21"/>
              </w:rPr>
            </w:pPr>
          </w:p>
        </w:tc>
        <w:tc>
          <w:tcPr>
            <w:tcW w:w="1235" w:type="pct"/>
            <w:vMerge w:val="continue"/>
            <w:vAlign w:val="center"/>
          </w:tcPr>
          <w:p w14:paraId="229CF07E">
            <w:pPr>
              <w:adjustRightInd w:val="0"/>
              <w:snapToGrid w:val="0"/>
              <w:jc w:val="center"/>
              <w:rPr>
                <w:szCs w:val="21"/>
              </w:rPr>
            </w:pPr>
          </w:p>
        </w:tc>
      </w:tr>
      <w:tr w14:paraId="301A5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379" w:type="pct"/>
            <w:vMerge w:val="continue"/>
            <w:vAlign w:val="center"/>
          </w:tcPr>
          <w:p w14:paraId="2B81F44B">
            <w:pPr>
              <w:adjustRightInd w:val="0"/>
              <w:snapToGrid w:val="0"/>
              <w:jc w:val="center"/>
              <w:rPr>
                <w:szCs w:val="21"/>
              </w:rPr>
            </w:pPr>
          </w:p>
        </w:tc>
        <w:tc>
          <w:tcPr>
            <w:tcW w:w="1578" w:type="pct"/>
            <w:gridSpan w:val="4"/>
            <w:vAlign w:val="center"/>
          </w:tcPr>
          <w:p w14:paraId="1433AE78">
            <w:pPr>
              <w:adjustRightInd w:val="0"/>
              <w:snapToGrid w:val="0"/>
              <w:jc w:val="center"/>
              <w:rPr>
                <w:szCs w:val="21"/>
              </w:rPr>
            </w:pPr>
            <w:bookmarkStart w:id="234" w:name="OLE_LINK139"/>
            <w:bookmarkStart w:id="235" w:name="OLE_LINK140"/>
            <w:r>
              <w:rPr>
                <w:rFonts w:hint="eastAsia"/>
                <w:szCs w:val="21"/>
              </w:rPr>
              <w:t>喷塑工序布袋</w:t>
            </w:r>
            <w:r>
              <w:rPr>
                <w:rFonts w:hint="eastAsia"/>
                <w:bCs/>
                <w:szCs w:val="21"/>
              </w:rPr>
              <w:t>除尘器收集的塑粉</w:t>
            </w:r>
            <w:bookmarkEnd w:id="234"/>
            <w:bookmarkEnd w:id="235"/>
          </w:p>
        </w:tc>
        <w:tc>
          <w:tcPr>
            <w:tcW w:w="1808" w:type="pct"/>
            <w:gridSpan w:val="2"/>
            <w:vAlign w:val="center"/>
          </w:tcPr>
          <w:p w14:paraId="487349C4">
            <w:pPr>
              <w:adjustRightInd w:val="0"/>
              <w:snapToGrid w:val="0"/>
              <w:jc w:val="center"/>
              <w:rPr>
                <w:szCs w:val="21"/>
              </w:rPr>
            </w:pPr>
            <w:r>
              <w:rPr>
                <w:rFonts w:hint="eastAsia"/>
                <w:szCs w:val="21"/>
              </w:rPr>
              <w:t>收集后回用生产</w:t>
            </w:r>
          </w:p>
        </w:tc>
        <w:tc>
          <w:tcPr>
            <w:tcW w:w="1235" w:type="pct"/>
            <w:vMerge w:val="continue"/>
            <w:vAlign w:val="center"/>
          </w:tcPr>
          <w:p w14:paraId="7696745F">
            <w:pPr>
              <w:adjustRightInd w:val="0"/>
              <w:snapToGrid w:val="0"/>
              <w:jc w:val="center"/>
              <w:rPr>
                <w:szCs w:val="21"/>
              </w:rPr>
            </w:pPr>
          </w:p>
        </w:tc>
      </w:tr>
      <w:tr w14:paraId="7B7F6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30595442">
            <w:pPr>
              <w:adjustRightInd w:val="0"/>
              <w:snapToGrid w:val="0"/>
              <w:jc w:val="center"/>
              <w:rPr>
                <w:szCs w:val="21"/>
              </w:rPr>
            </w:pPr>
          </w:p>
        </w:tc>
        <w:tc>
          <w:tcPr>
            <w:tcW w:w="1578" w:type="pct"/>
            <w:gridSpan w:val="4"/>
            <w:tcBorders>
              <w:top w:val="single" w:color="auto" w:sz="4" w:space="0"/>
            </w:tcBorders>
            <w:vAlign w:val="center"/>
          </w:tcPr>
          <w:p w14:paraId="0C362153">
            <w:pPr>
              <w:adjustRightInd w:val="0"/>
              <w:snapToGrid w:val="0"/>
              <w:jc w:val="center"/>
              <w:rPr>
                <w:szCs w:val="21"/>
              </w:rPr>
            </w:pPr>
            <w:r>
              <w:rPr>
                <w:szCs w:val="21"/>
              </w:rPr>
              <w:t>生活垃圾</w:t>
            </w:r>
          </w:p>
        </w:tc>
        <w:tc>
          <w:tcPr>
            <w:tcW w:w="1808" w:type="pct"/>
            <w:gridSpan w:val="2"/>
            <w:tcBorders>
              <w:top w:val="single" w:color="auto" w:sz="4" w:space="0"/>
            </w:tcBorders>
            <w:vAlign w:val="center"/>
          </w:tcPr>
          <w:p w14:paraId="580E9FB9">
            <w:pPr>
              <w:adjustRightInd w:val="0"/>
              <w:snapToGrid w:val="0"/>
              <w:jc w:val="center"/>
              <w:rPr>
                <w:szCs w:val="21"/>
              </w:rPr>
            </w:pPr>
            <w:r>
              <w:rPr>
                <w:szCs w:val="21"/>
              </w:rPr>
              <w:t>环卫部门清运</w:t>
            </w:r>
          </w:p>
        </w:tc>
        <w:tc>
          <w:tcPr>
            <w:tcW w:w="1235" w:type="pct"/>
            <w:vAlign w:val="center"/>
          </w:tcPr>
          <w:p w14:paraId="7901ABDD">
            <w:pPr>
              <w:adjustRightInd w:val="0"/>
              <w:snapToGrid w:val="0"/>
              <w:jc w:val="center"/>
              <w:rPr>
                <w:szCs w:val="21"/>
              </w:rPr>
            </w:pPr>
            <w:r>
              <w:rPr>
                <w:szCs w:val="21"/>
              </w:rPr>
              <w:t>/</w:t>
            </w:r>
          </w:p>
        </w:tc>
      </w:tr>
      <w:tr w14:paraId="69B079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Merge w:val="continue"/>
            <w:vAlign w:val="center"/>
          </w:tcPr>
          <w:p w14:paraId="0D5799E2">
            <w:pPr>
              <w:adjustRightInd w:val="0"/>
              <w:snapToGrid w:val="0"/>
              <w:jc w:val="center"/>
              <w:rPr>
                <w:szCs w:val="21"/>
              </w:rPr>
            </w:pPr>
          </w:p>
        </w:tc>
        <w:tc>
          <w:tcPr>
            <w:tcW w:w="1578" w:type="pct"/>
            <w:gridSpan w:val="4"/>
            <w:vAlign w:val="center"/>
          </w:tcPr>
          <w:p w14:paraId="769EF44E">
            <w:pPr>
              <w:adjustRightInd w:val="0"/>
              <w:snapToGrid w:val="0"/>
              <w:jc w:val="center"/>
              <w:rPr>
                <w:szCs w:val="21"/>
              </w:rPr>
            </w:pPr>
            <w:r>
              <w:rPr>
                <w:szCs w:val="21"/>
              </w:rPr>
              <w:t>废润滑油、废润滑油桶、废液压油、废液压油桶、废活性炭</w:t>
            </w:r>
          </w:p>
        </w:tc>
        <w:tc>
          <w:tcPr>
            <w:tcW w:w="1808" w:type="pct"/>
            <w:gridSpan w:val="2"/>
            <w:vAlign w:val="center"/>
          </w:tcPr>
          <w:p w14:paraId="5E85740C">
            <w:pPr>
              <w:adjustRightInd w:val="0"/>
              <w:snapToGrid w:val="0"/>
              <w:jc w:val="center"/>
              <w:rPr>
                <w:szCs w:val="21"/>
              </w:rPr>
            </w:pPr>
            <w:r>
              <w:rPr>
                <w:szCs w:val="21"/>
              </w:rPr>
              <w:t>暂存于危废暂存间，委托有危废处置资质的单位处置</w:t>
            </w:r>
          </w:p>
        </w:tc>
        <w:tc>
          <w:tcPr>
            <w:tcW w:w="1235" w:type="pct"/>
            <w:vAlign w:val="center"/>
          </w:tcPr>
          <w:p w14:paraId="2377B484">
            <w:pPr>
              <w:adjustRightInd w:val="0"/>
              <w:snapToGrid w:val="0"/>
              <w:jc w:val="center"/>
              <w:rPr>
                <w:szCs w:val="21"/>
              </w:rPr>
            </w:pPr>
            <w:r>
              <w:rPr>
                <w:szCs w:val="21"/>
              </w:rPr>
              <w:t>《危险废物贮存污染控制标准》（GB18597-2023）</w:t>
            </w:r>
          </w:p>
        </w:tc>
      </w:tr>
      <w:tr w14:paraId="12539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3EAE734A">
            <w:pPr>
              <w:adjustRightInd w:val="0"/>
              <w:snapToGrid w:val="0"/>
              <w:jc w:val="center"/>
              <w:rPr>
                <w:szCs w:val="21"/>
              </w:rPr>
            </w:pPr>
            <w:r>
              <w:rPr>
                <w:szCs w:val="21"/>
              </w:rPr>
              <w:t>土壤及地下水污染防治措施</w:t>
            </w:r>
          </w:p>
        </w:tc>
        <w:tc>
          <w:tcPr>
            <w:tcW w:w="4621" w:type="pct"/>
            <w:gridSpan w:val="7"/>
            <w:vAlign w:val="center"/>
          </w:tcPr>
          <w:p w14:paraId="79662392">
            <w:pPr>
              <w:adjustRightInd w:val="0"/>
              <w:ind w:firstLine="420" w:firstLineChars="200"/>
              <w:contextualSpacing/>
              <w:jc w:val="left"/>
              <w:rPr>
                <w:kern w:val="36"/>
                <w:szCs w:val="21"/>
              </w:rPr>
            </w:pPr>
            <w:r>
              <w:rPr>
                <w:kern w:val="36"/>
                <w:szCs w:val="21"/>
              </w:rPr>
              <w:t>重点防渗区：（1）</w:t>
            </w:r>
            <w:r>
              <w:rPr>
                <w:rFonts w:hint="eastAsia"/>
                <w:kern w:val="36"/>
                <w:szCs w:val="21"/>
              </w:rPr>
              <w:t>化粪池、危废暂存间、生产车间（油类暂存区）、事故水池</w:t>
            </w:r>
            <w:r>
              <w:rPr>
                <w:kern w:val="36"/>
                <w:szCs w:val="21"/>
              </w:rPr>
              <w:t>属于重点防渗区，设置防渗层，防渗技术要求：基础防渗层为粘土层的，其厚度应在1米以上，渗透系数应小于1.0×10</w:t>
            </w:r>
            <w:r>
              <w:rPr>
                <w:kern w:val="36"/>
                <w:szCs w:val="21"/>
                <w:vertAlign w:val="superscript"/>
              </w:rPr>
              <w:t>-7</w:t>
            </w:r>
            <w:r>
              <w:rPr>
                <w:kern w:val="36"/>
                <w:szCs w:val="21"/>
              </w:rPr>
              <w:t>cm/s；基础防渗层也可用厚度在2毫米以上的高密度聚乙烯或其他人工防渗材料组成，渗透系数应小于1.0×10</w:t>
            </w:r>
            <w:r>
              <w:rPr>
                <w:kern w:val="36"/>
                <w:szCs w:val="21"/>
                <w:vertAlign w:val="superscript"/>
              </w:rPr>
              <w:t xml:space="preserve">-10 </w:t>
            </w:r>
            <w:r>
              <w:rPr>
                <w:kern w:val="36"/>
                <w:szCs w:val="21"/>
              </w:rPr>
              <w:t>cm/s；（2）加强日常巡检，及时发现隐患；（2）危废暂存间设置托盘，</w:t>
            </w:r>
            <w:r>
              <w:rPr>
                <w:rFonts w:hint="eastAsia"/>
                <w:kern w:val="36"/>
                <w:szCs w:val="21"/>
              </w:rPr>
              <w:t>油类暂存</w:t>
            </w:r>
            <w:r>
              <w:t>区设置围堰</w:t>
            </w:r>
            <w:r>
              <w:rPr>
                <w:kern w:val="36"/>
                <w:szCs w:val="21"/>
              </w:rPr>
              <w:t>。</w:t>
            </w:r>
          </w:p>
          <w:p w14:paraId="5A33B165">
            <w:pPr>
              <w:adjustRightInd w:val="0"/>
              <w:contextualSpacing/>
              <w:rPr>
                <w:kern w:val="36"/>
                <w:szCs w:val="21"/>
              </w:rPr>
            </w:pPr>
            <w:r>
              <w:rPr>
                <w:kern w:val="36"/>
                <w:szCs w:val="21"/>
              </w:rPr>
              <w:t>一般防渗区（</w:t>
            </w:r>
            <w:r>
              <w:rPr>
                <w:rFonts w:hint="eastAsia"/>
                <w:kern w:val="36"/>
                <w:szCs w:val="21"/>
              </w:rPr>
              <w:t>生产车间其他区域、检测中心、特种压力容器研发中心</w:t>
            </w:r>
            <w:r>
              <w:rPr>
                <w:kern w:val="36"/>
                <w:szCs w:val="21"/>
              </w:rPr>
              <w:t>）：</w:t>
            </w:r>
            <w:r>
              <w:rPr>
                <w:kern w:val="0"/>
                <w:szCs w:val="21"/>
              </w:rPr>
              <w:t>（1）自然地基采用粘土夯实硬化；（2）混凝土浇筑严格按照相关防渗规定，防止出现混凝土裂缝。</w:t>
            </w:r>
          </w:p>
        </w:tc>
      </w:tr>
      <w:tr w14:paraId="0576C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33DCFD5D">
            <w:pPr>
              <w:adjustRightInd w:val="0"/>
              <w:snapToGrid w:val="0"/>
              <w:jc w:val="center"/>
              <w:rPr>
                <w:szCs w:val="21"/>
              </w:rPr>
            </w:pPr>
            <w:r>
              <w:rPr>
                <w:szCs w:val="21"/>
              </w:rPr>
              <w:t>生态保护措施</w:t>
            </w:r>
          </w:p>
        </w:tc>
        <w:tc>
          <w:tcPr>
            <w:tcW w:w="4621" w:type="pct"/>
            <w:gridSpan w:val="7"/>
            <w:vAlign w:val="center"/>
          </w:tcPr>
          <w:p w14:paraId="05CE5643">
            <w:pPr>
              <w:adjustRightInd w:val="0"/>
              <w:snapToGrid w:val="0"/>
              <w:ind w:firstLine="420" w:firstLineChars="200"/>
              <w:rPr>
                <w:szCs w:val="21"/>
              </w:rPr>
            </w:pPr>
            <w:r>
              <w:t>本项目位于</w:t>
            </w:r>
            <w:r>
              <w:rPr>
                <w:rFonts w:hint="eastAsia"/>
              </w:rPr>
              <w:t>山东省济宁市梁山经济开发区三利路南、东王村北180m处</w:t>
            </w:r>
            <w:r>
              <w:t>，项目所在区域不涉及野生动植物，无珍稀保护植物</w:t>
            </w:r>
            <w:r>
              <w:rPr>
                <w:szCs w:val="21"/>
              </w:rPr>
              <w:t>，项目占地内原有的生物物种，在项目周围地域广泛存在，无国家重点保护的珍稀濒危植物和野生植物；项目不占用基本农田等</w:t>
            </w:r>
            <w:r>
              <w:t>。本项目不会对区域生态环境产生明显不良影响。</w:t>
            </w:r>
          </w:p>
        </w:tc>
      </w:tr>
      <w:tr w14:paraId="1CEAA0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6AD8D612">
            <w:pPr>
              <w:adjustRightInd w:val="0"/>
              <w:snapToGrid w:val="0"/>
              <w:spacing w:line="360" w:lineRule="exact"/>
              <w:jc w:val="center"/>
              <w:rPr>
                <w:spacing w:val="-8"/>
                <w:szCs w:val="21"/>
              </w:rPr>
            </w:pPr>
            <w:r>
              <w:rPr>
                <w:spacing w:val="-8"/>
                <w:szCs w:val="21"/>
              </w:rPr>
              <w:t>环境风险</w:t>
            </w:r>
          </w:p>
          <w:p w14:paraId="33164FEC">
            <w:pPr>
              <w:adjustRightInd w:val="0"/>
              <w:snapToGrid w:val="0"/>
              <w:spacing w:line="360" w:lineRule="exact"/>
              <w:jc w:val="center"/>
              <w:rPr>
                <w:spacing w:val="-8"/>
                <w:szCs w:val="21"/>
              </w:rPr>
            </w:pPr>
            <w:r>
              <w:rPr>
                <w:spacing w:val="-8"/>
                <w:szCs w:val="21"/>
              </w:rPr>
              <w:t>防范措施</w:t>
            </w:r>
          </w:p>
        </w:tc>
        <w:tc>
          <w:tcPr>
            <w:tcW w:w="4621" w:type="pct"/>
            <w:gridSpan w:val="7"/>
            <w:vAlign w:val="center"/>
          </w:tcPr>
          <w:p w14:paraId="5769A43A">
            <w:pPr>
              <w:rPr>
                <w:bCs/>
                <w:szCs w:val="21"/>
              </w:rPr>
            </w:pPr>
            <w:r>
              <w:rPr>
                <w:bCs/>
                <w:szCs w:val="21"/>
              </w:rPr>
              <w:t>（1）废气处理装置故障事故应急措施</w:t>
            </w:r>
          </w:p>
          <w:p w14:paraId="4CD1AEF4">
            <w:pPr>
              <w:rPr>
                <w:bCs/>
                <w:szCs w:val="21"/>
              </w:rPr>
            </w:pPr>
            <w:r>
              <w:rPr>
                <w:bCs/>
                <w:szCs w:val="21"/>
              </w:rPr>
              <w:t>在生产过程中，废气处理装置发生故障时导致颗粒物、</w:t>
            </w:r>
            <w:r>
              <w:rPr>
                <w:rFonts w:hint="eastAsia"/>
                <w:bCs/>
                <w:szCs w:val="21"/>
              </w:rPr>
              <w:t>V</w:t>
            </w:r>
            <w:r>
              <w:rPr>
                <w:bCs/>
                <w:szCs w:val="21"/>
              </w:rPr>
              <w:t>OCs排放浓度增加，将会对大气环境造成一定影响。对于此类事故，采取以下应急措施：</w:t>
            </w:r>
          </w:p>
          <w:p w14:paraId="2CAB9D8A">
            <w:pPr>
              <w:rPr>
                <w:bCs/>
                <w:szCs w:val="21"/>
              </w:rPr>
            </w:pPr>
            <w:r>
              <w:rPr>
                <w:bCs/>
                <w:szCs w:val="21"/>
              </w:rPr>
              <w:t>Ⅰ、启动车间紧急停车程序；</w:t>
            </w:r>
          </w:p>
          <w:p w14:paraId="4AB88E88">
            <w:pPr>
              <w:rPr>
                <w:bCs/>
                <w:szCs w:val="21"/>
              </w:rPr>
            </w:pPr>
            <w:r>
              <w:rPr>
                <w:bCs/>
                <w:szCs w:val="21"/>
              </w:rPr>
              <w:t>Ⅱ、车间内开门、开窗或采取强制性通风；</w:t>
            </w:r>
          </w:p>
          <w:p w14:paraId="4FDE9017">
            <w:pPr>
              <w:rPr>
                <w:bCs/>
                <w:szCs w:val="21"/>
              </w:rPr>
            </w:pPr>
            <w:r>
              <w:rPr>
                <w:bCs/>
                <w:szCs w:val="21"/>
              </w:rPr>
              <w:t>Ⅲ、向主管部门上报事故原因、损害情况、人员健康与环境风险、解救对策和方法；</w:t>
            </w:r>
          </w:p>
          <w:p w14:paraId="05CA6944">
            <w:pPr>
              <w:rPr>
                <w:bCs/>
                <w:szCs w:val="21"/>
              </w:rPr>
            </w:pPr>
            <w:r>
              <w:rPr>
                <w:bCs/>
                <w:szCs w:val="21"/>
              </w:rPr>
              <w:t>Ⅳ、查明事故故障，简单故障自行维修，无法自行修复的联系环保设施生产厂家维修。</w:t>
            </w:r>
          </w:p>
          <w:p w14:paraId="1E32976E">
            <w:pPr>
              <w:rPr>
                <w:bCs/>
                <w:szCs w:val="21"/>
              </w:rPr>
            </w:pPr>
            <w:r>
              <w:rPr>
                <w:bCs/>
                <w:szCs w:val="21"/>
              </w:rPr>
              <w:t>（2）火灾风险防范措施</w:t>
            </w:r>
          </w:p>
          <w:p w14:paraId="04209C5A">
            <w:pPr>
              <w:rPr>
                <w:bCs/>
                <w:szCs w:val="21"/>
              </w:rPr>
            </w:pPr>
            <w:r>
              <w:rPr>
                <w:rFonts w:hint="eastAsia"/>
                <w:bCs/>
                <w:szCs w:val="21"/>
              </w:rPr>
              <w:t>①</w:t>
            </w:r>
            <w:r>
              <w:rPr>
                <w:bCs/>
                <w:szCs w:val="21"/>
              </w:rPr>
              <w:t>应急处理：迅速撤离火灾污染区人员至上风处，并立即进行隔离，小泄漏时隔离50米，大泄漏时隔离150米，严格限制出入。应急处理人员戴自给正压式呼吸器，穿一般作业工作服。不要直接接触泄漏物。尽可能切断泄漏源。合理通风，加速扩散。</w:t>
            </w:r>
          </w:p>
          <w:p w14:paraId="7C7786A9">
            <w:pPr>
              <w:rPr>
                <w:bCs/>
                <w:szCs w:val="21"/>
              </w:rPr>
            </w:pPr>
            <w:r>
              <w:rPr>
                <w:rFonts w:hint="eastAsia"/>
                <w:bCs/>
                <w:szCs w:val="21"/>
              </w:rPr>
              <w:t>②</w:t>
            </w:r>
            <w:r>
              <w:rPr>
                <w:bCs/>
                <w:szCs w:val="21"/>
              </w:rPr>
              <w:t>防护措施：当火灾发生并产生浓烟，建议佩戴自吸过滤式防毒面具（半面罩）。紧急事态抢救或撤离时，必须佩戴氧气呼吸器。工作现场禁止吸烟、进食和饮水。工作毕，淋浴更衣。保持良好的卫生习惯。进入高浓度区作业，须有人监护。</w:t>
            </w:r>
          </w:p>
          <w:p w14:paraId="44EC5FC1">
            <w:pPr>
              <w:rPr>
                <w:bCs/>
                <w:szCs w:val="21"/>
              </w:rPr>
            </w:pPr>
            <w:r>
              <w:rPr>
                <w:rFonts w:hint="eastAsia"/>
                <w:bCs/>
                <w:szCs w:val="21"/>
              </w:rPr>
              <w:t>③</w:t>
            </w:r>
            <w:r>
              <w:rPr>
                <w:bCs/>
                <w:szCs w:val="21"/>
              </w:rPr>
              <w:t>急救方法：当人体吸入有毒气体引起中毒，须迅速脱离现场至空气新鲜处；情节严重的要立即就医。</w:t>
            </w:r>
          </w:p>
          <w:p w14:paraId="6898DDCB">
            <w:pPr>
              <w:rPr>
                <w:bCs/>
                <w:szCs w:val="21"/>
              </w:rPr>
            </w:pPr>
            <w:r>
              <w:rPr>
                <w:bCs/>
                <w:szCs w:val="21"/>
              </w:rPr>
              <w:t>灭火方法：消防人员必须佩戴过滤式防毒面具、穿全身消防服，用灭火器紧急处理，及时报告，根据情况拨打119。</w:t>
            </w:r>
          </w:p>
          <w:p w14:paraId="1FDCD8E2">
            <w:pPr>
              <w:adjustRightInd w:val="0"/>
              <w:snapToGrid w:val="0"/>
              <w:rPr>
                <w:bCs/>
                <w:szCs w:val="21"/>
              </w:rPr>
            </w:pPr>
            <w:r>
              <w:rPr>
                <w:bCs/>
                <w:szCs w:val="21"/>
              </w:rPr>
              <w:t>（3）泄漏风险防范措施</w:t>
            </w:r>
          </w:p>
          <w:p w14:paraId="04957F9E">
            <w:pPr>
              <w:adjustRightInd w:val="0"/>
              <w:snapToGrid w:val="0"/>
              <w:rPr>
                <w:bCs/>
                <w:szCs w:val="21"/>
              </w:rPr>
            </w:pPr>
            <w:r>
              <w:rPr>
                <w:rFonts w:hint="eastAsia"/>
                <w:bCs/>
                <w:szCs w:val="21"/>
              </w:rPr>
              <w:t>①</w:t>
            </w:r>
            <w:r>
              <w:rPr>
                <w:bCs/>
                <w:szCs w:val="21"/>
              </w:rPr>
              <w:t>本项目</w:t>
            </w:r>
            <w:r>
              <w:rPr>
                <w:rFonts w:hint="eastAsia"/>
                <w:bCs/>
                <w:szCs w:val="21"/>
              </w:rPr>
              <w:t>油类物质</w:t>
            </w:r>
            <w:r>
              <w:rPr>
                <w:bCs/>
                <w:szCs w:val="21"/>
              </w:rPr>
              <w:t>采用桶装</w:t>
            </w:r>
            <w:r>
              <w:rPr>
                <w:rFonts w:hint="eastAsia"/>
                <w:bCs/>
                <w:szCs w:val="21"/>
              </w:rPr>
              <w:t>，</w:t>
            </w:r>
            <w:r>
              <w:rPr>
                <w:bCs/>
                <w:szCs w:val="21"/>
              </w:rPr>
              <w:t>本项目化粪池、危废</w:t>
            </w:r>
            <w:r>
              <w:rPr>
                <w:rFonts w:hint="eastAsia"/>
                <w:bCs/>
                <w:szCs w:val="21"/>
              </w:rPr>
              <w:t>暂存间</w:t>
            </w:r>
            <w:r>
              <w:rPr>
                <w:bCs/>
                <w:szCs w:val="21"/>
              </w:rPr>
              <w:t>为重点防渗区，防渗性能不应低于6.0m厚渗透系数为1.0×10</w:t>
            </w:r>
            <w:r>
              <w:rPr>
                <w:bCs/>
                <w:szCs w:val="21"/>
                <w:vertAlign w:val="superscript"/>
              </w:rPr>
              <w:t>-7</w:t>
            </w:r>
            <w:r>
              <w:rPr>
                <w:bCs/>
                <w:szCs w:val="21"/>
              </w:rPr>
              <w:t>cm/s的粘土层的防渗性能；其他区域为一般防渗区，防渗性能不应低于1.5m厚渗透系数为1.0×10</w:t>
            </w:r>
            <w:r>
              <w:rPr>
                <w:bCs/>
                <w:szCs w:val="21"/>
                <w:vertAlign w:val="superscript"/>
              </w:rPr>
              <w:t>-7</w:t>
            </w:r>
            <w:r>
              <w:rPr>
                <w:bCs/>
                <w:szCs w:val="21"/>
              </w:rPr>
              <w:t>cm/s的粘土层的防渗性能。</w:t>
            </w:r>
          </w:p>
          <w:p w14:paraId="56E3C574">
            <w:pPr>
              <w:adjustRightInd w:val="0"/>
              <w:snapToGrid w:val="0"/>
              <w:rPr>
                <w:bCs/>
                <w:szCs w:val="21"/>
              </w:rPr>
            </w:pPr>
            <w:r>
              <w:rPr>
                <w:rFonts w:hint="eastAsia"/>
                <w:bCs/>
                <w:szCs w:val="21"/>
              </w:rPr>
              <w:t>②</w:t>
            </w:r>
            <w:r>
              <w:rPr>
                <w:bCs/>
                <w:szCs w:val="21"/>
              </w:rPr>
              <w:t>定期安排工作人员日常巡检，及时发现隐患，及时维护，尽量减少泄漏的可能性。</w:t>
            </w:r>
          </w:p>
          <w:p w14:paraId="0083FCC3">
            <w:pPr>
              <w:adjustRightInd w:val="0"/>
              <w:snapToGrid w:val="0"/>
              <w:rPr>
                <w:bCs/>
                <w:szCs w:val="21"/>
              </w:rPr>
            </w:pPr>
          </w:p>
        </w:tc>
      </w:tr>
      <w:tr w14:paraId="0D1D03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vAlign w:val="center"/>
          </w:tcPr>
          <w:p w14:paraId="42EA2F13">
            <w:pPr>
              <w:adjustRightInd w:val="0"/>
              <w:snapToGrid w:val="0"/>
              <w:spacing w:line="360" w:lineRule="exact"/>
              <w:jc w:val="center"/>
              <w:rPr>
                <w:spacing w:val="-8"/>
                <w:szCs w:val="21"/>
              </w:rPr>
            </w:pPr>
            <w:r>
              <w:rPr>
                <w:spacing w:val="-8"/>
                <w:szCs w:val="21"/>
              </w:rPr>
              <w:t>其他环境</w:t>
            </w:r>
          </w:p>
          <w:p w14:paraId="543FD1A6">
            <w:pPr>
              <w:adjustRightInd w:val="0"/>
              <w:snapToGrid w:val="0"/>
              <w:spacing w:line="360" w:lineRule="exact"/>
              <w:jc w:val="center"/>
              <w:rPr>
                <w:spacing w:val="-8"/>
                <w:szCs w:val="21"/>
              </w:rPr>
            </w:pPr>
            <w:r>
              <w:rPr>
                <w:spacing w:val="-8"/>
                <w:szCs w:val="21"/>
              </w:rPr>
              <w:t>管理要求</w:t>
            </w:r>
          </w:p>
        </w:tc>
        <w:tc>
          <w:tcPr>
            <w:tcW w:w="4621" w:type="pct"/>
            <w:gridSpan w:val="7"/>
            <w:vAlign w:val="center"/>
          </w:tcPr>
          <w:p w14:paraId="42615FD3">
            <w:pPr>
              <w:adjustRightInd w:val="0"/>
              <w:snapToGrid w:val="0"/>
              <w:rPr>
                <w:szCs w:val="21"/>
              </w:rPr>
            </w:pPr>
          </w:p>
          <w:p w14:paraId="331AAEC8">
            <w:pPr>
              <w:adjustRightInd w:val="0"/>
              <w:snapToGrid w:val="0"/>
              <w:rPr>
                <w:szCs w:val="21"/>
              </w:rPr>
            </w:pPr>
          </w:p>
          <w:p w14:paraId="338FE134">
            <w:pPr>
              <w:adjustRightInd w:val="0"/>
              <w:snapToGrid w:val="0"/>
              <w:rPr>
                <w:szCs w:val="21"/>
              </w:rPr>
            </w:pPr>
          </w:p>
          <w:p w14:paraId="023BA7E6">
            <w:pPr>
              <w:adjustRightInd w:val="0"/>
              <w:snapToGrid w:val="0"/>
              <w:rPr>
                <w:szCs w:val="21"/>
              </w:rPr>
            </w:pPr>
            <w:r>
              <w:rPr>
                <w:szCs w:val="21"/>
              </w:rPr>
              <w:t>按照《排污单位自行监测技术指南》和《排污许可证申请与核发技术规范》中的要求开展自行监测，并按照HJ819要求进行信息公开；建立环境管理台账记录制度，落实环境管理台账记录的责任部门和责任人，明确工作职责，包括台账的记录、整理、维护和管理等，台账记录频次和内容须满足排污许可证环境管理要求，并保障台账记录结果的真实性、完整性和规范性。记录保存期限不少于5年。</w:t>
            </w:r>
          </w:p>
          <w:p w14:paraId="05DF5338">
            <w:pPr>
              <w:adjustRightInd w:val="0"/>
              <w:snapToGrid w:val="0"/>
              <w:rPr>
                <w:szCs w:val="21"/>
              </w:rPr>
            </w:pPr>
            <w:r>
              <w:rPr>
                <w:szCs w:val="21"/>
              </w:rPr>
              <w:t>根据《固定污染源排污许可分类管理名录》（2019年版），本项目</w:t>
            </w:r>
            <w:r>
              <w:rPr>
                <w:rFonts w:hint="eastAsia"/>
                <w:szCs w:val="21"/>
              </w:rPr>
              <w:t>不涉及通用工序重点及简化管理，</w:t>
            </w:r>
            <w:r>
              <w:rPr>
                <w:szCs w:val="21"/>
              </w:rPr>
              <w:t>属于“</w:t>
            </w:r>
            <w:r>
              <w:rPr>
                <w:rFonts w:hint="eastAsia"/>
                <w:szCs w:val="21"/>
              </w:rPr>
              <w:t>二十八、金属制品业 3</w:t>
            </w:r>
            <w:r>
              <w:rPr>
                <w:szCs w:val="21"/>
              </w:rPr>
              <w:t>3”中的“80</w:t>
            </w:r>
            <w:r>
              <w:rPr>
                <w:rFonts w:hint="eastAsia"/>
                <w:szCs w:val="21"/>
              </w:rPr>
              <w:t>，集装箱及金属包装容器制造</w:t>
            </w:r>
            <w:r>
              <w:rPr>
                <w:szCs w:val="21"/>
              </w:rPr>
              <w:t>333”，属于登记管理范畴，实行登记管理，在项目投产前按规定完成排污许可登记</w:t>
            </w:r>
            <w:r>
              <w:rPr>
                <w:rFonts w:hint="eastAsia"/>
                <w:szCs w:val="21"/>
              </w:rPr>
              <w:t>，取得登记回执</w:t>
            </w:r>
            <w:r>
              <w:rPr>
                <w:szCs w:val="21"/>
              </w:rPr>
              <w:t>。</w:t>
            </w:r>
          </w:p>
          <w:p w14:paraId="4DFD5D8B">
            <w:pPr>
              <w:adjustRightInd w:val="0"/>
              <w:snapToGrid w:val="0"/>
              <w:spacing w:line="360" w:lineRule="exact"/>
              <w:ind w:firstLine="420" w:firstLineChars="200"/>
              <w:jc w:val="left"/>
            </w:pPr>
          </w:p>
          <w:p w14:paraId="6F2CC024">
            <w:pPr>
              <w:adjustRightInd w:val="0"/>
              <w:snapToGrid w:val="0"/>
              <w:spacing w:line="360" w:lineRule="exact"/>
              <w:ind w:firstLine="420" w:firstLineChars="200"/>
              <w:jc w:val="left"/>
            </w:pPr>
          </w:p>
          <w:p w14:paraId="4C0B7520">
            <w:pPr>
              <w:adjustRightInd w:val="0"/>
              <w:spacing w:line="360" w:lineRule="exact"/>
              <w:contextualSpacing/>
              <w:jc w:val="left"/>
            </w:pPr>
          </w:p>
          <w:p w14:paraId="2EBF48BB">
            <w:pPr>
              <w:adjustRightInd w:val="0"/>
              <w:spacing w:line="360" w:lineRule="exact"/>
              <w:contextualSpacing/>
              <w:jc w:val="left"/>
            </w:pPr>
          </w:p>
          <w:p w14:paraId="51740386">
            <w:pPr>
              <w:adjustRightInd w:val="0"/>
              <w:spacing w:line="360" w:lineRule="exact"/>
              <w:contextualSpacing/>
              <w:jc w:val="left"/>
            </w:pPr>
          </w:p>
          <w:p w14:paraId="5FC995F4">
            <w:pPr>
              <w:adjustRightInd w:val="0"/>
              <w:spacing w:line="360" w:lineRule="exact"/>
              <w:contextualSpacing/>
              <w:jc w:val="left"/>
            </w:pPr>
          </w:p>
          <w:p w14:paraId="10B6D182">
            <w:pPr>
              <w:adjustRightInd w:val="0"/>
              <w:spacing w:line="360" w:lineRule="exact"/>
              <w:contextualSpacing/>
              <w:jc w:val="left"/>
            </w:pPr>
          </w:p>
          <w:p w14:paraId="69803B11">
            <w:pPr>
              <w:adjustRightInd w:val="0"/>
              <w:spacing w:line="360" w:lineRule="exact"/>
              <w:contextualSpacing/>
              <w:jc w:val="left"/>
            </w:pPr>
          </w:p>
          <w:p w14:paraId="48C896E2">
            <w:pPr>
              <w:adjustRightInd w:val="0"/>
              <w:spacing w:line="360" w:lineRule="exact"/>
              <w:contextualSpacing/>
              <w:jc w:val="left"/>
            </w:pPr>
          </w:p>
          <w:p w14:paraId="5A7F5954">
            <w:pPr>
              <w:adjustRightInd w:val="0"/>
              <w:spacing w:line="360" w:lineRule="exact"/>
              <w:contextualSpacing/>
              <w:jc w:val="left"/>
            </w:pPr>
          </w:p>
          <w:p w14:paraId="7DBDA498">
            <w:pPr>
              <w:adjustRightInd w:val="0"/>
              <w:spacing w:line="360" w:lineRule="exact"/>
              <w:contextualSpacing/>
              <w:jc w:val="left"/>
            </w:pPr>
          </w:p>
          <w:p w14:paraId="25C29DAC">
            <w:pPr>
              <w:adjustRightInd w:val="0"/>
              <w:spacing w:line="360" w:lineRule="exact"/>
              <w:contextualSpacing/>
              <w:jc w:val="left"/>
            </w:pPr>
          </w:p>
          <w:p w14:paraId="2C1021DE">
            <w:pPr>
              <w:adjustRightInd w:val="0"/>
              <w:spacing w:line="360" w:lineRule="exact"/>
              <w:contextualSpacing/>
              <w:jc w:val="left"/>
            </w:pPr>
          </w:p>
          <w:p w14:paraId="0AAA83B0">
            <w:pPr>
              <w:adjustRightInd w:val="0"/>
              <w:spacing w:line="360" w:lineRule="exact"/>
              <w:contextualSpacing/>
              <w:jc w:val="left"/>
            </w:pPr>
          </w:p>
          <w:p w14:paraId="0A6DA46E">
            <w:pPr>
              <w:adjustRightInd w:val="0"/>
              <w:spacing w:line="360" w:lineRule="exact"/>
              <w:contextualSpacing/>
              <w:jc w:val="left"/>
            </w:pPr>
          </w:p>
          <w:p w14:paraId="7613BFED">
            <w:pPr>
              <w:adjustRightInd w:val="0"/>
              <w:spacing w:line="360" w:lineRule="exact"/>
              <w:contextualSpacing/>
              <w:jc w:val="left"/>
            </w:pPr>
          </w:p>
          <w:p w14:paraId="6D1A2DCD">
            <w:pPr>
              <w:adjustRightInd w:val="0"/>
              <w:spacing w:line="360" w:lineRule="exact"/>
              <w:contextualSpacing/>
              <w:jc w:val="left"/>
            </w:pPr>
          </w:p>
          <w:p w14:paraId="2EC097A8">
            <w:pPr>
              <w:adjustRightInd w:val="0"/>
              <w:spacing w:line="360" w:lineRule="exact"/>
              <w:contextualSpacing/>
              <w:jc w:val="left"/>
            </w:pPr>
          </w:p>
          <w:p w14:paraId="4FB77A17">
            <w:pPr>
              <w:adjustRightInd w:val="0"/>
              <w:spacing w:line="360" w:lineRule="exact"/>
              <w:contextualSpacing/>
              <w:jc w:val="left"/>
            </w:pPr>
          </w:p>
          <w:p w14:paraId="7FE05592">
            <w:pPr>
              <w:adjustRightInd w:val="0"/>
              <w:spacing w:line="360" w:lineRule="exact"/>
              <w:contextualSpacing/>
              <w:jc w:val="left"/>
            </w:pPr>
          </w:p>
          <w:p w14:paraId="29EF0A8E">
            <w:pPr>
              <w:adjustRightInd w:val="0"/>
              <w:spacing w:line="360" w:lineRule="exact"/>
              <w:contextualSpacing/>
              <w:jc w:val="left"/>
            </w:pPr>
          </w:p>
          <w:p w14:paraId="1D1073F6">
            <w:pPr>
              <w:adjustRightInd w:val="0"/>
              <w:spacing w:line="360" w:lineRule="exact"/>
              <w:contextualSpacing/>
              <w:jc w:val="left"/>
            </w:pPr>
          </w:p>
          <w:p w14:paraId="0721F038">
            <w:pPr>
              <w:adjustRightInd w:val="0"/>
              <w:spacing w:line="360" w:lineRule="exact"/>
              <w:contextualSpacing/>
              <w:jc w:val="left"/>
            </w:pPr>
          </w:p>
          <w:p w14:paraId="2EBCC792">
            <w:pPr>
              <w:adjustRightInd w:val="0"/>
              <w:spacing w:line="360" w:lineRule="exact"/>
              <w:contextualSpacing/>
              <w:jc w:val="left"/>
            </w:pPr>
          </w:p>
          <w:p w14:paraId="39E4B0DC">
            <w:pPr>
              <w:adjustRightInd w:val="0"/>
              <w:spacing w:line="360" w:lineRule="exact"/>
              <w:contextualSpacing/>
              <w:jc w:val="left"/>
            </w:pPr>
          </w:p>
          <w:p w14:paraId="4E82C8E6">
            <w:pPr>
              <w:adjustRightInd w:val="0"/>
              <w:spacing w:line="360" w:lineRule="exact"/>
              <w:contextualSpacing/>
              <w:jc w:val="left"/>
            </w:pPr>
          </w:p>
        </w:tc>
      </w:tr>
    </w:tbl>
    <w:p w14:paraId="02A41AFD">
      <w:pPr>
        <w:pStyle w:val="21"/>
        <w:spacing w:before="0" w:beforeAutospacing="0" w:after="0" w:afterAutospacing="0" w:line="360" w:lineRule="auto"/>
        <w:jc w:val="center"/>
        <w:outlineLvl w:val="0"/>
        <w:rPr>
          <w:rFonts w:ascii="黑体" w:hAnsi="黑体" w:eastAsia="黑体"/>
          <w:snapToGrid w:val="0"/>
          <w:sz w:val="30"/>
          <w:szCs w:val="30"/>
          <w:highlight w:val="yellow"/>
        </w:rPr>
      </w:pPr>
      <w:r>
        <w:rPr>
          <w:rFonts w:ascii="Times New Roman" w:hAnsi="Times New Roman"/>
          <w:snapToGrid w:val="0"/>
          <w:highlight w:val="yellow"/>
        </w:rPr>
        <w:br w:type="page"/>
      </w:r>
      <w:r>
        <w:rPr>
          <w:rFonts w:ascii="黑体" w:hAnsi="黑体" w:eastAsia="黑体"/>
          <w:snapToGrid w:val="0"/>
          <w:sz w:val="30"/>
          <w:szCs w:val="30"/>
        </w:rPr>
        <w:t>六、结论</w:t>
      </w: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458"/>
      </w:tblGrid>
      <w:tr w14:paraId="045F2D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14:paraId="486854C9">
            <w:pPr>
              <w:spacing w:after="120" w:line="360" w:lineRule="auto"/>
              <w:ind w:firstLine="420"/>
              <w:rPr>
                <w:sz w:val="24"/>
              </w:rPr>
            </w:pPr>
            <w:r>
              <w:rPr>
                <w:rFonts w:hint="eastAsia"/>
                <w:sz w:val="24"/>
              </w:rPr>
              <w:t>山东通达重工机械有限公司</w:t>
            </w:r>
            <w:r>
              <w:rPr>
                <w:sz w:val="24"/>
              </w:rPr>
              <w:t>压力容器及特种设备生产项目位于</w:t>
            </w:r>
            <w:r>
              <w:rPr>
                <w:rFonts w:hint="eastAsia"/>
                <w:sz w:val="24"/>
              </w:rPr>
              <w:t>山东省济宁市梁山经济开发区三利路南、东王村北180m处</w:t>
            </w:r>
            <w:r>
              <w:rPr>
                <w:sz w:val="24"/>
              </w:rPr>
              <w:t>，符合国家产业政策和相关环保政策要求，符合</w:t>
            </w:r>
            <w:r>
              <w:rPr>
                <w:rFonts w:hint="eastAsia"/>
                <w:sz w:val="24"/>
              </w:rPr>
              <w:t>《梁山县国土空间总体规划（2021-2035年》、《梁山经济开发区发展规划》</w:t>
            </w:r>
            <w:r>
              <w:rPr>
                <w:sz w:val="24"/>
              </w:rPr>
              <w:t>（2022-2035年）土地利用规划</w:t>
            </w:r>
            <w:r>
              <w:rPr>
                <w:rFonts w:hint="eastAsia"/>
                <w:sz w:val="24"/>
              </w:rPr>
              <w:t>，符合“三线一单”及分区管控方案要求</w:t>
            </w:r>
            <w:r>
              <w:rPr>
                <w:sz w:val="24"/>
              </w:rPr>
              <w:t>，选址</w:t>
            </w:r>
            <w:r>
              <w:rPr>
                <w:rFonts w:hint="eastAsia"/>
                <w:sz w:val="24"/>
              </w:rPr>
              <w:t>合理</w:t>
            </w:r>
            <w:r>
              <w:rPr>
                <w:sz w:val="24"/>
              </w:rPr>
              <w:t>。项目贯彻了“达标排放”原则，采取的污染物治理技术可行，对环境影响</w:t>
            </w:r>
            <w:r>
              <w:rPr>
                <w:rFonts w:hint="eastAsia"/>
                <w:sz w:val="24"/>
              </w:rPr>
              <w:t>较</w:t>
            </w:r>
            <w:r>
              <w:rPr>
                <w:sz w:val="24"/>
              </w:rPr>
              <w:t>小，基本维持当地环境质量现状级别。</w:t>
            </w:r>
            <w:r>
              <w:rPr>
                <w:rFonts w:hint="eastAsia"/>
                <w:sz w:val="24"/>
              </w:rPr>
              <w:t>在</w:t>
            </w:r>
            <w:r>
              <w:rPr>
                <w:sz w:val="24"/>
              </w:rPr>
              <w:t>落实本报告表提出的各项环保措施的</w:t>
            </w:r>
            <w:r>
              <w:rPr>
                <w:rFonts w:hint="eastAsia"/>
                <w:sz w:val="24"/>
              </w:rPr>
              <w:t>提前下</w:t>
            </w:r>
            <w:r>
              <w:rPr>
                <w:sz w:val="24"/>
              </w:rPr>
              <w:t>，本项目建设从环境保护角度分析是可行的。</w:t>
            </w:r>
          </w:p>
          <w:p w14:paraId="03AB43A0">
            <w:pPr>
              <w:spacing w:after="120" w:line="360" w:lineRule="auto"/>
              <w:ind w:firstLine="420"/>
            </w:pPr>
            <w:r>
              <w:rPr>
                <w:rFonts w:hint="eastAsia"/>
                <w:sz w:val="24"/>
              </w:rPr>
              <w:t xml:space="preserve"> </w:t>
            </w:r>
          </w:p>
        </w:tc>
      </w:tr>
    </w:tbl>
    <w:p w14:paraId="37C3CC49">
      <w:pPr>
        <w:rPr>
          <w:highlight w:val="yellow"/>
        </w:rPr>
        <w:sectPr>
          <w:pgSz w:w="11907" w:h="16840"/>
          <w:pgMar w:top="1701" w:right="1304" w:bottom="1644" w:left="1361" w:header="851" w:footer="851" w:gutter="0"/>
          <w:cols w:space="720" w:num="1"/>
          <w:docGrid w:linePitch="312" w:charSpace="0"/>
        </w:sectPr>
      </w:pPr>
    </w:p>
    <w:p w14:paraId="05E7A3A2">
      <w:pPr>
        <w:pStyle w:val="21"/>
        <w:adjustRightInd w:val="0"/>
        <w:snapToGrid w:val="0"/>
        <w:spacing w:before="0" w:beforeAutospacing="0" w:after="0" w:afterAutospacing="0" w:line="360" w:lineRule="auto"/>
        <w:outlineLvl w:val="0"/>
        <w:rPr>
          <w:rFonts w:ascii="Times New Roman" w:hAnsi="Times New Roman"/>
          <w:snapToGrid w:val="0"/>
          <w:sz w:val="32"/>
          <w:szCs w:val="32"/>
        </w:rPr>
      </w:pPr>
      <w:r>
        <w:rPr>
          <w:rFonts w:ascii="Times New Roman" w:hAnsi="Times New Roman"/>
          <w:snapToGrid w:val="0"/>
          <w:sz w:val="32"/>
          <w:szCs w:val="32"/>
        </w:rPr>
        <w:t>附表</w:t>
      </w:r>
    </w:p>
    <w:p w14:paraId="4D6EA4BB">
      <w:pPr>
        <w:pStyle w:val="21"/>
        <w:adjustRightInd w:val="0"/>
        <w:snapToGrid w:val="0"/>
        <w:spacing w:before="0" w:beforeAutospacing="0" w:after="0" w:afterAutospacing="0" w:line="360" w:lineRule="auto"/>
        <w:jc w:val="center"/>
        <w:outlineLvl w:val="0"/>
        <w:rPr>
          <w:rFonts w:ascii="Times New Roman" w:hAnsi="Times New Roman"/>
          <w:snapToGrid w:val="0"/>
          <w:sz w:val="30"/>
          <w:szCs w:val="30"/>
        </w:rPr>
      </w:pPr>
      <w:r>
        <w:rPr>
          <w:rFonts w:ascii="Times New Roman" w:hAnsi="Times New Roman"/>
          <w:snapToGrid w:val="0"/>
          <w:sz w:val="30"/>
          <w:szCs w:val="30"/>
        </w:rPr>
        <w:t>建设项目污染物排放量汇总表</w:t>
      </w:r>
    </w:p>
    <w:tbl>
      <w:tblPr>
        <w:tblStyle w:val="25"/>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2483"/>
        <w:gridCol w:w="1123"/>
        <w:gridCol w:w="1268"/>
        <w:gridCol w:w="1363"/>
        <w:gridCol w:w="2021"/>
        <w:gridCol w:w="1198"/>
        <w:gridCol w:w="1910"/>
        <w:gridCol w:w="1336"/>
      </w:tblGrid>
      <w:tr w14:paraId="12AADC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tcBorders>
              <w:tl2br w:val="single" w:color="auto" w:sz="4" w:space="0"/>
            </w:tcBorders>
            <w:tcMar>
              <w:left w:w="28" w:type="dxa"/>
              <w:right w:w="28" w:type="dxa"/>
            </w:tcMar>
            <w:vAlign w:val="center"/>
          </w:tcPr>
          <w:p w14:paraId="454A30E8">
            <w:pPr>
              <w:pStyle w:val="56"/>
              <w:spacing w:beforeLines="0" w:afterLines="0" w:line="240" w:lineRule="auto"/>
              <w:jc w:val="right"/>
              <w:rPr>
                <w:rFonts w:ascii="Times New Roman"/>
                <w:snapToGrid w:val="0"/>
                <w:spacing w:val="-6"/>
                <w:kern w:val="21"/>
                <w:szCs w:val="21"/>
              </w:rPr>
            </w:pPr>
            <w:r>
              <w:rPr>
                <w:rFonts w:ascii="Times New Roman"/>
                <w:snapToGrid w:val="0"/>
                <w:spacing w:val="-6"/>
                <w:kern w:val="21"/>
                <w:szCs w:val="21"/>
              </w:rPr>
              <w:t>项目</w:t>
            </w:r>
          </w:p>
          <w:p w14:paraId="1AF99D7B">
            <w:pPr>
              <w:pStyle w:val="56"/>
              <w:spacing w:beforeLines="0" w:afterLines="0" w:line="240" w:lineRule="auto"/>
              <w:jc w:val="left"/>
              <w:rPr>
                <w:rFonts w:ascii="Times New Roman"/>
                <w:snapToGrid w:val="0"/>
                <w:spacing w:val="-6"/>
                <w:kern w:val="21"/>
                <w:szCs w:val="21"/>
              </w:rPr>
            </w:pPr>
            <w:r>
              <w:rPr>
                <w:rFonts w:ascii="Times New Roman"/>
                <w:snapToGrid w:val="0"/>
                <w:spacing w:val="-6"/>
                <w:kern w:val="21"/>
                <w:szCs w:val="21"/>
              </w:rPr>
              <w:t>分类</w:t>
            </w:r>
          </w:p>
        </w:tc>
        <w:tc>
          <w:tcPr>
            <w:tcW w:w="920" w:type="pct"/>
            <w:tcMar>
              <w:left w:w="28" w:type="dxa"/>
              <w:right w:w="28" w:type="dxa"/>
            </w:tcMar>
            <w:vAlign w:val="center"/>
          </w:tcPr>
          <w:p w14:paraId="210D0B4E">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污染物名称</w:t>
            </w:r>
          </w:p>
        </w:tc>
        <w:tc>
          <w:tcPr>
            <w:tcW w:w="416" w:type="pct"/>
            <w:tcMar>
              <w:left w:w="28" w:type="dxa"/>
              <w:right w:w="28" w:type="dxa"/>
            </w:tcMar>
            <w:vAlign w:val="center"/>
          </w:tcPr>
          <w:p w14:paraId="1509D7F8">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14:paraId="410A1C15">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kern w:val="2"/>
                <w:szCs w:val="21"/>
              </w:rPr>
              <w:t>①</w:t>
            </w:r>
            <w:r>
              <w:rPr>
                <w:rFonts w:ascii="Times New Roman"/>
                <w:snapToGrid w:val="0"/>
                <w:spacing w:val="-6"/>
                <w:kern w:val="21"/>
                <w:szCs w:val="21"/>
              </w:rPr>
              <w:fldChar w:fldCharType="end"/>
            </w:r>
          </w:p>
        </w:tc>
        <w:tc>
          <w:tcPr>
            <w:tcW w:w="470" w:type="pct"/>
            <w:tcMar>
              <w:left w:w="28" w:type="dxa"/>
              <w:right w:w="28" w:type="dxa"/>
            </w:tcMar>
            <w:vAlign w:val="center"/>
          </w:tcPr>
          <w:p w14:paraId="45932651">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14:paraId="056431E5">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许可排放量</w:t>
            </w:r>
          </w:p>
          <w:p w14:paraId="67CB7D47">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2 \* GB3 \* MERGEFORMAT </w:instrText>
            </w:r>
            <w:r>
              <w:rPr>
                <w:rFonts w:ascii="Times New Roman"/>
                <w:snapToGrid w:val="0"/>
                <w:spacing w:val="-6"/>
                <w:kern w:val="21"/>
                <w:szCs w:val="21"/>
              </w:rPr>
              <w:fldChar w:fldCharType="separate"/>
            </w:r>
            <w:r>
              <w:rPr>
                <w:rFonts w:hint="eastAsia" w:hAnsi="宋体" w:cs="宋体"/>
                <w:snapToGrid w:val="0"/>
                <w:spacing w:val="-6"/>
                <w:kern w:val="21"/>
                <w:szCs w:val="21"/>
              </w:rPr>
              <w:t>②</w:t>
            </w:r>
            <w:r>
              <w:rPr>
                <w:rFonts w:ascii="Times New Roman"/>
                <w:snapToGrid w:val="0"/>
                <w:spacing w:val="-6"/>
                <w:kern w:val="21"/>
                <w:szCs w:val="21"/>
              </w:rPr>
              <w:fldChar w:fldCharType="end"/>
            </w:r>
          </w:p>
        </w:tc>
        <w:tc>
          <w:tcPr>
            <w:tcW w:w="505" w:type="pct"/>
            <w:tcMar>
              <w:left w:w="28" w:type="dxa"/>
              <w:right w:w="28" w:type="dxa"/>
            </w:tcMar>
            <w:vAlign w:val="center"/>
          </w:tcPr>
          <w:p w14:paraId="3B5AEA74">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在建工程</w:t>
            </w:r>
          </w:p>
          <w:p w14:paraId="624A0632">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kern w:val="2"/>
                <w:szCs w:val="21"/>
              </w:rPr>
              <w:t>③</w:t>
            </w:r>
            <w:r>
              <w:rPr>
                <w:rFonts w:ascii="Times New Roman"/>
                <w:snapToGrid w:val="0"/>
                <w:spacing w:val="-6"/>
                <w:kern w:val="21"/>
                <w:szCs w:val="21"/>
              </w:rPr>
              <w:fldChar w:fldCharType="end"/>
            </w:r>
          </w:p>
        </w:tc>
        <w:tc>
          <w:tcPr>
            <w:tcW w:w="749" w:type="pct"/>
            <w:tcMar>
              <w:left w:w="28" w:type="dxa"/>
              <w:right w:w="28" w:type="dxa"/>
            </w:tcMar>
            <w:vAlign w:val="center"/>
          </w:tcPr>
          <w:p w14:paraId="4AE65307">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本项目</w:t>
            </w:r>
          </w:p>
          <w:p w14:paraId="5012DAA3">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kern w:val="2"/>
                <w:szCs w:val="21"/>
              </w:rPr>
              <w:t>④</w:t>
            </w:r>
            <w:r>
              <w:rPr>
                <w:rFonts w:ascii="Times New Roman"/>
                <w:snapToGrid w:val="0"/>
                <w:spacing w:val="-6"/>
                <w:kern w:val="21"/>
                <w:szCs w:val="21"/>
              </w:rPr>
              <w:fldChar w:fldCharType="end"/>
            </w:r>
          </w:p>
        </w:tc>
        <w:tc>
          <w:tcPr>
            <w:tcW w:w="444" w:type="pct"/>
            <w:tcMar>
              <w:left w:w="28" w:type="dxa"/>
              <w:right w:w="28" w:type="dxa"/>
            </w:tcMar>
            <w:vAlign w:val="center"/>
          </w:tcPr>
          <w:p w14:paraId="27E96525">
            <w:pPr>
              <w:pStyle w:val="56"/>
              <w:spacing w:beforeLines="0" w:afterLines="0" w:line="240" w:lineRule="auto"/>
              <w:rPr>
                <w:rFonts w:ascii="Times New Roman"/>
                <w:snapToGrid w:val="0"/>
                <w:spacing w:val="-16"/>
                <w:kern w:val="21"/>
                <w:szCs w:val="21"/>
              </w:rPr>
            </w:pPr>
            <w:r>
              <w:rPr>
                <w:rFonts w:ascii="Times New Roman"/>
                <w:snapToGrid w:val="0"/>
                <w:spacing w:val="-16"/>
                <w:kern w:val="21"/>
                <w:szCs w:val="21"/>
              </w:rPr>
              <w:t>以新带老削减量</w:t>
            </w:r>
          </w:p>
          <w:p w14:paraId="2E46E1C3">
            <w:pPr>
              <w:pStyle w:val="56"/>
              <w:spacing w:beforeLines="0" w:afterLines="0" w:line="240" w:lineRule="auto"/>
              <w:rPr>
                <w:rFonts w:ascii="Times New Roman"/>
                <w:snapToGrid w:val="0"/>
                <w:spacing w:val="-16"/>
                <w:kern w:val="21"/>
                <w:szCs w:val="21"/>
              </w:rPr>
            </w:pPr>
            <w:r>
              <w:rPr>
                <w:rFonts w:ascii="Times New Roman"/>
                <w:snapToGrid w:val="0"/>
                <w:spacing w:val="-16"/>
                <w:kern w:val="21"/>
                <w:szCs w:val="21"/>
              </w:rPr>
              <w:t>（新建项目不填）</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kern w:val="2"/>
                <w:szCs w:val="21"/>
              </w:rPr>
              <w:t>⑤</w:t>
            </w:r>
            <w:r>
              <w:rPr>
                <w:rFonts w:ascii="Times New Roman"/>
                <w:snapToGrid w:val="0"/>
                <w:spacing w:val="-16"/>
                <w:kern w:val="21"/>
                <w:szCs w:val="21"/>
              </w:rPr>
              <w:fldChar w:fldCharType="end"/>
            </w:r>
          </w:p>
        </w:tc>
        <w:tc>
          <w:tcPr>
            <w:tcW w:w="708" w:type="pct"/>
            <w:tcMar>
              <w:left w:w="28" w:type="dxa"/>
              <w:right w:w="28" w:type="dxa"/>
            </w:tcMar>
            <w:vAlign w:val="center"/>
          </w:tcPr>
          <w:p w14:paraId="085784FD">
            <w:pPr>
              <w:pStyle w:val="56"/>
              <w:spacing w:beforeLines="0" w:afterLines="0" w:line="240" w:lineRule="auto"/>
              <w:rPr>
                <w:rFonts w:ascii="Times New Roman"/>
                <w:snapToGrid w:val="0"/>
                <w:spacing w:val="-16"/>
                <w:kern w:val="21"/>
                <w:szCs w:val="21"/>
              </w:rPr>
            </w:pPr>
            <w:r>
              <w:rPr>
                <w:rFonts w:ascii="Times New Roman"/>
                <w:snapToGrid w:val="0"/>
                <w:spacing w:val="-16"/>
                <w:kern w:val="21"/>
                <w:szCs w:val="21"/>
              </w:rPr>
              <w:t>本项目建成后</w:t>
            </w:r>
          </w:p>
          <w:p w14:paraId="22B24086">
            <w:pPr>
              <w:pStyle w:val="56"/>
              <w:spacing w:beforeLines="0" w:afterLines="0" w:line="240" w:lineRule="auto"/>
              <w:rPr>
                <w:rFonts w:ascii="Times New Roman"/>
                <w:snapToGrid w:val="0"/>
                <w:spacing w:val="-16"/>
                <w:kern w:val="21"/>
                <w:szCs w:val="21"/>
              </w:rPr>
            </w:pPr>
            <w:r>
              <w:rPr>
                <w:rFonts w:ascii="Times New Roman"/>
                <w:snapToGrid w:val="0"/>
                <w:spacing w:val="-16"/>
                <w:kern w:val="21"/>
                <w:szCs w:val="21"/>
              </w:rPr>
              <w:t>全厂排放量（固体废物产生量）</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kern w:val="2"/>
                <w:szCs w:val="21"/>
              </w:rPr>
              <w:t>⑥</w:t>
            </w:r>
            <w:r>
              <w:rPr>
                <w:rFonts w:ascii="Times New Roman"/>
                <w:snapToGrid w:val="0"/>
                <w:spacing w:val="-16"/>
                <w:kern w:val="21"/>
                <w:szCs w:val="21"/>
              </w:rPr>
              <w:fldChar w:fldCharType="end"/>
            </w:r>
          </w:p>
        </w:tc>
        <w:tc>
          <w:tcPr>
            <w:tcW w:w="496" w:type="pct"/>
            <w:tcMar>
              <w:left w:w="28" w:type="dxa"/>
              <w:right w:w="28" w:type="dxa"/>
            </w:tcMar>
            <w:vAlign w:val="center"/>
          </w:tcPr>
          <w:p w14:paraId="580B7495">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t>变化量</w:t>
            </w:r>
          </w:p>
          <w:p w14:paraId="7EB0C5CD">
            <w:pPr>
              <w:pStyle w:val="56"/>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kern w:val="2"/>
                <w:szCs w:val="21"/>
              </w:rPr>
              <w:t>⑦</w:t>
            </w:r>
            <w:r>
              <w:rPr>
                <w:rFonts w:ascii="Times New Roman"/>
                <w:snapToGrid w:val="0"/>
                <w:spacing w:val="-6"/>
                <w:kern w:val="21"/>
                <w:szCs w:val="21"/>
              </w:rPr>
              <w:fldChar w:fldCharType="end"/>
            </w:r>
          </w:p>
        </w:tc>
      </w:tr>
      <w:tr w14:paraId="5DEF5B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restart"/>
            <w:vAlign w:val="center"/>
          </w:tcPr>
          <w:p w14:paraId="29B42C94">
            <w:pPr>
              <w:pStyle w:val="56"/>
              <w:spacing w:before="24" w:after="24" w:line="240" w:lineRule="auto"/>
              <w:rPr>
                <w:rFonts w:ascii="Times New Roman"/>
                <w:snapToGrid w:val="0"/>
                <w:kern w:val="21"/>
                <w:szCs w:val="21"/>
              </w:rPr>
            </w:pPr>
            <w:r>
              <w:rPr>
                <w:rFonts w:ascii="Times New Roman"/>
                <w:snapToGrid w:val="0"/>
                <w:kern w:val="21"/>
                <w:szCs w:val="21"/>
              </w:rPr>
              <w:t>废气</w:t>
            </w:r>
          </w:p>
        </w:tc>
        <w:tc>
          <w:tcPr>
            <w:tcW w:w="919" w:type="pct"/>
            <w:vAlign w:val="center"/>
          </w:tcPr>
          <w:p w14:paraId="75EB1452">
            <w:pPr>
              <w:pStyle w:val="56"/>
              <w:spacing w:beforeLines="0" w:afterLines="0" w:line="240" w:lineRule="auto"/>
              <w:rPr>
                <w:rFonts w:ascii="Times New Roman"/>
                <w:snapToGrid w:val="0"/>
                <w:kern w:val="21"/>
                <w:szCs w:val="21"/>
              </w:rPr>
            </w:pPr>
            <w:r>
              <w:rPr>
                <w:rFonts w:ascii="Times New Roman"/>
                <w:snapToGrid w:val="0"/>
                <w:kern w:val="21"/>
                <w:szCs w:val="21"/>
              </w:rPr>
              <w:t>颗粒物</w:t>
            </w:r>
          </w:p>
        </w:tc>
        <w:tc>
          <w:tcPr>
            <w:tcW w:w="416" w:type="pct"/>
            <w:vAlign w:val="center"/>
          </w:tcPr>
          <w:p w14:paraId="448022D3">
            <w:pPr>
              <w:pStyle w:val="56"/>
              <w:spacing w:beforeLines="0" w:afterLines="0" w:line="240" w:lineRule="auto"/>
              <w:rPr>
                <w:rFonts w:ascii="Times New Roman"/>
                <w:snapToGrid w:val="0"/>
                <w:kern w:val="21"/>
                <w:szCs w:val="21"/>
              </w:rPr>
            </w:pPr>
          </w:p>
        </w:tc>
        <w:tc>
          <w:tcPr>
            <w:tcW w:w="469" w:type="pct"/>
            <w:vAlign w:val="center"/>
          </w:tcPr>
          <w:p w14:paraId="2E1CEAEE">
            <w:pPr>
              <w:pStyle w:val="56"/>
              <w:spacing w:beforeLines="0" w:afterLines="0" w:line="240" w:lineRule="auto"/>
              <w:rPr>
                <w:rFonts w:ascii="Times New Roman"/>
                <w:snapToGrid w:val="0"/>
                <w:kern w:val="21"/>
                <w:szCs w:val="21"/>
              </w:rPr>
            </w:pPr>
          </w:p>
        </w:tc>
        <w:tc>
          <w:tcPr>
            <w:tcW w:w="504" w:type="pct"/>
            <w:vAlign w:val="center"/>
          </w:tcPr>
          <w:p w14:paraId="5E726448">
            <w:pPr>
              <w:pStyle w:val="56"/>
              <w:spacing w:beforeLines="0" w:afterLines="0" w:line="240" w:lineRule="auto"/>
              <w:rPr>
                <w:rFonts w:ascii="Times New Roman"/>
                <w:snapToGrid w:val="0"/>
                <w:kern w:val="21"/>
                <w:szCs w:val="21"/>
              </w:rPr>
            </w:pPr>
          </w:p>
        </w:tc>
        <w:tc>
          <w:tcPr>
            <w:tcW w:w="748" w:type="pct"/>
            <w:vAlign w:val="center"/>
          </w:tcPr>
          <w:p w14:paraId="72B4D46A">
            <w:pPr>
              <w:widowControl/>
              <w:jc w:val="center"/>
              <w:rPr>
                <w:szCs w:val="21"/>
              </w:rPr>
            </w:pPr>
            <w:r>
              <w:rPr>
                <w:szCs w:val="21"/>
              </w:rPr>
              <w:t>1.186t/a</w:t>
            </w:r>
          </w:p>
        </w:tc>
        <w:tc>
          <w:tcPr>
            <w:tcW w:w="443" w:type="pct"/>
            <w:vAlign w:val="center"/>
          </w:tcPr>
          <w:p w14:paraId="5A8D09CB">
            <w:pPr>
              <w:pStyle w:val="56"/>
              <w:spacing w:beforeLines="0" w:afterLines="0" w:line="240" w:lineRule="auto"/>
              <w:rPr>
                <w:rFonts w:ascii="Times New Roman"/>
                <w:snapToGrid w:val="0"/>
                <w:kern w:val="21"/>
                <w:szCs w:val="21"/>
              </w:rPr>
            </w:pPr>
          </w:p>
        </w:tc>
        <w:tc>
          <w:tcPr>
            <w:tcW w:w="707" w:type="pct"/>
            <w:vAlign w:val="center"/>
          </w:tcPr>
          <w:p w14:paraId="55EB6958">
            <w:pPr>
              <w:widowControl/>
              <w:jc w:val="center"/>
              <w:rPr>
                <w:szCs w:val="21"/>
              </w:rPr>
            </w:pPr>
            <w:r>
              <w:rPr>
                <w:szCs w:val="21"/>
              </w:rPr>
              <w:t>1.186</w:t>
            </w:r>
            <w:r>
              <w:rPr>
                <w:rFonts w:hint="eastAsia"/>
                <w:szCs w:val="21"/>
              </w:rPr>
              <w:t>t/a</w:t>
            </w:r>
          </w:p>
        </w:tc>
        <w:tc>
          <w:tcPr>
            <w:tcW w:w="495" w:type="pct"/>
            <w:vAlign w:val="center"/>
          </w:tcPr>
          <w:p w14:paraId="27C0029B">
            <w:pPr>
              <w:widowControl/>
              <w:jc w:val="center"/>
              <w:rPr>
                <w:szCs w:val="21"/>
              </w:rPr>
            </w:pPr>
            <w:r>
              <w:rPr>
                <w:szCs w:val="21"/>
              </w:rPr>
              <w:t>+1.186</w:t>
            </w:r>
            <w:r>
              <w:rPr>
                <w:rFonts w:hint="eastAsia"/>
                <w:szCs w:val="21"/>
              </w:rPr>
              <w:t>t/a</w:t>
            </w:r>
          </w:p>
        </w:tc>
      </w:tr>
      <w:tr w14:paraId="3D9801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0837A900">
            <w:pPr>
              <w:pStyle w:val="56"/>
              <w:spacing w:before="24" w:after="24" w:line="240" w:lineRule="auto"/>
              <w:rPr>
                <w:rFonts w:ascii="Times New Roman"/>
                <w:snapToGrid w:val="0"/>
                <w:kern w:val="21"/>
                <w:szCs w:val="21"/>
              </w:rPr>
            </w:pPr>
          </w:p>
        </w:tc>
        <w:tc>
          <w:tcPr>
            <w:tcW w:w="919" w:type="pct"/>
            <w:vAlign w:val="center"/>
          </w:tcPr>
          <w:p w14:paraId="3D381AE4">
            <w:pPr>
              <w:pStyle w:val="56"/>
              <w:spacing w:beforeLines="0" w:afterLines="0" w:line="240" w:lineRule="auto"/>
              <w:rPr>
                <w:rFonts w:ascii="Times New Roman"/>
                <w:snapToGrid w:val="0"/>
                <w:kern w:val="21"/>
                <w:szCs w:val="21"/>
              </w:rPr>
            </w:pPr>
            <w:r>
              <w:rPr>
                <w:rFonts w:hint="eastAsia" w:ascii="Times New Roman"/>
                <w:snapToGrid w:val="0"/>
                <w:kern w:val="21"/>
                <w:szCs w:val="21"/>
              </w:rPr>
              <w:t>V</w:t>
            </w:r>
            <w:r>
              <w:rPr>
                <w:rFonts w:ascii="Times New Roman"/>
                <w:snapToGrid w:val="0"/>
                <w:kern w:val="21"/>
                <w:szCs w:val="21"/>
              </w:rPr>
              <w:t>OCs</w:t>
            </w:r>
          </w:p>
        </w:tc>
        <w:tc>
          <w:tcPr>
            <w:tcW w:w="416" w:type="pct"/>
            <w:vAlign w:val="center"/>
          </w:tcPr>
          <w:p w14:paraId="7C647DED">
            <w:pPr>
              <w:pStyle w:val="56"/>
              <w:spacing w:beforeLines="0" w:afterLines="0" w:line="240" w:lineRule="auto"/>
              <w:rPr>
                <w:rFonts w:ascii="Times New Roman"/>
                <w:snapToGrid w:val="0"/>
                <w:kern w:val="21"/>
                <w:szCs w:val="21"/>
              </w:rPr>
            </w:pPr>
          </w:p>
        </w:tc>
        <w:tc>
          <w:tcPr>
            <w:tcW w:w="469" w:type="pct"/>
            <w:vAlign w:val="center"/>
          </w:tcPr>
          <w:p w14:paraId="0605D18E">
            <w:pPr>
              <w:pStyle w:val="56"/>
              <w:spacing w:beforeLines="0" w:afterLines="0" w:line="240" w:lineRule="auto"/>
              <w:rPr>
                <w:rFonts w:ascii="Times New Roman"/>
                <w:snapToGrid w:val="0"/>
                <w:kern w:val="21"/>
                <w:szCs w:val="21"/>
              </w:rPr>
            </w:pPr>
          </w:p>
        </w:tc>
        <w:tc>
          <w:tcPr>
            <w:tcW w:w="504" w:type="pct"/>
            <w:vAlign w:val="center"/>
          </w:tcPr>
          <w:p w14:paraId="654E2C06">
            <w:pPr>
              <w:pStyle w:val="56"/>
              <w:spacing w:beforeLines="0" w:afterLines="0" w:line="240" w:lineRule="auto"/>
              <w:rPr>
                <w:rFonts w:ascii="Times New Roman"/>
                <w:snapToGrid w:val="0"/>
                <w:kern w:val="21"/>
                <w:szCs w:val="21"/>
              </w:rPr>
            </w:pPr>
          </w:p>
        </w:tc>
        <w:tc>
          <w:tcPr>
            <w:tcW w:w="748" w:type="pct"/>
            <w:vAlign w:val="center"/>
          </w:tcPr>
          <w:p w14:paraId="7D565B97">
            <w:pPr>
              <w:widowControl/>
              <w:jc w:val="center"/>
              <w:rPr>
                <w:szCs w:val="21"/>
              </w:rPr>
            </w:pPr>
            <w:r>
              <w:rPr>
                <w:szCs w:val="21"/>
              </w:rPr>
              <w:t>0.011t/a</w:t>
            </w:r>
          </w:p>
        </w:tc>
        <w:tc>
          <w:tcPr>
            <w:tcW w:w="443" w:type="pct"/>
            <w:vAlign w:val="center"/>
          </w:tcPr>
          <w:p w14:paraId="2192B804">
            <w:pPr>
              <w:pStyle w:val="56"/>
              <w:spacing w:beforeLines="0" w:afterLines="0" w:line="240" w:lineRule="auto"/>
              <w:rPr>
                <w:rFonts w:ascii="Times New Roman"/>
                <w:snapToGrid w:val="0"/>
                <w:kern w:val="21"/>
                <w:szCs w:val="21"/>
              </w:rPr>
            </w:pPr>
          </w:p>
        </w:tc>
        <w:tc>
          <w:tcPr>
            <w:tcW w:w="707" w:type="pct"/>
            <w:vAlign w:val="center"/>
          </w:tcPr>
          <w:p w14:paraId="56B48E36">
            <w:pPr>
              <w:widowControl/>
              <w:jc w:val="center"/>
              <w:rPr>
                <w:szCs w:val="21"/>
              </w:rPr>
            </w:pPr>
            <w:r>
              <w:rPr>
                <w:szCs w:val="21"/>
              </w:rPr>
              <w:t>0.011t/a</w:t>
            </w:r>
          </w:p>
        </w:tc>
        <w:tc>
          <w:tcPr>
            <w:tcW w:w="495" w:type="pct"/>
            <w:vAlign w:val="center"/>
          </w:tcPr>
          <w:p w14:paraId="4C2083BC">
            <w:pPr>
              <w:widowControl/>
              <w:jc w:val="center"/>
              <w:rPr>
                <w:szCs w:val="21"/>
              </w:rPr>
            </w:pPr>
            <w:r>
              <w:rPr>
                <w:szCs w:val="21"/>
              </w:rPr>
              <w:t>+0.011t/a</w:t>
            </w:r>
          </w:p>
        </w:tc>
      </w:tr>
      <w:tr w14:paraId="32F7A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restart"/>
            <w:vAlign w:val="center"/>
          </w:tcPr>
          <w:p w14:paraId="58906CC5">
            <w:pPr>
              <w:pStyle w:val="56"/>
              <w:spacing w:beforeLines="0" w:afterLines="0" w:line="240" w:lineRule="auto"/>
              <w:rPr>
                <w:rFonts w:ascii="Times New Roman"/>
                <w:snapToGrid w:val="0"/>
                <w:kern w:val="21"/>
                <w:szCs w:val="21"/>
              </w:rPr>
            </w:pPr>
            <w:r>
              <w:rPr>
                <w:rFonts w:ascii="Times New Roman"/>
                <w:snapToGrid w:val="0"/>
                <w:kern w:val="21"/>
                <w:szCs w:val="21"/>
              </w:rPr>
              <w:t>废水</w:t>
            </w:r>
          </w:p>
        </w:tc>
        <w:tc>
          <w:tcPr>
            <w:tcW w:w="919" w:type="pct"/>
            <w:vAlign w:val="center"/>
          </w:tcPr>
          <w:p w14:paraId="267868AD">
            <w:pPr>
              <w:pStyle w:val="56"/>
              <w:spacing w:beforeLines="0" w:afterLines="0" w:line="240" w:lineRule="auto"/>
              <w:rPr>
                <w:rFonts w:ascii="Times New Roman"/>
                <w:snapToGrid w:val="0"/>
                <w:kern w:val="21"/>
                <w:szCs w:val="21"/>
              </w:rPr>
            </w:pPr>
            <w:r>
              <w:rPr>
                <w:rFonts w:ascii="Times New Roman"/>
                <w:snapToGrid w:val="0"/>
                <w:kern w:val="21"/>
                <w:szCs w:val="21"/>
              </w:rPr>
              <w:t>COD</w:t>
            </w:r>
          </w:p>
        </w:tc>
        <w:tc>
          <w:tcPr>
            <w:tcW w:w="416" w:type="pct"/>
            <w:vAlign w:val="center"/>
          </w:tcPr>
          <w:p w14:paraId="63DFB8E0">
            <w:pPr>
              <w:pStyle w:val="56"/>
              <w:spacing w:beforeLines="0" w:afterLines="0" w:line="240" w:lineRule="auto"/>
              <w:rPr>
                <w:rFonts w:ascii="Times New Roman"/>
                <w:snapToGrid w:val="0"/>
                <w:kern w:val="21"/>
                <w:szCs w:val="21"/>
              </w:rPr>
            </w:pPr>
          </w:p>
        </w:tc>
        <w:tc>
          <w:tcPr>
            <w:tcW w:w="469" w:type="pct"/>
            <w:vAlign w:val="center"/>
          </w:tcPr>
          <w:p w14:paraId="76D5AD57">
            <w:pPr>
              <w:pStyle w:val="56"/>
              <w:spacing w:beforeLines="0" w:afterLines="0" w:line="240" w:lineRule="auto"/>
              <w:rPr>
                <w:rFonts w:ascii="Times New Roman"/>
                <w:snapToGrid w:val="0"/>
                <w:kern w:val="21"/>
                <w:szCs w:val="21"/>
              </w:rPr>
            </w:pPr>
          </w:p>
        </w:tc>
        <w:tc>
          <w:tcPr>
            <w:tcW w:w="504" w:type="pct"/>
            <w:vAlign w:val="center"/>
          </w:tcPr>
          <w:p w14:paraId="2584F03D">
            <w:pPr>
              <w:pStyle w:val="56"/>
              <w:spacing w:beforeLines="0" w:afterLines="0" w:line="240" w:lineRule="auto"/>
              <w:rPr>
                <w:rFonts w:ascii="Times New Roman"/>
                <w:snapToGrid w:val="0"/>
                <w:kern w:val="21"/>
                <w:szCs w:val="21"/>
              </w:rPr>
            </w:pPr>
          </w:p>
        </w:tc>
        <w:tc>
          <w:tcPr>
            <w:tcW w:w="748" w:type="pct"/>
            <w:vAlign w:val="center"/>
          </w:tcPr>
          <w:p w14:paraId="1BDA9D73">
            <w:pPr>
              <w:pStyle w:val="56"/>
              <w:spacing w:beforeLines="0" w:afterLines="0" w:line="240" w:lineRule="auto"/>
              <w:rPr>
                <w:rFonts w:ascii="Times New Roman"/>
                <w:snapToGrid w:val="0"/>
                <w:kern w:val="21"/>
                <w:szCs w:val="21"/>
              </w:rPr>
            </w:pPr>
            <w:r>
              <w:rPr>
                <w:rFonts w:ascii="Times New Roman"/>
                <w:snapToGrid w:val="0"/>
                <w:kern w:val="21"/>
                <w:szCs w:val="21"/>
              </w:rPr>
              <w:t>0</w:t>
            </w:r>
          </w:p>
        </w:tc>
        <w:tc>
          <w:tcPr>
            <w:tcW w:w="443" w:type="pct"/>
            <w:vAlign w:val="center"/>
          </w:tcPr>
          <w:p w14:paraId="0AAC6D86">
            <w:pPr>
              <w:pStyle w:val="56"/>
              <w:spacing w:beforeLines="0" w:afterLines="0" w:line="240" w:lineRule="auto"/>
              <w:rPr>
                <w:rFonts w:ascii="Times New Roman"/>
                <w:snapToGrid w:val="0"/>
                <w:kern w:val="21"/>
                <w:szCs w:val="21"/>
              </w:rPr>
            </w:pPr>
          </w:p>
        </w:tc>
        <w:tc>
          <w:tcPr>
            <w:tcW w:w="707" w:type="pct"/>
            <w:vAlign w:val="center"/>
          </w:tcPr>
          <w:p w14:paraId="68053B10">
            <w:pPr>
              <w:pStyle w:val="56"/>
              <w:spacing w:beforeLines="0" w:afterLines="0" w:line="240" w:lineRule="auto"/>
              <w:rPr>
                <w:rFonts w:ascii="Times New Roman"/>
                <w:snapToGrid w:val="0"/>
                <w:kern w:val="21"/>
                <w:szCs w:val="21"/>
              </w:rPr>
            </w:pPr>
            <w:r>
              <w:rPr>
                <w:rFonts w:ascii="Times New Roman"/>
                <w:snapToGrid w:val="0"/>
                <w:kern w:val="21"/>
                <w:szCs w:val="21"/>
              </w:rPr>
              <w:t>0</w:t>
            </w:r>
          </w:p>
        </w:tc>
        <w:tc>
          <w:tcPr>
            <w:tcW w:w="495" w:type="pct"/>
            <w:vAlign w:val="center"/>
          </w:tcPr>
          <w:p w14:paraId="1F52F754">
            <w:pPr>
              <w:pStyle w:val="56"/>
              <w:spacing w:beforeLines="0" w:afterLines="0" w:line="240" w:lineRule="auto"/>
              <w:rPr>
                <w:rFonts w:ascii="Times New Roman"/>
                <w:snapToGrid w:val="0"/>
                <w:kern w:val="21"/>
                <w:szCs w:val="21"/>
              </w:rPr>
            </w:pPr>
            <w:r>
              <w:rPr>
                <w:rFonts w:ascii="Times New Roman"/>
                <w:snapToGrid w:val="0"/>
                <w:kern w:val="21"/>
                <w:szCs w:val="21"/>
              </w:rPr>
              <w:t>0</w:t>
            </w:r>
          </w:p>
        </w:tc>
      </w:tr>
      <w:tr w14:paraId="52AE7E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51C33DD3">
            <w:pPr>
              <w:pStyle w:val="56"/>
              <w:spacing w:beforeLines="0" w:afterLines="0" w:line="240" w:lineRule="auto"/>
              <w:rPr>
                <w:rFonts w:ascii="Times New Roman"/>
                <w:snapToGrid w:val="0"/>
                <w:kern w:val="21"/>
                <w:szCs w:val="21"/>
              </w:rPr>
            </w:pPr>
          </w:p>
        </w:tc>
        <w:tc>
          <w:tcPr>
            <w:tcW w:w="919" w:type="pct"/>
            <w:vAlign w:val="center"/>
          </w:tcPr>
          <w:p w14:paraId="58B595F0">
            <w:pPr>
              <w:pStyle w:val="56"/>
              <w:spacing w:beforeLines="0" w:afterLines="0" w:line="240" w:lineRule="auto"/>
              <w:rPr>
                <w:rFonts w:ascii="Times New Roman"/>
                <w:snapToGrid w:val="0"/>
                <w:kern w:val="21"/>
                <w:szCs w:val="21"/>
              </w:rPr>
            </w:pPr>
            <w:r>
              <w:rPr>
                <w:rFonts w:ascii="Times New Roman"/>
                <w:snapToGrid w:val="0"/>
                <w:kern w:val="21"/>
                <w:szCs w:val="21"/>
              </w:rPr>
              <w:t>氨氮</w:t>
            </w:r>
          </w:p>
        </w:tc>
        <w:tc>
          <w:tcPr>
            <w:tcW w:w="416" w:type="pct"/>
            <w:vAlign w:val="center"/>
          </w:tcPr>
          <w:p w14:paraId="1251BEE5">
            <w:pPr>
              <w:pStyle w:val="56"/>
              <w:spacing w:beforeLines="0" w:afterLines="0" w:line="240" w:lineRule="auto"/>
              <w:rPr>
                <w:rFonts w:ascii="Times New Roman"/>
                <w:snapToGrid w:val="0"/>
                <w:kern w:val="21"/>
                <w:szCs w:val="21"/>
              </w:rPr>
            </w:pPr>
          </w:p>
        </w:tc>
        <w:tc>
          <w:tcPr>
            <w:tcW w:w="469" w:type="pct"/>
            <w:vAlign w:val="center"/>
          </w:tcPr>
          <w:p w14:paraId="48AE67FD">
            <w:pPr>
              <w:pStyle w:val="56"/>
              <w:spacing w:beforeLines="0" w:afterLines="0" w:line="240" w:lineRule="auto"/>
              <w:rPr>
                <w:rFonts w:ascii="Times New Roman"/>
                <w:snapToGrid w:val="0"/>
                <w:kern w:val="21"/>
                <w:szCs w:val="21"/>
              </w:rPr>
            </w:pPr>
          </w:p>
        </w:tc>
        <w:tc>
          <w:tcPr>
            <w:tcW w:w="504" w:type="pct"/>
            <w:vAlign w:val="center"/>
          </w:tcPr>
          <w:p w14:paraId="7D0E85ED">
            <w:pPr>
              <w:pStyle w:val="56"/>
              <w:spacing w:beforeLines="0" w:afterLines="0" w:line="240" w:lineRule="auto"/>
              <w:rPr>
                <w:rFonts w:ascii="Times New Roman"/>
                <w:snapToGrid w:val="0"/>
                <w:kern w:val="21"/>
                <w:szCs w:val="21"/>
              </w:rPr>
            </w:pPr>
          </w:p>
        </w:tc>
        <w:tc>
          <w:tcPr>
            <w:tcW w:w="748" w:type="pct"/>
            <w:vAlign w:val="center"/>
          </w:tcPr>
          <w:p w14:paraId="602A27EC">
            <w:pPr>
              <w:pStyle w:val="56"/>
              <w:spacing w:beforeLines="0" w:afterLines="0" w:line="240" w:lineRule="auto"/>
              <w:rPr>
                <w:rFonts w:ascii="Times New Roman"/>
                <w:snapToGrid w:val="0"/>
                <w:kern w:val="21"/>
                <w:szCs w:val="21"/>
              </w:rPr>
            </w:pPr>
            <w:r>
              <w:rPr>
                <w:rFonts w:ascii="Times New Roman"/>
                <w:snapToGrid w:val="0"/>
                <w:kern w:val="21"/>
                <w:szCs w:val="21"/>
              </w:rPr>
              <w:t>0</w:t>
            </w:r>
          </w:p>
        </w:tc>
        <w:tc>
          <w:tcPr>
            <w:tcW w:w="443" w:type="pct"/>
            <w:vAlign w:val="center"/>
          </w:tcPr>
          <w:p w14:paraId="3B1C7410">
            <w:pPr>
              <w:pStyle w:val="56"/>
              <w:spacing w:beforeLines="0" w:afterLines="0" w:line="240" w:lineRule="auto"/>
              <w:rPr>
                <w:rFonts w:ascii="Times New Roman"/>
                <w:snapToGrid w:val="0"/>
                <w:kern w:val="21"/>
                <w:szCs w:val="21"/>
              </w:rPr>
            </w:pPr>
          </w:p>
        </w:tc>
        <w:tc>
          <w:tcPr>
            <w:tcW w:w="707" w:type="pct"/>
            <w:vAlign w:val="center"/>
          </w:tcPr>
          <w:p w14:paraId="501E69BD">
            <w:pPr>
              <w:pStyle w:val="56"/>
              <w:spacing w:beforeLines="0" w:afterLines="0" w:line="240" w:lineRule="auto"/>
              <w:rPr>
                <w:rFonts w:ascii="Times New Roman"/>
                <w:snapToGrid w:val="0"/>
                <w:kern w:val="21"/>
                <w:szCs w:val="21"/>
              </w:rPr>
            </w:pPr>
            <w:r>
              <w:rPr>
                <w:rFonts w:ascii="Times New Roman"/>
                <w:snapToGrid w:val="0"/>
                <w:kern w:val="21"/>
                <w:szCs w:val="21"/>
              </w:rPr>
              <w:t>0</w:t>
            </w:r>
          </w:p>
        </w:tc>
        <w:tc>
          <w:tcPr>
            <w:tcW w:w="495" w:type="pct"/>
            <w:vAlign w:val="center"/>
          </w:tcPr>
          <w:p w14:paraId="190B4B8B">
            <w:pPr>
              <w:pStyle w:val="56"/>
              <w:spacing w:beforeLines="0" w:afterLines="0" w:line="240" w:lineRule="auto"/>
              <w:rPr>
                <w:rFonts w:ascii="Times New Roman"/>
                <w:snapToGrid w:val="0"/>
                <w:kern w:val="21"/>
                <w:szCs w:val="21"/>
              </w:rPr>
            </w:pPr>
            <w:r>
              <w:rPr>
                <w:rFonts w:ascii="Times New Roman"/>
                <w:snapToGrid w:val="0"/>
                <w:kern w:val="21"/>
                <w:szCs w:val="21"/>
              </w:rPr>
              <w:t>0</w:t>
            </w:r>
          </w:p>
        </w:tc>
      </w:tr>
      <w:tr w14:paraId="10623E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restart"/>
            <w:vAlign w:val="center"/>
          </w:tcPr>
          <w:p w14:paraId="7006D4CE">
            <w:pPr>
              <w:pStyle w:val="56"/>
              <w:spacing w:beforeLines="0" w:afterLines="0" w:line="240" w:lineRule="auto"/>
              <w:rPr>
                <w:rFonts w:ascii="Times New Roman"/>
                <w:snapToGrid w:val="0"/>
                <w:kern w:val="21"/>
                <w:szCs w:val="21"/>
              </w:rPr>
            </w:pPr>
            <w:r>
              <w:rPr>
                <w:rFonts w:ascii="Times New Roman"/>
                <w:snapToGrid w:val="0"/>
                <w:kern w:val="21"/>
                <w:szCs w:val="21"/>
              </w:rPr>
              <w:t>一般工业</w:t>
            </w:r>
          </w:p>
          <w:p w14:paraId="7C9C4336">
            <w:pPr>
              <w:pStyle w:val="56"/>
              <w:spacing w:before="24" w:after="24" w:line="240" w:lineRule="auto"/>
              <w:rPr>
                <w:rFonts w:ascii="Times New Roman"/>
                <w:snapToGrid w:val="0"/>
                <w:kern w:val="21"/>
                <w:szCs w:val="21"/>
              </w:rPr>
            </w:pPr>
            <w:r>
              <w:rPr>
                <w:rFonts w:ascii="Times New Roman"/>
                <w:snapToGrid w:val="0"/>
                <w:kern w:val="21"/>
                <w:szCs w:val="21"/>
              </w:rPr>
              <w:t>固体废物</w:t>
            </w:r>
          </w:p>
        </w:tc>
        <w:tc>
          <w:tcPr>
            <w:tcW w:w="919" w:type="pct"/>
            <w:vAlign w:val="center"/>
          </w:tcPr>
          <w:p w14:paraId="3F3A6BFB">
            <w:pPr>
              <w:adjustRightInd w:val="0"/>
              <w:snapToGrid w:val="0"/>
              <w:spacing w:line="240" w:lineRule="exact"/>
              <w:jc w:val="center"/>
              <w:rPr>
                <w:bCs/>
                <w:szCs w:val="21"/>
              </w:rPr>
            </w:pPr>
            <w:r>
              <w:rPr>
                <w:bCs/>
                <w:szCs w:val="21"/>
              </w:rPr>
              <w:t>下脚料</w:t>
            </w:r>
          </w:p>
        </w:tc>
        <w:tc>
          <w:tcPr>
            <w:tcW w:w="416" w:type="pct"/>
            <w:vAlign w:val="center"/>
          </w:tcPr>
          <w:p w14:paraId="66B1E366">
            <w:pPr>
              <w:pStyle w:val="56"/>
              <w:spacing w:beforeLines="0" w:afterLines="0" w:line="240" w:lineRule="auto"/>
              <w:rPr>
                <w:rFonts w:ascii="Times New Roman"/>
                <w:snapToGrid w:val="0"/>
                <w:kern w:val="21"/>
                <w:szCs w:val="21"/>
              </w:rPr>
            </w:pPr>
          </w:p>
        </w:tc>
        <w:tc>
          <w:tcPr>
            <w:tcW w:w="469" w:type="pct"/>
            <w:vAlign w:val="center"/>
          </w:tcPr>
          <w:p w14:paraId="323E0FA0">
            <w:pPr>
              <w:pStyle w:val="56"/>
              <w:spacing w:beforeLines="0" w:afterLines="0" w:line="240" w:lineRule="auto"/>
              <w:rPr>
                <w:rFonts w:ascii="Times New Roman"/>
                <w:snapToGrid w:val="0"/>
                <w:kern w:val="21"/>
                <w:szCs w:val="21"/>
              </w:rPr>
            </w:pPr>
          </w:p>
        </w:tc>
        <w:tc>
          <w:tcPr>
            <w:tcW w:w="504" w:type="pct"/>
            <w:vAlign w:val="center"/>
          </w:tcPr>
          <w:p w14:paraId="70BD81FE">
            <w:pPr>
              <w:pStyle w:val="56"/>
              <w:spacing w:beforeLines="0" w:afterLines="0" w:line="240" w:lineRule="auto"/>
              <w:rPr>
                <w:rFonts w:ascii="Times New Roman"/>
                <w:snapToGrid w:val="0"/>
                <w:kern w:val="21"/>
                <w:szCs w:val="21"/>
              </w:rPr>
            </w:pPr>
          </w:p>
        </w:tc>
        <w:tc>
          <w:tcPr>
            <w:tcW w:w="748" w:type="pct"/>
            <w:vAlign w:val="center"/>
          </w:tcPr>
          <w:p w14:paraId="7A876857">
            <w:pPr>
              <w:adjustRightInd w:val="0"/>
              <w:snapToGrid w:val="0"/>
              <w:spacing w:line="240" w:lineRule="exact"/>
              <w:jc w:val="center"/>
              <w:rPr>
                <w:szCs w:val="21"/>
              </w:rPr>
            </w:pPr>
            <w:r>
              <w:rPr>
                <w:szCs w:val="21"/>
              </w:rPr>
              <w:t>80t/a</w:t>
            </w:r>
          </w:p>
        </w:tc>
        <w:tc>
          <w:tcPr>
            <w:tcW w:w="443" w:type="pct"/>
            <w:vAlign w:val="center"/>
          </w:tcPr>
          <w:p w14:paraId="2621CF4E">
            <w:pPr>
              <w:pStyle w:val="56"/>
              <w:spacing w:beforeLines="0" w:afterLines="0" w:line="240" w:lineRule="auto"/>
              <w:rPr>
                <w:rFonts w:ascii="Times New Roman"/>
                <w:snapToGrid w:val="0"/>
                <w:kern w:val="21"/>
                <w:szCs w:val="21"/>
              </w:rPr>
            </w:pPr>
          </w:p>
        </w:tc>
        <w:tc>
          <w:tcPr>
            <w:tcW w:w="707" w:type="pct"/>
            <w:vAlign w:val="center"/>
          </w:tcPr>
          <w:p w14:paraId="7656B849">
            <w:pPr>
              <w:adjustRightInd w:val="0"/>
              <w:snapToGrid w:val="0"/>
              <w:spacing w:line="240" w:lineRule="exact"/>
              <w:jc w:val="center"/>
              <w:rPr>
                <w:szCs w:val="21"/>
              </w:rPr>
            </w:pPr>
            <w:r>
              <w:rPr>
                <w:szCs w:val="21"/>
              </w:rPr>
              <w:t>80t/a</w:t>
            </w:r>
          </w:p>
        </w:tc>
        <w:tc>
          <w:tcPr>
            <w:tcW w:w="495" w:type="pct"/>
            <w:vAlign w:val="center"/>
          </w:tcPr>
          <w:p w14:paraId="454416AE">
            <w:pPr>
              <w:adjustRightInd w:val="0"/>
              <w:snapToGrid w:val="0"/>
              <w:spacing w:line="240" w:lineRule="exact"/>
              <w:jc w:val="center"/>
              <w:rPr>
                <w:szCs w:val="21"/>
              </w:rPr>
            </w:pPr>
            <w:r>
              <w:rPr>
                <w:szCs w:val="21"/>
              </w:rPr>
              <w:t>+80t/a</w:t>
            </w:r>
          </w:p>
        </w:tc>
      </w:tr>
      <w:tr w14:paraId="6A4AB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005793B3">
            <w:pPr>
              <w:pStyle w:val="56"/>
              <w:spacing w:beforeLines="0" w:afterLines="0" w:line="240" w:lineRule="auto"/>
              <w:rPr>
                <w:rFonts w:ascii="Times New Roman"/>
                <w:snapToGrid w:val="0"/>
                <w:kern w:val="21"/>
                <w:szCs w:val="21"/>
              </w:rPr>
            </w:pPr>
          </w:p>
        </w:tc>
        <w:tc>
          <w:tcPr>
            <w:tcW w:w="920" w:type="pct"/>
            <w:vAlign w:val="center"/>
          </w:tcPr>
          <w:p w14:paraId="31D0E33E">
            <w:pPr>
              <w:adjustRightInd w:val="0"/>
              <w:snapToGrid w:val="0"/>
              <w:spacing w:line="240" w:lineRule="exact"/>
              <w:jc w:val="center"/>
              <w:rPr>
                <w:szCs w:val="21"/>
              </w:rPr>
            </w:pPr>
            <w:r>
              <w:rPr>
                <w:szCs w:val="21"/>
              </w:rPr>
              <w:t>废包装</w:t>
            </w:r>
            <w:r>
              <w:rPr>
                <w:rFonts w:hint="eastAsia"/>
                <w:szCs w:val="21"/>
              </w:rPr>
              <w:t>材料</w:t>
            </w:r>
          </w:p>
        </w:tc>
        <w:tc>
          <w:tcPr>
            <w:tcW w:w="416" w:type="pct"/>
            <w:vAlign w:val="center"/>
          </w:tcPr>
          <w:p w14:paraId="06923F64">
            <w:pPr>
              <w:pStyle w:val="56"/>
              <w:spacing w:beforeLines="0" w:afterLines="0" w:line="240" w:lineRule="auto"/>
              <w:rPr>
                <w:rFonts w:ascii="Times New Roman"/>
                <w:snapToGrid w:val="0"/>
                <w:kern w:val="21"/>
                <w:szCs w:val="21"/>
              </w:rPr>
            </w:pPr>
          </w:p>
        </w:tc>
        <w:tc>
          <w:tcPr>
            <w:tcW w:w="470" w:type="pct"/>
            <w:vAlign w:val="center"/>
          </w:tcPr>
          <w:p w14:paraId="6800EB89">
            <w:pPr>
              <w:pStyle w:val="56"/>
              <w:spacing w:beforeLines="0" w:afterLines="0" w:line="240" w:lineRule="auto"/>
              <w:rPr>
                <w:rFonts w:ascii="Times New Roman"/>
                <w:snapToGrid w:val="0"/>
                <w:kern w:val="21"/>
                <w:szCs w:val="21"/>
              </w:rPr>
            </w:pPr>
          </w:p>
        </w:tc>
        <w:tc>
          <w:tcPr>
            <w:tcW w:w="505" w:type="pct"/>
            <w:vAlign w:val="center"/>
          </w:tcPr>
          <w:p w14:paraId="7EBCD35F">
            <w:pPr>
              <w:pStyle w:val="56"/>
              <w:spacing w:beforeLines="0" w:afterLines="0" w:line="240" w:lineRule="auto"/>
              <w:rPr>
                <w:rFonts w:ascii="Times New Roman"/>
                <w:snapToGrid w:val="0"/>
                <w:kern w:val="21"/>
                <w:szCs w:val="21"/>
              </w:rPr>
            </w:pPr>
          </w:p>
        </w:tc>
        <w:tc>
          <w:tcPr>
            <w:tcW w:w="749" w:type="pct"/>
            <w:vAlign w:val="center"/>
          </w:tcPr>
          <w:p w14:paraId="66D4AE11">
            <w:pPr>
              <w:adjustRightInd w:val="0"/>
              <w:snapToGrid w:val="0"/>
              <w:spacing w:line="240" w:lineRule="exact"/>
              <w:jc w:val="center"/>
              <w:rPr>
                <w:szCs w:val="21"/>
              </w:rPr>
            </w:pPr>
            <w:r>
              <w:rPr>
                <w:szCs w:val="21"/>
              </w:rPr>
              <w:t>1t/a</w:t>
            </w:r>
          </w:p>
        </w:tc>
        <w:tc>
          <w:tcPr>
            <w:tcW w:w="444" w:type="pct"/>
            <w:vAlign w:val="center"/>
          </w:tcPr>
          <w:p w14:paraId="5D23FEE2">
            <w:pPr>
              <w:pStyle w:val="56"/>
              <w:spacing w:beforeLines="0" w:afterLines="0" w:line="240" w:lineRule="auto"/>
              <w:rPr>
                <w:rFonts w:ascii="Times New Roman"/>
                <w:snapToGrid w:val="0"/>
                <w:kern w:val="21"/>
                <w:szCs w:val="21"/>
              </w:rPr>
            </w:pPr>
          </w:p>
        </w:tc>
        <w:tc>
          <w:tcPr>
            <w:tcW w:w="708" w:type="pct"/>
            <w:vAlign w:val="center"/>
          </w:tcPr>
          <w:p w14:paraId="493ED6D9">
            <w:pPr>
              <w:adjustRightInd w:val="0"/>
              <w:snapToGrid w:val="0"/>
              <w:spacing w:line="240" w:lineRule="exact"/>
              <w:jc w:val="center"/>
              <w:rPr>
                <w:szCs w:val="21"/>
              </w:rPr>
            </w:pPr>
            <w:r>
              <w:rPr>
                <w:szCs w:val="21"/>
              </w:rPr>
              <w:t>1t/a</w:t>
            </w:r>
          </w:p>
        </w:tc>
        <w:tc>
          <w:tcPr>
            <w:tcW w:w="496" w:type="pct"/>
            <w:vAlign w:val="center"/>
          </w:tcPr>
          <w:p w14:paraId="280FA83A">
            <w:pPr>
              <w:adjustRightInd w:val="0"/>
              <w:snapToGrid w:val="0"/>
              <w:spacing w:line="240" w:lineRule="exact"/>
              <w:jc w:val="center"/>
              <w:rPr>
                <w:szCs w:val="21"/>
              </w:rPr>
            </w:pPr>
            <w:r>
              <w:rPr>
                <w:szCs w:val="21"/>
              </w:rPr>
              <w:t>+1t/a</w:t>
            </w:r>
          </w:p>
        </w:tc>
      </w:tr>
      <w:tr w14:paraId="7E31B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7251AA36">
            <w:pPr>
              <w:pStyle w:val="56"/>
              <w:spacing w:beforeLines="0" w:afterLines="0" w:line="240" w:lineRule="auto"/>
              <w:rPr>
                <w:rFonts w:ascii="Times New Roman"/>
                <w:snapToGrid w:val="0"/>
                <w:kern w:val="21"/>
                <w:szCs w:val="21"/>
              </w:rPr>
            </w:pPr>
          </w:p>
        </w:tc>
        <w:tc>
          <w:tcPr>
            <w:tcW w:w="920" w:type="pct"/>
            <w:vAlign w:val="center"/>
          </w:tcPr>
          <w:p w14:paraId="38B4426E">
            <w:pPr>
              <w:adjustRightInd w:val="0"/>
              <w:snapToGrid w:val="0"/>
              <w:spacing w:line="240" w:lineRule="exact"/>
              <w:jc w:val="center"/>
              <w:rPr>
                <w:szCs w:val="21"/>
              </w:rPr>
            </w:pPr>
            <w:r>
              <w:rPr>
                <w:szCs w:val="21"/>
              </w:rPr>
              <w:t>除尘器收尘</w:t>
            </w:r>
          </w:p>
        </w:tc>
        <w:tc>
          <w:tcPr>
            <w:tcW w:w="416" w:type="pct"/>
            <w:vAlign w:val="center"/>
          </w:tcPr>
          <w:p w14:paraId="1E1FDFB6">
            <w:pPr>
              <w:pStyle w:val="56"/>
              <w:spacing w:beforeLines="0" w:afterLines="0" w:line="240" w:lineRule="auto"/>
              <w:rPr>
                <w:rFonts w:ascii="Times New Roman"/>
                <w:kern w:val="2"/>
                <w:szCs w:val="21"/>
              </w:rPr>
            </w:pPr>
          </w:p>
        </w:tc>
        <w:tc>
          <w:tcPr>
            <w:tcW w:w="470" w:type="pct"/>
            <w:vAlign w:val="center"/>
          </w:tcPr>
          <w:p w14:paraId="273BE8A5">
            <w:pPr>
              <w:pStyle w:val="56"/>
              <w:spacing w:beforeLines="0" w:afterLines="0" w:line="240" w:lineRule="auto"/>
              <w:rPr>
                <w:rFonts w:ascii="Times New Roman"/>
                <w:snapToGrid w:val="0"/>
                <w:kern w:val="21"/>
                <w:szCs w:val="21"/>
              </w:rPr>
            </w:pPr>
          </w:p>
        </w:tc>
        <w:tc>
          <w:tcPr>
            <w:tcW w:w="505" w:type="pct"/>
            <w:vAlign w:val="center"/>
          </w:tcPr>
          <w:p w14:paraId="5AE120B5">
            <w:pPr>
              <w:pStyle w:val="56"/>
              <w:spacing w:beforeLines="0" w:afterLines="0" w:line="240" w:lineRule="auto"/>
              <w:rPr>
                <w:rFonts w:ascii="Times New Roman"/>
                <w:snapToGrid w:val="0"/>
                <w:kern w:val="21"/>
                <w:szCs w:val="21"/>
              </w:rPr>
            </w:pPr>
          </w:p>
        </w:tc>
        <w:tc>
          <w:tcPr>
            <w:tcW w:w="749" w:type="pct"/>
            <w:vAlign w:val="center"/>
          </w:tcPr>
          <w:p w14:paraId="388CC2DF">
            <w:pPr>
              <w:adjustRightInd w:val="0"/>
              <w:snapToGrid w:val="0"/>
              <w:spacing w:line="240" w:lineRule="exact"/>
              <w:jc w:val="center"/>
              <w:rPr>
                <w:szCs w:val="21"/>
              </w:rPr>
            </w:pPr>
            <w:r>
              <w:rPr>
                <w:szCs w:val="21"/>
              </w:rPr>
              <w:t>9.424t/a</w:t>
            </w:r>
          </w:p>
        </w:tc>
        <w:tc>
          <w:tcPr>
            <w:tcW w:w="444" w:type="pct"/>
            <w:vAlign w:val="center"/>
          </w:tcPr>
          <w:p w14:paraId="2CA3A6BA">
            <w:pPr>
              <w:pStyle w:val="56"/>
              <w:spacing w:beforeLines="0" w:afterLines="0" w:line="240" w:lineRule="auto"/>
              <w:rPr>
                <w:rFonts w:ascii="Times New Roman"/>
                <w:snapToGrid w:val="0"/>
                <w:kern w:val="21"/>
                <w:szCs w:val="21"/>
              </w:rPr>
            </w:pPr>
          </w:p>
        </w:tc>
        <w:tc>
          <w:tcPr>
            <w:tcW w:w="708" w:type="pct"/>
            <w:vAlign w:val="center"/>
          </w:tcPr>
          <w:p w14:paraId="191FB364">
            <w:pPr>
              <w:adjustRightInd w:val="0"/>
              <w:snapToGrid w:val="0"/>
              <w:spacing w:line="240" w:lineRule="exact"/>
              <w:jc w:val="center"/>
              <w:rPr>
                <w:szCs w:val="21"/>
              </w:rPr>
            </w:pPr>
            <w:r>
              <w:rPr>
                <w:szCs w:val="21"/>
              </w:rPr>
              <w:t>9.424t/a</w:t>
            </w:r>
          </w:p>
        </w:tc>
        <w:tc>
          <w:tcPr>
            <w:tcW w:w="496" w:type="pct"/>
            <w:vAlign w:val="center"/>
          </w:tcPr>
          <w:p w14:paraId="34650C5A">
            <w:pPr>
              <w:adjustRightInd w:val="0"/>
              <w:snapToGrid w:val="0"/>
              <w:spacing w:line="240" w:lineRule="exact"/>
              <w:jc w:val="center"/>
              <w:rPr>
                <w:szCs w:val="21"/>
              </w:rPr>
            </w:pPr>
            <w:r>
              <w:rPr>
                <w:szCs w:val="21"/>
              </w:rPr>
              <w:t>+9.424t/a</w:t>
            </w:r>
          </w:p>
        </w:tc>
      </w:tr>
      <w:tr w14:paraId="28D832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7621E289">
            <w:pPr>
              <w:pStyle w:val="56"/>
              <w:spacing w:beforeLines="0" w:afterLines="0" w:line="240" w:lineRule="auto"/>
              <w:rPr>
                <w:rFonts w:ascii="Times New Roman"/>
                <w:snapToGrid w:val="0"/>
                <w:kern w:val="21"/>
                <w:szCs w:val="21"/>
              </w:rPr>
            </w:pPr>
          </w:p>
        </w:tc>
        <w:tc>
          <w:tcPr>
            <w:tcW w:w="920" w:type="pct"/>
            <w:vAlign w:val="center"/>
          </w:tcPr>
          <w:p w14:paraId="387C7D18">
            <w:pPr>
              <w:adjustRightInd w:val="0"/>
              <w:snapToGrid w:val="0"/>
              <w:spacing w:line="240" w:lineRule="exact"/>
              <w:jc w:val="center"/>
              <w:rPr>
                <w:szCs w:val="21"/>
              </w:rPr>
            </w:pPr>
            <w:r>
              <w:rPr>
                <w:rFonts w:hint="eastAsia"/>
                <w:szCs w:val="21"/>
              </w:rPr>
              <w:t>废布袋</w:t>
            </w:r>
          </w:p>
        </w:tc>
        <w:tc>
          <w:tcPr>
            <w:tcW w:w="416" w:type="pct"/>
            <w:vAlign w:val="center"/>
          </w:tcPr>
          <w:p w14:paraId="66958C91">
            <w:pPr>
              <w:pStyle w:val="56"/>
              <w:spacing w:beforeLines="0" w:afterLines="0" w:line="240" w:lineRule="auto"/>
              <w:rPr>
                <w:rFonts w:ascii="Times New Roman"/>
                <w:snapToGrid w:val="0"/>
                <w:kern w:val="21"/>
                <w:szCs w:val="21"/>
              </w:rPr>
            </w:pPr>
          </w:p>
        </w:tc>
        <w:tc>
          <w:tcPr>
            <w:tcW w:w="470" w:type="pct"/>
            <w:vAlign w:val="center"/>
          </w:tcPr>
          <w:p w14:paraId="7EDB86D1">
            <w:pPr>
              <w:pStyle w:val="56"/>
              <w:spacing w:beforeLines="0" w:afterLines="0" w:line="240" w:lineRule="auto"/>
              <w:rPr>
                <w:rFonts w:ascii="Times New Roman"/>
                <w:snapToGrid w:val="0"/>
                <w:kern w:val="21"/>
                <w:szCs w:val="21"/>
              </w:rPr>
            </w:pPr>
          </w:p>
        </w:tc>
        <w:tc>
          <w:tcPr>
            <w:tcW w:w="505" w:type="pct"/>
            <w:vAlign w:val="center"/>
          </w:tcPr>
          <w:p w14:paraId="1B97C72A">
            <w:pPr>
              <w:pStyle w:val="56"/>
              <w:spacing w:beforeLines="0" w:afterLines="0" w:line="240" w:lineRule="auto"/>
              <w:rPr>
                <w:rFonts w:ascii="Times New Roman"/>
                <w:snapToGrid w:val="0"/>
                <w:kern w:val="21"/>
                <w:szCs w:val="21"/>
              </w:rPr>
            </w:pPr>
          </w:p>
        </w:tc>
        <w:tc>
          <w:tcPr>
            <w:tcW w:w="749" w:type="pct"/>
            <w:vAlign w:val="center"/>
          </w:tcPr>
          <w:p w14:paraId="165D56E3">
            <w:pPr>
              <w:adjustRightInd w:val="0"/>
              <w:snapToGrid w:val="0"/>
              <w:spacing w:line="240" w:lineRule="exact"/>
              <w:jc w:val="center"/>
              <w:rPr>
                <w:szCs w:val="21"/>
              </w:rPr>
            </w:pPr>
            <w:r>
              <w:rPr>
                <w:szCs w:val="21"/>
              </w:rPr>
              <w:t>0.002t/a</w:t>
            </w:r>
          </w:p>
        </w:tc>
        <w:tc>
          <w:tcPr>
            <w:tcW w:w="444" w:type="pct"/>
            <w:vAlign w:val="center"/>
          </w:tcPr>
          <w:p w14:paraId="4841B54F">
            <w:pPr>
              <w:pStyle w:val="56"/>
              <w:spacing w:beforeLines="0" w:afterLines="0" w:line="240" w:lineRule="auto"/>
              <w:rPr>
                <w:rFonts w:ascii="Times New Roman"/>
                <w:snapToGrid w:val="0"/>
                <w:kern w:val="21"/>
                <w:szCs w:val="21"/>
              </w:rPr>
            </w:pPr>
          </w:p>
        </w:tc>
        <w:tc>
          <w:tcPr>
            <w:tcW w:w="708" w:type="pct"/>
            <w:vAlign w:val="center"/>
          </w:tcPr>
          <w:p w14:paraId="5E433844">
            <w:pPr>
              <w:adjustRightInd w:val="0"/>
              <w:snapToGrid w:val="0"/>
              <w:spacing w:line="240" w:lineRule="exact"/>
              <w:jc w:val="center"/>
              <w:rPr>
                <w:szCs w:val="21"/>
              </w:rPr>
            </w:pPr>
            <w:r>
              <w:rPr>
                <w:szCs w:val="21"/>
              </w:rPr>
              <w:t>0.002t/a</w:t>
            </w:r>
          </w:p>
        </w:tc>
        <w:tc>
          <w:tcPr>
            <w:tcW w:w="496" w:type="pct"/>
            <w:vAlign w:val="center"/>
          </w:tcPr>
          <w:p w14:paraId="392AE456">
            <w:pPr>
              <w:adjustRightInd w:val="0"/>
              <w:snapToGrid w:val="0"/>
              <w:spacing w:line="240" w:lineRule="exact"/>
              <w:jc w:val="center"/>
              <w:rPr>
                <w:szCs w:val="21"/>
              </w:rPr>
            </w:pPr>
            <w:r>
              <w:rPr>
                <w:szCs w:val="21"/>
              </w:rPr>
              <w:t>+0.002t/a</w:t>
            </w:r>
          </w:p>
        </w:tc>
      </w:tr>
      <w:tr w14:paraId="7D64E9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2E4D9B60">
            <w:pPr>
              <w:pStyle w:val="56"/>
              <w:spacing w:beforeLines="0" w:afterLines="0" w:line="240" w:lineRule="auto"/>
              <w:rPr>
                <w:rFonts w:ascii="Times New Roman"/>
                <w:snapToGrid w:val="0"/>
                <w:kern w:val="21"/>
                <w:szCs w:val="21"/>
              </w:rPr>
            </w:pPr>
          </w:p>
        </w:tc>
        <w:tc>
          <w:tcPr>
            <w:tcW w:w="920" w:type="pct"/>
            <w:vAlign w:val="center"/>
          </w:tcPr>
          <w:p w14:paraId="7F80E9C8">
            <w:pPr>
              <w:adjustRightInd w:val="0"/>
              <w:snapToGrid w:val="0"/>
              <w:spacing w:line="240" w:lineRule="exact"/>
              <w:jc w:val="center"/>
              <w:rPr>
                <w:szCs w:val="21"/>
              </w:rPr>
            </w:pPr>
            <w:r>
              <w:rPr>
                <w:szCs w:val="21"/>
              </w:rPr>
              <w:t>焊渣</w:t>
            </w:r>
          </w:p>
        </w:tc>
        <w:tc>
          <w:tcPr>
            <w:tcW w:w="416" w:type="pct"/>
            <w:vAlign w:val="center"/>
          </w:tcPr>
          <w:p w14:paraId="41638381">
            <w:pPr>
              <w:pStyle w:val="56"/>
              <w:spacing w:beforeLines="0" w:afterLines="0" w:line="240" w:lineRule="auto"/>
              <w:rPr>
                <w:rFonts w:ascii="Times New Roman"/>
                <w:snapToGrid w:val="0"/>
                <w:kern w:val="21"/>
                <w:szCs w:val="21"/>
              </w:rPr>
            </w:pPr>
          </w:p>
        </w:tc>
        <w:tc>
          <w:tcPr>
            <w:tcW w:w="470" w:type="pct"/>
            <w:vAlign w:val="center"/>
          </w:tcPr>
          <w:p w14:paraId="33A96A8B">
            <w:pPr>
              <w:pStyle w:val="56"/>
              <w:spacing w:beforeLines="0" w:afterLines="0" w:line="240" w:lineRule="auto"/>
              <w:rPr>
                <w:rFonts w:ascii="Times New Roman"/>
                <w:snapToGrid w:val="0"/>
                <w:kern w:val="21"/>
                <w:szCs w:val="21"/>
              </w:rPr>
            </w:pPr>
          </w:p>
        </w:tc>
        <w:tc>
          <w:tcPr>
            <w:tcW w:w="505" w:type="pct"/>
            <w:vAlign w:val="center"/>
          </w:tcPr>
          <w:p w14:paraId="48C0416F">
            <w:pPr>
              <w:pStyle w:val="56"/>
              <w:spacing w:beforeLines="0" w:afterLines="0" w:line="240" w:lineRule="auto"/>
              <w:rPr>
                <w:rFonts w:ascii="Times New Roman"/>
                <w:snapToGrid w:val="0"/>
                <w:kern w:val="21"/>
                <w:szCs w:val="21"/>
              </w:rPr>
            </w:pPr>
          </w:p>
        </w:tc>
        <w:tc>
          <w:tcPr>
            <w:tcW w:w="749" w:type="pct"/>
            <w:vAlign w:val="center"/>
          </w:tcPr>
          <w:p w14:paraId="356C4D3D">
            <w:pPr>
              <w:adjustRightInd w:val="0"/>
              <w:snapToGrid w:val="0"/>
              <w:spacing w:line="240" w:lineRule="exact"/>
              <w:jc w:val="center"/>
              <w:rPr>
                <w:szCs w:val="21"/>
              </w:rPr>
            </w:pPr>
            <w:r>
              <w:rPr>
                <w:szCs w:val="21"/>
              </w:rPr>
              <w:t>0.3t/a</w:t>
            </w:r>
          </w:p>
        </w:tc>
        <w:tc>
          <w:tcPr>
            <w:tcW w:w="444" w:type="pct"/>
            <w:vAlign w:val="center"/>
          </w:tcPr>
          <w:p w14:paraId="1DCE6241">
            <w:pPr>
              <w:pStyle w:val="56"/>
              <w:spacing w:beforeLines="0" w:afterLines="0" w:line="240" w:lineRule="auto"/>
              <w:rPr>
                <w:rFonts w:ascii="Times New Roman"/>
                <w:snapToGrid w:val="0"/>
                <w:kern w:val="21"/>
                <w:szCs w:val="21"/>
              </w:rPr>
            </w:pPr>
          </w:p>
        </w:tc>
        <w:tc>
          <w:tcPr>
            <w:tcW w:w="708" w:type="pct"/>
            <w:vAlign w:val="center"/>
          </w:tcPr>
          <w:p w14:paraId="6F8FE0D2">
            <w:pPr>
              <w:adjustRightInd w:val="0"/>
              <w:snapToGrid w:val="0"/>
              <w:spacing w:line="240" w:lineRule="exact"/>
              <w:jc w:val="center"/>
              <w:rPr>
                <w:szCs w:val="21"/>
              </w:rPr>
            </w:pPr>
            <w:r>
              <w:rPr>
                <w:szCs w:val="21"/>
              </w:rPr>
              <w:t>0.3t/a</w:t>
            </w:r>
          </w:p>
        </w:tc>
        <w:tc>
          <w:tcPr>
            <w:tcW w:w="496" w:type="pct"/>
            <w:vAlign w:val="center"/>
          </w:tcPr>
          <w:p w14:paraId="3E66448E">
            <w:pPr>
              <w:adjustRightInd w:val="0"/>
              <w:snapToGrid w:val="0"/>
              <w:spacing w:line="240" w:lineRule="exact"/>
              <w:jc w:val="center"/>
              <w:rPr>
                <w:szCs w:val="21"/>
              </w:rPr>
            </w:pPr>
            <w:r>
              <w:rPr>
                <w:szCs w:val="21"/>
              </w:rPr>
              <w:t>+0.3t/a</w:t>
            </w:r>
          </w:p>
        </w:tc>
      </w:tr>
      <w:tr w14:paraId="1568C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28B46563">
            <w:pPr>
              <w:pStyle w:val="56"/>
              <w:spacing w:beforeLines="0" w:afterLines="0" w:line="240" w:lineRule="auto"/>
              <w:rPr>
                <w:rFonts w:ascii="Times New Roman"/>
                <w:snapToGrid w:val="0"/>
                <w:kern w:val="21"/>
                <w:szCs w:val="21"/>
              </w:rPr>
            </w:pPr>
          </w:p>
        </w:tc>
        <w:tc>
          <w:tcPr>
            <w:tcW w:w="920" w:type="pct"/>
            <w:vAlign w:val="center"/>
          </w:tcPr>
          <w:p w14:paraId="5E2A771C">
            <w:pPr>
              <w:adjustRightInd w:val="0"/>
              <w:snapToGrid w:val="0"/>
              <w:spacing w:line="240" w:lineRule="exact"/>
              <w:jc w:val="center"/>
              <w:rPr>
                <w:szCs w:val="21"/>
              </w:rPr>
            </w:pPr>
            <w:r>
              <w:rPr>
                <w:rFonts w:hint="eastAsia"/>
                <w:szCs w:val="21"/>
              </w:rPr>
              <w:t>喷塑工序布袋</w:t>
            </w:r>
            <w:r>
              <w:rPr>
                <w:rFonts w:hint="eastAsia"/>
                <w:bCs/>
                <w:szCs w:val="21"/>
              </w:rPr>
              <w:t>除尘器收集的塑粉</w:t>
            </w:r>
          </w:p>
        </w:tc>
        <w:tc>
          <w:tcPr>
            <w:tcW w:w="416" w:type="pct"/>
            <w:vAlign w:val="center"/>
          </w:tcPr>
          <w:p w14:paraId="39CF8319">
            <w:pPr>
              <w:pStyle w:val="56"/>
              <w:spacing w:beforeLines="0" w:afterLines="0" w:line="240" w:lineRule="auto"/>
              <w:rPr>
                <w:rFonts w:ascii="Times New Roman"/>
                <w:snapToGrid w:val="0"/>
                <w:kern w:val="21"/>
                <w:szCs w:val="21"/>
              </w:rPr>
            </w:pPr>
          </w:p>
        </w:tc>
        <w:tc>
          <w:tcPr>
            <w:tcW w:w="470" w:type="pct"/>
            <w:vAlign w:val="center"/>
          </w:tcPr>
          <w:p w14:paraId="29590429">
            <w:pPr>
              <w:pStyle w:val="56"/>
              <w:spacing w:beforeLines="0" w:afterLines="0" w:line="240" w:lineRule="auto"/>
              <w:rPr>
                <w:rFonts w:ascii="Times New Roman"/>
                <w:snapToGrid w:val="0"/>
                <w:kern w:val="21"/>
                <w:szCs w:val="21"/>
              </w:rPr>
            </w:pPr>
          </w:p>
        </w:tc>
        <w:tc>
          <w:tcPr>
            <w:tcW w:w="505" w:type="pct"/>
            <w:vAlign w:val="center"/>
          </w:tcPr>
          <w:p w14:paraId="0F61482C">
            <w:pPr>
              <w:pStyle w:val="56"/>
              <w:spacing w:beforeLines="0" w:afterLines="0" w:line="240" w:lineRule="auto"/>
              <w:rPr>
                <w:rFonts w:ascii="Times New Roman"/>
                <w:snapToGrid w:val="0"/>
                <w:kern w:val="21"/>
                <w:szCs w:val="21"/>
              </w:rPr>
            </w:pPr>
          </w:p>
        </w:tc>
        <w:tc>
          <w:tcPr>
            <w:tcW w:w="749" w:type="pct"/>
            <w:vAlign w:val="center"/>
          </w:tcPr>
          <w:p w14:paraId="385B68CE">
            <w:pPr>
              <w:adjustRightInd w:val="0"/>
              <w:snapToGrid w:val="0"/>
              <w:spacing w:line="240" w:lineRule="exact"/>
              <w:jc w:val="center"/>
              <w:rPr>
                <w:szCs w:val="21"/>
              </w:rPr>
            </w:pPr>
            <w:r>
              <w:rPr>
                <w:szCs w:val="21"/>
              </w:rPr>
              <w:t>13.13t/a</w:t>
            </w:r>
          </w:p>
        </w:tc>
        <w:tc>
          <w:tcPr>
            <w:tcW w:w="444" w:type="pct"/>
            <w:vAlign w:val="center"/>
          </w:tcPr>
          <w:p w14:paraId="3478DF3A">
            <w:pPr>
              <w:pStyle w:val="56"/>
              <w:spacing w:beforeLines="0" w:afterLines="0" w:line="240" w:lineRule="auto"/>
              <w:rPr>
                <w:rFonts w:ascii="Times New Roman"/>
                <w:snapToGrid w:val="0"/>
                <w:kern w:val="21"/>
                <w:szCs w:val="21"/>
              </w:rPr>
            </w:pPr>
          </w:p>
        </w:tc>
        <w:tc>
          <w:tcPr>
            <w:tcW w:w="708" w:type="pct"/>
            <w:vAlign w:val="center"/>
          </w:tcPr>
          <w:p w14:paraId="579391DF">
            <w:pPr>
              <w:adjustRightInd w:val="0"/>
              <w:snapToGrid w:val="0"/>
              <w:spacing w:line="240" w:lineRule="exact"/>
              <w:jc w:val="center"/>
              <w:rPr>
                <w:szCs w:val="21"/>
              </w:rPr>
            </w:pPr>
            <w:r>
              <w:rPr>
                <w:szCs w:val="21"/>
              </w:rPr>
              <w:t>13.13t/a</w:t>
            </w:r>
          </w:p>
        </w:tc>
        <w:tc>
          <w:tcPr>
            <w:tcW w:w="496" w:type="pct"/>
            <w:vAlign w:val="center"/>
          </w:tcPr>
          <w:p w14:paraId="5C6F85CE">
            <w:pPr>
              <w:adjustRightInd w:val="0"/>
              <w:snapToGrid w:val="0"/>
              <w:spacing w:line="240" w:lineRule="exact"/>
              <w:jc w:val="center"/>
              <w:rPr>
                <w:szCs w:val="21"/>
              </w:rPr>
            </w:pPr>
            <w:r>
              <w:rPr>
                <w:szCs w:val="21"/>
              </w:rPr>
              <w:t>+13.13t/a</w:t>
            </w:r>
          </w:p>
        </w:tc>
      </w:tr>
      <w:tr w14:paraId="45DDE4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656D9D59">
            <w:pPr>
              <w:pStyle w:val="56"/>
              <w:spacing w:beforeLines="0" w:afterLines="0" w:line="240" w:lineRule="auto"/>
              <w:rPr>
                <w:rFonts w:ascii="Times New Roman"/>
                <w:snapToGrid w:val="0"/>
                <w:kern w:val="21"/>
                <w:szCs w:val="21"/>
              </w:rPr>
            </w:pPr>
          </w:p>
        </w:tc>
        <w:tc>
          <w:tcPr>
            <w:tcW w:w="920" w:type="pct"/>
            <w:vAlign w:val="center"/>
          </w:tcPr>
          <w:p w14:paraId="39B7059E">
            <w:pPr>
              <w:adjustRightInd w:val="0"/>
              <w:snapToGrid w:val="0"/>
              <w:spacing w:line="240" w:lineRule="exact"/>
              <w:jc w:val="center"/>
              <w:rPr>
                <w:szCs w:val="21"/>
              </w:rPr>
            </w:pPr>
            <w:r>
              <w:rPr>
                <w:rFonts w:hint="eastAsia"/>
                <w:szCs w:val="21"/>
              </w:rPr>
              <w:t>不合格品</w:t>
            </w:r>
          </w:p>
        </w:tc>
        <w:tc>
          <w:tcPr>
            <w:tcW w:w="416" w:type="pct"/>
            <w:vAlign w:val="center"/>
          </w:tcPr>
          <w:p w14:paraId="2FA9B8BF">
            <w:pPr>
              <w:pStyle w:val="56"/>
              <w:spacing w:beforeLines="0" w:afterLines="0" w:line="240" w:lineRule="auto"/>
              <w:rPr>
                <w:rFonts w:ascii="Times New Roman"/>
                <w:snapToGrid w:val="0"/>
                <w:kern w:val="21"/>
                <w:szCs w:val="21"/>
              </w:rPr>
            </w:pPr>
          </w:p>
        </w:tc>
        <w:tc>
          <w:tcPr>
            <w:tcW w:w="470" w:type="pct"/>
            <w:vAlign w:val="center"/>
          </w:tcPr>
          <w:p w14:paraId="190B740B">
            <w:pPr>
              <w:pStyle w:val="56"/>
              <w:spacing w:beforeLines="0" w:afterLines="0" w:line="240" w:lineRule="auto"/>
              <w:rPr>
                <w:rFonts w:ascii="Times New Roman"/>
                <w:snapToGrid w:val="0"/>
                <w:kern w:val="21"/>
                <w:szCs w:val="21"/>
              </w:rPr>
            </w:pPr>
          </w:p>
        </w:tc>
        <w:tc>
          <w:tcPr>
            <w:tcW w:w="505" w:type="pct"/>
            <w:vAlign w:val="center"/>
          </w:tcPr>
          <w:p w14:paraId="2D8B1200">
            <w:pPr>
              <w:pStyle w:val="56"/>
              <w:spacing w:beforeLines="0" w:afterLines="0" w:line="240" w:lineRule="auto"/>
              <w:rPr>
                <w:rFonts w:ascii="Times New Roman"/>
                <w:snapToGrid w:val="0"/>
                <w:kern w:val="21"/>
                <w:szCs w:val="21"/>
              </w:rPr>
            </w:pPr>
          </w:p>
        </w:tc>
        <w:tc>
          <w:tcPr>
            <w:tcW w:w="749" w:type="pct"/>
            <w:vAlign w:val="center"/>
          </w:tcPr>
          <w:p w14:paraId="00F15019">
            <w:pPr>
              <w:adjustRightInd w:val="0"/>
              <w:snapToGrid w:val="0"/>
              <w:spacing w:line="240" w:lineRule="exact"/>
              <w:jc w:val="center"/>
              <w:rPr>
                <w:szCs w:val="21"/>
              </w:rPr>
            </w:pPr>
            <w:r>
              <w:rPr>
                <w:rFonts w:hint="eastAsia"/>
                <w:szCs w:val="21"/>
              </w:rPr>
              <w:t>2</w:t>
            </w:r>
            <w:r>
              <w:rPr>
                <w:szCs w:val="21"/>
              </w:rPr>
              <w:t>0t/a</w:t>
            </w:r>
          </w:p>
        </w:tc>
        <w:tc>
          <w:tcPr>
            <w:tcW w:w="444" w:type="pct"/>
            <w:vAlign w:val="center"/>
          </w:tcPr>
          <w:p w14:paraId="70E2C71B">
            <w:pPr>
              <w:pStyle w:val="56"/>
              <w:spacing w:beforeLines="0" w:afterLines="0" w:line="240" w:lineRule="auto"/>
              <w:rPr>
                <w:rFonts w:ascii="Times New Roman"/>
                <w:snapToGrid w:val="0"/>
                <w:kern w:val="21"/>
                <w:szCs w:val="21"/>
              </w:rPr>
            </w:pPr>
          </w:p>
        </w:tc>
        <w:tc>
          <w:tcPr>
            <w:tcW w:w="708" w:type="pct"/>
            <w:vAlign w:val="center"/>
          </w:tcPr>
          <w:p w14:paraId="6F456C64">
            <w:pPr>
              <w:adjustRightInd w:val="0"/>
              <w:snapToGrid w:val="0"/>
              <w:spacing w:line="240" w:lineRule="exact"/>
              <w:jc w:val="center"/>
              <w:rPr>
                <w:szCs w:val="21"/>
              </w:rPr>
            </w:pPr>
            <w:r>
              <w:rPr>
                <w:rFonts w:hint="eastAsia"/>
                <w:szCs w:val="21"/>
              </w:rPr>
              <w:t>2</w:t>
            </w:r>
            <w:r>
              <w:rPr>
                <w:szCs w:val="21"/>
              </w:rPr>
              <w:t>0t/a</w:t>
            </w:r>
          </w:p>
        </w:tc>
        <w:tc>
          <w:tcPr>
            <w:tcW w:w="496" w:type="pct"/>
            <w:vAlign w:val="center"/>
          </w:tcPr>
          <w:p w14:paraId="12F54056">
            <w:pPr>
              <w:adjustRightInd w:val="0"/>
              <w:snapToGrid w:val="0"/>
              <w:spacing w:line="240" w:lineRule="exact"/>
              <w:jc w:val="center"/>
              <w:rPr>
                <w:szCs w:val="21"/>
              </w:rPr>
            </w:pPr>
            <w:r>
              <w:rPr>
                <w:szCs w:val="21"/>
              </w:rPr>
              <w:t>+</w:t>
            </w:r>
            <w:r>
              <w:rPr>
                <w:rFonts w:hint="eastAsia"/>
                <w:szCs w:val="21"/>
              </w:rPr>
              <w:t>2</w:t>
            </w:r>
            <w:r>
              <w:rPr>
                <w:szCs w:val="21"/>
              </w:rPr>
              <w:t>0t/a</w:t>
            </w:r>
          </w:p>
        </w:tc>
      </w:tr>
      <w:tr w14:paraId="4480DF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restart"/>
            <w:vAlign w:val="center"/>
          </w:tcPr>
          <w:p w14:paraId="187787D1">
            <w:pPr>
              <w:pStyle w:val="56"/>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920" w:type="pct"/>
            <w:vAlign w:val="center"/>
          </w:tcPr>
          <w:p w14:paraId="156E275C">
            <w:pPr>
              <w:adjustRightInd w:val="0"/>
              <w:snapToGrid w:val="0"/>
              <w:spacing w:line="240" w:lineRule="exact"/>
              <w:jc w:val="center"/>
              <w:rPr>
                <w:szCs w:val="21"/>
              </w:rPr>
            </w:pPr>
            <w:r>
              <w:rPr>
                <w:szCs w:val="21"/>
              </w:rPr>
              <w:t>废润滑油</w:t>
            </w:r>
          </w:p>
        </w:tc>
        <w:tc>
          <w:tcPr>
            <w:tcW w:w="416" w:type="pct"/>
            <w:vAlign w:val="center"/>
          </w:tcPr>
          <w:p w14:paraId="4DDDB30D">
            <w:pPr>
              <w:pStyle w:val="56"/>
              <w:spacing w:beforeLines="0" w:afterLines="0" w:line="240" w:lineRule="auto"/>
              <w:rPr>
                <w:rFonts w:ascii="Times New Roman"/>
                <w:snapToGrid w:val="0"/>
                <w:kern w:val="21"/>
                <w:szCs w:val="21"/>
              </w:rPr>
            </w:pPr>
          </w:p>
        </w:tc>
        <w:tc>
          <w:tcPr>
            <w:tcW w:w="470" w:type="pct"/>
            <w:vAlign w:val="center"/>
          </w:tcPr>
          <w:p w14:paraId="22E47E12">
            <w:pPr>
              <w:pStyle w:val="56"/>
              <w:spacing w:beforeLines="0" w:afterLines="0" w:line="240" w:lineRule="auto"/>
              <w:rPr>
                <w:rFonts w:ascii="Times New Roman"/>
                <w:snapToGrid w:val="0"/>
                <w:kern w:val="21"/>
                <w:szCs w:val="21"/>
              </w:rPr>
            </w:pPr>
          </w:p>
        </w:tc>
        <w:tc>
          <w:tcPr>
            <w:tcW w:w="505" w:type="pct"/>
            <w:vAlign w:val="center"/>
          </w:tcPr>
          <w:p w14:paraId="4159FFCA">
            <w:pPr>
              <w:pStyle w:val="56"/>
              <w:spacing w:beforeLines="0" w:afterLines="0" w:line="240" w:lineRule="auto"/>
              <w:rPr>
                <w:rFonts w:ascii="Times New Roman"/>
                <w:snapToGrid w:val="0"/>
                <w:kern w:val="21"/>
                <w:szCs w:val="21"/>
              </w:rPr>
            </w:pPr>
          </w:p>
        </w:tc>
        <w:tc>
          <w:tcPr>
            <w:tcW w:w="749" w:type="pct"/>
            <w:vAlign w:val="center"/>
          </w:tcPr>
          <w:p w14:paraId="6F884F62">
            <w:pPr>
              <w:adjustRightInd w:val="0"/>
              <w:snapToGrid w:val="0"/>
              <w:spacing w:line="240" w:lineRule="exact"/>
              <w:jc w:val="center"/>
              <w:rPr>
                <w:szCs w:val="21"/>
              </w:rPr>
            </w:pPr>
            <w:r>
              <w:rPr>
                <w:szCs w:val="21"/>
              </w:rPr>
              <w:t>0.</w:t>
            </w:r>
            <w:r>
              <w:rPr>
                <w:rFonts w:hint="eastAsia"/>
                <w:szCs w:val="21"/>
              </w:rPr>
              <w:t>4t/a</w:t>
            </w:r>
          </w:p>
        </w:tc>
        <w:tc>
          <w:tcPr>
            <w:tcW w:w="444" w:type="pct"/>
            <w:vAlign w:val="center"/>
          </w:tcPr>
          <w:p w14:paraId="52E60DDB">
            <w:pPr>
              <w:pStyle w:val="56"/>
              <w:spacing w:beforeLines="0" w:afterLines="0" w:line="240" w:lineRule="auto"/>
              <w:rPr>
                <w:rFonts w:ascii="Times New Roman"/>
                <w:snapToGrid w:val="0"/>
                <w:kern w:val="21"/>
                <w:szCs w:val="21"/>
              </w:rPr>
            </w:pPr>
          </w:p>
        </w:tc>
        <w:tc>
          <w:tcPr>
            <w:tcW w:w="708" w:type="pct"/>
            <w:vAlign w:val="center"/>
          </w:tcPr>
          <w:p w14:paraId="49CBB377">
            <w:pPr>
              <w:adjustRightInd w:val="0"/>
              <w:snapToGrid w:val="0"/>
              <w:spacing w:line="240" w:lineRule="exact"/>
              <w:jc w:val="center"/>
              <w:rPr>
                <w:szCs w:val="21"/>
              </w:rPr>
            </w:pPr>
            <w:r>
              <w:rPr>
                <w:szCs w:val="21"/>
              </w:rPr>
              <w:t>0.</w:t>
            </w:r>
            <w:r>
              <w:rPr>
                <w:rFonts w:hint="eastAsia"/>
                <w:szCs w:val="21"/>
              </w:rPr>
              <w:t>4t/a</w:t>
            </w:r>
          </w:p>
        </w:tc>
        <w:tc>
          <w:tcPr>
            <w:tcW w:w="496" w:type="pct"/>
            <w:vAlign w:val="center"/>
          </w:tcPr>
          <w:p w14:paraId="49A2CFD0">
            <w:pPr>
              <w:adjustRightInd w:val="0"/>
              <w:snapToGrid w:val="0"/>
              <w:spacing w:line="240" w:lineRule="exact"/>
              <w:jc w:val="center"/>
              <w:rPr>
                <w:szCs w:val="21"/>
              </w:rPr>
            </w:pPr>
            <w:r>
              <w:rPr>
                <w:rFonts w:hint="eastAsia"/>
                <w:szCs w:val="21"/>
              </w:rPr>
              <w:t>+</w:t>
            </w:r>
            <w:r>
              <w:rPr>
                <w:szCs w:val="21"/>
              </w:rPr>
              <w:t>0.</w:t>
            </w:r>
            <w:r>
              <w:rPr>
                <w:rFonts w:hint="eastAsia"/>
                <w:szCs w:val="21"/>
              </w:rPr>
              <w:t>4t/a</w:t>
            </w:r>
          </w:p>
        </w:tc>
      </w:tr>
      <w:tr w14:paraId="3D355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3DAA9B79">
            <w:pPr>
              <w:pStyle w:val="56"/>
              <w:spacing w:beforeLines="0" w:afterLines="0" w:line="240" w:lineRule="auto"/>
              <w:rPr>
                <w:rFonts w:ascii="Times New Roman"/>
                <w:snapToGrid w:val="0"/>
                <w:kern w:val="21"/>
                <w:szCs w:val="21"/>
              </w:rPr>
            </w:pPr>
          </w:p>
        </w:tc>
        <w:tc>
          <w:tcPr>
            <w:tcW w:w="920" w:type="pct"/>
            <w:vAlign w:val="center"/>
          </w:tcPr>
          <w:p w14:paraId="6B621993">
            <w:pPr>
              <w:adjustRightInd w:val="0"/>
              <w:snapToGrid w:val="0"/>
              <w:spacing w:line="240" w:lineRule="exact"/>
              <w:jc w:val="center"/>
              <w:rPr>
                <w:szCs w:val="21"/>
              </w:rPr>
            </w:pPr>
            <w:r>
              <w:rPr>
                <w:szCs w:val="21"/>
              </w:rPr>
              <w:t>废润滑油桶</w:t>
            </w:r>
          </w:p>
        </w:tc>
        <w:tc>
          <w:tcPr>
            <w:tcW w:w="416" w:type="pct"/>
            <w:vAlign w:val="center"/>
          </w:tcPr>
          <w:p w14:paraId="736947A1">
            <w:pPr>
              <w:pStyle w:val="56"/>
              <w:spacing w:beforeLines="0" w:afterLines="0" w:line="240" w:lineRule="auto"/>
              <w:rPr>
                <w:rFonts w:ascii="Times New Roman"/>
                <w:snapToGrid w:val="0"/>
                <w:kern w:val="21"/>
                <w:szCs w:val="21"/>
              </w:rPr>
            </w:pPr>
          </w:p>
        </w:tc>
        <w:tc>
          <w:tcPr>
            <w:tcW w:w="470" w:type="pct"/>
            <w:vAlign w:val="center"/>
          </w:tcPr>
          <w:p w14:paraId="0348EFBD">
            <w:pPr>
              <w:pStyle w:val="56"/>
              <w:spacing w:beforeLines="0" w:afterLines="0" w:line="240" w:lineRule="auto"/>
              <w:rPr>
                <w:rFonts w:ascii="Times New Roman"/>
                <w:snapToGrid w:val="0"/>
                <w:kern w:val="21"/>
                <w:szCs w:val="21"/>
              </w:rPr>
            </w:pPr>
          </w:p>
        </w:tc>
        <w:tc>
          <w:tcPr>
            <w:tcW w:w="505" w:type="pct"/>
            <w:vAlign w:val="center"/>
          </w:tcPr>
          <w:p w14:paraId="25C0C834">
            <w:pPr>
              <w:pStyle w:val="56"/>
              <w:spacing w:beforeLines="0" w:afterLines="0" w:line="240" w:lineRule="auto"/>
              <w:rPr>
                <w:rFonts w:ascii="Times New Roman"/>
                <w:snapToGrid w:val="0"/>
                <w:kern w:val="21"/>
                <w:szCs w:val="21"/>
              </w:rPr>
            </w:pPr>
          </w:p>
        </w:tc>
        <w:tc>
          <w:tcPr>
            <w:tcW w:w="749" w:type="pct"/>
            <w:vAlign w:val="center"/>
          </w:tcPr>
          <w:p w14:paraId="037DEDA9">
            <w:pPr>
              <w:adjustRightInd w:val="0"/>
              <w:snapToGrid w:val="0"/>
              <w:spacing w:line="240" w:lineRule="exact"/>
              <w:jc w:val="center"/>
              <w:rPr>
                <w:szCs w:val="21"/>
              </w:rPr>
            </w:pPr>
            <w:r>
              <w:rPr>
                <w:szCs w:val="21"/>
              </w:rPr>
              <w:t>0.0</w:t>
            </w:r>
            <w:r>
              <w:rPr>
                <w:rFonts w:hint="eastAsia"/>
                <w:szCs w:val="21"/>
              </w:rPr>
              <w:t>13t/a</w:t>
            </w:r>
          </w:p>
        </w:tc>
        <w:tc>
          <w:tcPr>
            <w:tcW w:w="444" w:type="pct"/>
            <w:vAlign w:val="center"/>
          </w:tcPr>
          <w:p w14:paraId="2CEC78CA">
            <w:pPr>
              <w:pStyle w:val="56"/>
              <w:spacing w:beforeLines="0" w:afterLines="0" w:line="240" w:lineRule="auto"/>
              <w:rPr>
                <w:rFonts w:ascii="Times New Roman"/>
                <w:snapToGrid w:val="0"/>
                <w:kern w:val="21"/>
                <w:szCs w:val="21"/>
              </w:rPr>
            </w:pPr>
          </w:p>
        </w:tc>
        <w:tc>
          <w:tcPr>
            <w:tcW w:w="708" w:type="pct"/>
            <w:vAlign w:val="center"/>
          </w:tcPr>
          <w:p w14:paraId="69E95FBA">
            <w:pPr>
              <w:adjustRightInd w:val="0"/>
              <w:snapToGrid w:val="0"/>
              <w:spacing w:line="240" w:lineRule="exact"/>
              <w:jc w:val="center"/>
              <w:rPr>
                <w:szCs w:val="21"/>
              </w:rPr>
            </w:pPr>
            <w:r>
              <w:rPr>
                <w:szCs w:val="21"/>
              </w:rPr>
              <w:t>0.0</w:t>
            </w:r>
            <w:r>
              <w:rPr>
                <w:rFonts w:hint="eastAsia"/>
                <w:szCs w:val="21"/>
              </w:rPr>
              <w:t>13t/a</w:t>
            </w:r>
          </w:p>
        </w:tc>
        <w:tc>
          <w:tcPr>
            <w:tcW w:w="496" w:type="pct"/>
            <w:vAlign w:val="center"/>
          </w:tcPr>
          <w:p w14:paraId="6BB718CE">
            <w:pPr>
              <w:adjustRightInd w:val="0"/>
              <w:snapToGrid w:val="0"/>
              <w:spacing w:line="240" w:lineRule="exact"/>
              <w:jc w:val="center"/>
              <w:rPr>
                <w:szCs w:val="21"/>
              </w:rPr>
            </w:pPr>
            <w:r>
              <w:rPr>
                <w:rFonts w:hint="eastAsia"/>
                <w:szCs w:val="21"/>
              </w:rPr>
              <w:t>+</w:t>
            </w:r>
            <w:r>
              <w:rPr>
                <w:szCs w:val="21"/>
              </w:rPr>
              <w:t>0.0</w:t>
            </w:r>
            <w:r>
              <w:rPr>
                <w:rFonts w:hint="eastAsia"/>
                <w:szCs w:val="21"/>
              </w:rPr>
              <w:t>13t/a</w:t>
            </w:r>
          </w:p>
        </w:tc>
      </w:tr>
      <w:tr w14:paraId="4DDBE0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7BF672A8">
            <w:pPr>
              <w:pStyle w:val="56"/>
              <w:spacing w:beforeLines="0" w:afterLines="0" w:line="240" w:lineRule="auto"/>
              <w:rPr>
                <w:rFonts w:ascii="Times New Roman"/>
                <w:snapToGrid w:val="0"/>
                <w:kern w:val="21"/>
                <w:szCs w:val="21"/>
              </w:rPr>
            </w:pPr>
          </w:p>
        </w:tc>
        <w:tc>
          <w:tcPr>
            <w:tcW w:w="920" w:type="pct"/>
            <w:vAlign w:val="center"/>
          </w:tcPr>
          <w:p w14:paraId="1CB97333">
            <w:pPr>
              <w:adjustRightInd w:val="0"/>
              <w:snapToGrid w:val="0"/>
              <w:spacing w:line="240" w:lineRule="exact"/>
              <w:jc w:val="center"/>
              <w:rPr>
                <w:szCs w:val="21"/>
              </w:rPr>
            </w:pPr>
            <w:r>
              <w:rPr>
                <w:szCs w:val="21"/>
              </w:rPr>
              <w:t>废液压油</w:t>
            </w:r>
          </w:p>
        </w:tc>
        <w:tc>
          <w:tcPr>
            <w:tcW w:w="416" w:type="pct"/>
            <w:vAlign w:val="center"/>
          </w:tcPr>
          <w:p w14:paraId="22C95A7A">
            <w:pPr>
              <w:pStyle w:val="56"/>
              <w:spacing w:beforeLines="0" w:afterLines="0" w:line="240" w:lineRule="auto"/>
              <w:rPr>
                <w:rFonts w:ascii="Times New Roman"/>
                <w:snapToGrid w:val="0"/>
                <w:kern w:val="21"/>
                <w:szCs w:val="21"/>
              </w:rPr>
            </w:pPr>
          </w:p>
        </w:tc>
        <w:tc>
          <w:tcPr>
            <w:tcW w:w="470" w:type="pct"/>
            <w:vAlign w:val="center"/>
          </w:tcPr>
          <w:p w14:paraId="04E4D8AF">
            <w:pPr>
              <w:pStyle w:val="56"/>
              <w:spacing w:beforeLines="0" w:afterLines="0" w:line="240" w:lineRule="auto"/>
              <w:rPr>
                <w:rFonts w:ascii="Times New Roman"/>
                <w:snapToGrid w:val="0"/>
                <w:kern w:val="21"/>
                <w:szCs w:val="21"/>
              </w:rPr>
            </w:pPr>
          </w:p>
        </w:tc>
        <w:tc>
          <w:tcPr>
            <w:tcW w:w="505" w:type="pct"/>
            <w:vAlign w:val="center"/>
          </w:tcPr>
          <w:p w14:paraId="707306DA">
            <w:pPr>
              <w:pStyle w:val="56"/>
              <w:spacing w:beforeLines="0" w:afterLines="0" w:line="240" w:lineRule="auto"/>
              <w:rPr>
                <w:rFonts w:ascii="Times New Roman"/>
                <w:snapToGrid w:val="0"/>
                <w:kern w:val="21"/>
                <w:szCs w:val="21"/>
              </w:rPr>
            </w:pPr>
          </w:p>
        </w:tc>
        <w:tc>
          <w:tcPr>
            <w:tcW w:w="749" w:type="pct"/>
            <w:vAlign w:val="center"/>
          </w:tcPr>
          <w:p w14:paraId="5F4342DC">
            <w:pPr>
              <w:adjustRightInd w:val="0"/>
              <w:snapToGrid w:val="0"/>
              <w:spacing w:line="240" w:lineRule="exact"/>
              <w:jc w:val="center"/>
              <w:rPr>
                <w:szCs w:val="21"/>
              </w:rPr>
            </w:pPr>
            <w:r>
              <w:rPr>
                <w:szCs w:val="21"/>
              </w:rPr>
              <w:t>0.</w:t>
            </w:r>
            <w:r>
              <w:rPr>
                <w:rFonts w:hint="eastAsia"/>
                <w:szCs w:val="21"/>
              </w:rPr>
              <w:t>4t/a</w:t>
            </w:r>
          </w:p>
        </w:tc>
        <w:tc>
          <w:tcPr>
            <w:tcW w:w="444" w:type="pct"/>
            <w:vAlign w:val="center"/>
          </w:tcPr>
          <w:p w14:paraId="6C8C2318">
            <w:pPr>
              <w:pStyle w:val="56"/>
              <w:spacing w:beforeLines="0" w:afterLines="0" w:line="240" w:lineRule="auto"/>
              <w:rPr>
                <w:rFonts w:ascii="Times New Roman"/>
                <w:snapToGrid w:val="0"/>
                <w:kern w:val="21"/>
                <w:szCs w:val="21"/>
              </w:rPr>
            </w:pPr>
          </w:p>
        </w:tc>
        <w:tc>
          <w:tcPr>
            <w:tcW w:w="708" w:type="pct"/>
            <w:vAlign w:val="center"/>
          </w:tcPr>
          <w:p w14:paraId="0E347718">
            <w:pPr>
              <w:adjustRightInd w:val="0"/>
              <w:snapToGrid w:val="0"/>
              <w:spacing w:line="240" w:lineRule="exact"/>
              <w:jc w:val="center"/>
              <w:rPr>
                <w:szCs w:val="21"/>
              </w:rPr>
            </w:pPr>
            <w:r>
              <w:rPr>
                <w:szCs w:val="21"/>
              </w:rPr>
              <w:t>0.</w:t>
            </w:r>
            <w:r>
              <w:rPr>
                <w:rFonts w:hint="eastAsia"/>
                <w:szCs w:val="21"/>
              </w:rPr>
              <w:t>4t/a</w:t>
            </w:r>
          </w:p>
        </w:tc>
        <w:tc>
          <w:tcPr>
            <w:tcW w:w="496" w:type="pct"/>
            <w:vAlign w:val="center"/>
          </w:tcPr>
          <w:p w14:paraId="333083DB">
            <w:pPr>
              <w:adjustRightInd w:val="0"/>
              <w:snapToGrid w:val="0"/>
              <w:spacing w:line="240" w:lineRule="exact"/>
              <w:jc w:val="center"/>
              <w:rPr>
                <w:szCs w:val="21"/>
              </w:rPr>
            </w:pPr>
            <w:r>
              <w:rPr>
                <w:rFonts w:hint="eastAsia"/>
                <w:szCs w:val="21"/>
              </w:rPr>
              <w:t>+</w:t>
            </w:r>
            <w:r>
              <w:rPr>
                <w:szCs w:val="21"/>
              </w:rPr>
              <w:t>0.</w:t>
            </w:r>
            <w:r>
              <w:rPr>
                <w:rFonts w:hint="eastAsia"/>
                <w:szCs w:val="21"/>
              </w:rPr>
              <w:t>4t/a</w:t>
            </w:r>
          </w:p>
        </w:tc>
      </w:tr>
      <w:tr w14:paraId="488CA6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3" w:type="pct"/>
            <w:vMerge w:val="continue"/>
            <w:vAlign w:val="center"/>
          </w:tcPr>
          <w:p w14:paraId="4C827666">
            <w:pPr>
              <w:pStyle w:val="56"/>
              <w:spacing w:beforeLines="0" w:afterLines="0" w:line="240" w:lineRule="auto"/>
              <w:rPr>
                <w:rFonts w:ascii="Times New Roman"/>
                <w:snapToGrid w:val="0"/>
                <w:kern w:val="21"/>
                <w:szCs w:val="21"/>
              </w:rPr>
            </w:pPr>
          </w:p>
        </w:tc>
        <w:tc>
          <w:tcPr>
            <w:tcW w:w="920" w:type="pct"/>
            <w:vAlign w:val="center"/>
          </w:tcPr>
          <w:p w14:paraId="5073A966">
            <w:pPr>
              <w:adjustRightInd w:val="0"/>
              <w:snapToGrid w:val="0"/>
              <w:spacing w:line="240" w:lineRule="exact"/>
              <w:jc w:val="center"/>
              <w:rPr>
                <w:szCs w:val="21"/>
              </w:rPr>
            </w:pPr>
            <w:r>
              <w:rPr>
                <w:szCs w:val="21"/>
              </w:rPr>
              <w:t>废液压油桶</w:t>
            </w:r>
          </w:p>
        </w:tc>
        <w:tc>
          <w:tcPr>
            <w:tcW w:w="416" w:type="pct"/>
            <w:vAlign w:val="center"/>
          </w:tcPr>
          <w:p w14:paraId="40EEF7B0">
            <w:pPr>
              <w:pStyle w:val="56"/>
              <w:spacing w:beforeLines="0" w:afterLines="0" w:line="240" w:lineRule="auto"/>
              <w:rPr>
                <w:rFonts w:ascii="Times New Roman"/>
                <w:snapToGrid w:val="0"/>
                <w:kern w:val="21"/>
                <w:szCs w:val="21"/>
              </w:rPr>
            </w:pPr>
          </w:p>
        </w:tc>
        <w:tc>
          <w:tcPr>
            <w:tcW w:w="470" w:type="pct"/>
            <w:vAlign w:val="center"/>
          </w:tcPr>
          <w:p w14:paraId="02ED4EB1">
            <w:pPr>
              <w:pStyle w:val="56"/>
              <w:spacing w:beforeLines="0" w:afterLines="0" w:line="240" w:lineRule="auto"/>
              <w:rPr>
                <w:rFonts w:ascii="Times New Roman"/>
                <w:snapToGrid w:val="0"/>
                <w:kern w:val="21"/>
                <w:szCs w:val="21"/>
              </w:rPr>
            </w:pPr>
          </w:p>
        </w:tc>
        <w:tc>
          <w:tcPr>
            <w:tcW w:w="505" w:type="pct"/>
            <w:vAlign w:val="center"/>
          </w:tcPr>
          <w:p w14:paraId="222294DD">
            <w:pPr>
              <w:pStyle w:val="56"/>
              <w:spacing w:beforeLines="0" w:afterLines="0" w:line="240" w:lineRule="auto"/>
              <w:rPr>
                <w:rFonts w:ascii="Times New Roman"/>
                <w:snapToGrid w:val="0"/>
                <w:kern w:val="21"/>
                <w:szCs w:val="21"/>
              </w:rPr>
            </w:pPr>
          </w:p>
        </w:tc>
        <w:tc>
          <w:tcPr>
            <w:tcW w:w="749" w:type="pct"/>
            <w:vAlign w:val="center"/>
          </w:tcPr>
          <w:p w14:paraId="2537F830">
            <w:pPr>
              <w:adjustRightInd w:val="0"/>
              <w:snapToGrid w:val="0"/>
              <w:spacing w:line="240" w:lineRule="exact"/>
              <w:jc w:val="center"/>
              <w:rPr>
                <w:szCs w:val="21"/>
              </w:rPr>
            </w:pPr>
            <w:r>
              <w:rPr>
                <w:szCs w:val="21"/>
              </w:rPr>
              <w:t>0.0</w:t>
            </w:r>
            <w:r>
              <w:rPr>
                <w:rFonts w:hint="eastAsia"/>
                <w:szCs w:val="21"/>
              </w:rPr>
              <w:t>13t/a</w:t>
            </w:r>
          </w:p>
        </w:tc>
        <w:tc>
          <w:tcPr>
            <w:tcW w:w="444" w:type="pct"/>
            <w:vAlign w:val="center"/>
          </w:tcPr>
          <w:p w14:paraId="3B7682D1">
            <w:pPr>
              <w:pStyle w:val="56"/>
              <w:spacing w:beforeLines="0" w:afterLines="0" w:line="240" w:lineRule="auto"/>
              <w:rPr>
                <w:rFonts w:ascii="Times New Roman"/>
                <w:snapToGrid w:val="0"/>
                <w:kern w:val="21"/>
                <w:szCs w:val="21"/>
              </w:rPr>
            </w:pPr>
          </w:p>
        </w:tc>
        <w:tc>
          <w:tcPr>
            <w:tcW w:w="708" w:type="pct"/>
            <w:vAlign w:val="center"/>
          </w:tcPr>
          <w:p w14:paraId="24512A33">
            <w:pPr>
              <w:adjustRightInd w:val="0"/>
              <w:snapToGrid w:val="0"/>
              <w:spacing w:line="240" w:lineRule="exact"/>
              <w:jc w:val="center"/>
              <w:rPr>
                <w:szCs w:val="21"/>
              </w:rPr>
            </w:pPr>
            <w:r>
              <w:rPr>
                <w:szCs w:val="21"/>
              </w:rPr>
              <w:t>0.0</w:t>
            </w:r>
            <w:r>
              <w:rPr>
                <w:rFonts w:hint="eastAsia"/>
                <w:szCs w:val="21"/>
              </w:rPr>
              <w:t>13t/a</w:t>
            </w:r>
          </w:p>
        </w:tc>
        <w:tc>
          <w:tcPr>
            <w:tcW w:w="496" w:type="pct"/>
            <w:vAlign w:val="center"/>
          </w:tcPr>
          <w:p w14:paraId="2AF1CBB5">
            <w:pPr>
              <w:adjustRightInd w:val="0"/>
              <w:snapToGrid w:val="0"/>
              <w:spacing w:line="240" w:lineRule="exact"/>
              <w:jc w:val="center"/>
              <w:rPr>
                <w:szCs w:val="21"/>
              </w:rPr>
            </w:pPr>
            <w:r>
              <w:rPr>
                <w:rFonts w:hint="eastAsia"/>
                <w:szCs w:val="21"/>
              </w:rPr>
              <w:t>+</w:t>
            </w:r>
            <w:r>
              <w:rPr>
                <w:szCs w:val="21"/>
              </w:rPr>
              <w:t>0.0</w:t>
            </w:r>
            <w:r>
              <w:rPr>
                <w:rFonts w:hint="eastAsia"/>
                <w:szCs w:val="21"/>
              </w:rPr>
              <w:t>13t/a</w:t>
            </w:r>
          </w:p>
        </w:tc>
      </w:tr>
      <w:tr w14:paraId="48B787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93" w:type="pct"/>
            <w:vMerge w:val="continue"/>
            <w:vAlign w:val="center"/>
          </w:tcPr>
          <w:p w14:paraId="4F769C72">
            <w:pPr>
              <w:pStyle w:val="56"/>
              <w:spacing w:beforeLines="0" w:afterLines="0" w:line="240" w:lineRule="auto"/>
              <w:rPr>
                <w:rFonts w:ascii="Times New Roman"/>
                <w:snapToGrid w:val="0"/>
                <w:kern w:val="21"/>
                <w:szCs w:val="21"/>
              </w:rPr>
            </w:pPr>
          </w:p>
        </w:tc>
        <w:tc>
          <w:tcPr>
            <w:tcW w:w="920" w:type="pct"/>
            <w:vAlign w:val="center"/>
          </w:tcPr>
          <w:p w14:paraId="4A18ACE2">
            <w:pPr>
              <w:adjustRightInd w:val="0"/>
              <w:snapToGrid w:val="0"/>
              <w:spacing w:line="240" w:lineRule="exact"/>
              <w:jc w:val="center"/>
              <w:rPr>
                <w:szCs w:val="21"/>
              </w:rPr>
            </w:pPr>
            <w:bookmarkStart w:id="236" w:name="OLE_LINK141"/>
            <w:bookmarkStart w:id="237" w:name="OLE_LINK142"/>
            <w:r>
              <w:rPr>
                <w:szCs w:val="21"/>
              </w:rPr>
              <w:t>废活性炭</w:t>
            </w:r>
            <w:bookmarkEnd w:id="236"/>
            <w:bookmarkEnd w:id="237"/>
          </w:p>
        </w:tc>
        <w:tc>
          <w:tcPr>
            <w:tcW w:w="416" w:type="pct"/>
            <w:vAlign w:val="center"/>
          </w:tcPr>
          <w:p w14:paraId="72BF91B9">
            <w:pPr>
              <w:pStyle w:val="56"/>
              <w:spacing w:beforeLines="0" w:afterLines="0" w:line="240" w:lineRule="auto"/>
              <w:rPr>
                <w:rFonts w:ascii="Times New Roman"/>
                <w:snapToGrid w:val="0"/>
                <w:kern w:val="21"/>
                <w:szCs w:val="21"/>
              </w:rPr>
            </w:pPr>
          </w:p>
        </w:tc>
        <w:tc>
          <w:tcPr>
            <w:tcW w:w="470" w:type="pct"/>
            <w:vAlign w:val="center"/>
          </w:tcPr>
          <w:p w14:paraId="04B9DD9F">
            <w:pPr>
              <w:pStyle w:val="56"/>
              <w:spacing w:beforeLines="0" w:afterLines="0" w:line="240" w:lineRule="auto"/>
              <w:rPr>
                <w:rFonts w:ascii="Times New Roman"/>
                <w:snapToGrid w:val="0"/>
                <w:kern w:val="21"/>
                <w:szCs w:val="21"/>
              </w:rPr>
            </w:pPr>
          </w:p>
        </w:tc>
        <w:tc>
          <w:tcPr>
            <w:tcW w:w="505" w:type="pct"/>
            <w:vAlign w:val="center"/>
          </w:tcPr>
          <w:p w14:paraId="6E93CA6C">
            <w:pPr>
              <w:pStyle w:val="56"/>
              <w:spacing w:beforeLines="0" w:afterLines="0" w:line="240" w:lineRule="auto"/>
              <w:rPr>
                <w:rFonts w:ascii="Times New Roman"/>
                <w:snapToGrid w:val="0"/>
                <w:kern w:val="21"/>
                <w:szCs w:val="21"/>
              </w:rPr>
            </w:pPr>
          </w:p>
        </w:tc>
        <w:tc>
          <w:tcPr>
            <w:tcW w:w="749" w:type="pct"/>
            <w:vAlign w:val="center"/>
          </w:tcPr>
          <w:p w14:paraId="6D05EA3D">
            <w:pPr>
              <w:adjustRightInd w:val="0"/>
              <w:snapToGrid w:val="0"/>
              <w:spacing w:line="240" w:lineRule="exact"/>
              <w:jc w:val="center"/>
              <w:rPr>
                <w:szCs w:val="21"/>
              </w:rPr>
            </w:pPr>
            <w:r>
              <w:rPr>
                <w:szCs w:val="21"/>
              </w:rPr>
              <w:t>0.344t/a</w:t>
            </w:r>
          </w:p>
        </w:tc>
        <w:tc>
          <w:tcPr>
            <w:tcW w:w="444" w:type="pct"/>
            <w:vAlign w:val="center"/>
          </w:tcPr>
          <w:p w14:paraId="4679B50F">
            <w:pPr>
              <w:pStyle w:val="56"/>
              <w:spacing w:beforeLines="0" w:afterLines="0" w:line="240" w:lineRule="auto"/>
              <w:rPr>
                <w:rFonts w:ascii="Times New Roman"/>
                <w:snapToGrid w:val="0"/>
                <w:kern w:val="21"/>
                <w:szCs w:val="21"/>
              </w:rPr>
            </w:pPr>
          </w:p>
        </w:tc>
        <w:tc>
          <w:tcPr>
            <w:tcW w:w="708" w:type="pct"/>
            <w:vAlign w:val="center"/>
          </w:tcPr>
          <w:p w14:paraId="31A99171">
            <w:pPr>
              <w:adjustRightInd w:val="0"/>
              <w:snapToGrid w:val="0"/>
              <w:spacing w:line="240" w:lineRule="exact"/>
              <w:jc w:val="center"/>
              <w:rPr>
                <w:szCs w:val="21"/>
              </w:rPr>
            </w:pPr>
            <w:r>
              <w:rPr>
                <w:szCs w:val="21"/>
              </w:rPr>
              <w:t>0.344t/a</w:t>
            </w:r>
          </w:p>
        </w:tc>
        <w:tc>
          <w:tcPr>
            <w:tcW w:w="496" w:type="pct"/>
            <w:vAlign w:val="center"/>
          </w:tcPr>
          <w:p w14:paraId="5897B5B7">
            <w:pPr>
              <w:adjustRightInd w:val="0"/>
              <w:snapToGrid w:val="0"/>
              <w:spacing w:line="240" w:lineRule="exact"/>
              <w:jc w:val="center"/>
              <w:rPr>
                <w:szCs w:val="21"/>
              </w:rPr>
            </w:pPr>
            <w:r>
              <w:rPr>
                <w:szCs w:val="21"/>
              </w:rPr>
              <w:t>+0.344t/a</w:t>
            </w:r>
          </w:p>
        </w:tc>
      </w:tr>
    </w:tbl>
    <w:p w14:paraId="4FC6ED2A">
      <w:pPr>
        <w:pStyle w:val="56"/>
        <w:spacing w:beforeLines="0" w:afterLines="0" w:line="360" w:lineRule="auto"/>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p>
    <w:p w14:paraId="40C5815A">
      <w:pPr>
        <w:sectPr>
          <w:pgSz w:w="16838" w:h="11906" w:orient="landscape"/>
          <w:pgMar w:top="1531" w:right="1701" w:bottom="1531" w:left="1701" w:header="851" w:footer="851" w:gutter="0"/>
          <w:cols w:space="720" w:num="1"/>
          <w:docGrid w:linePitch="312" w:charSpace="0"/>
        </w:sectPr>
      </w:pPr>
    </w:p>
    <w:p w14:paraId="437F22E1">
      <w:pPr>
        <w:rPr>
          <w:b/>
          <w:sz w:val="24"/>
          <w:lang w:val="zh-CN"/>
        </w:rPr>
      </w:pPr>
      <w:bookmarkStart w:id="238" w:name="_Hlk102142773"/>
      <w:r>
        <w:rPr>
          <w:b/>
          <w:sz w:val="24"/>
          <w:lang w:val="zh-CN"/>
        </w:rPr>
        <w:t>附件1：委托书</w:t>
      </w:r>
    </w:p>
    <w:p w14:paraId="7FAB5F36">
      <w:pPr>
        <w:rPr>
          <w:b/>
          <w:lang w:val="zh-CN"/>
        </w:rPr>
      </w:pPr>
    </w:p>
    <w:p w14:paraId="38F09FF7">
      <w:pPr>
        <w:rPr>
          <w:b/>
          <w:lang w:val="zh-CN"/>
        </w:rPr>
      </w:pPr>
    </w:p>
    <w:p w14:paraId="5063F9FD">
      <w:pPr>
        <w:rPr>
          <w:b/>
          <w:lang w:val="zh-CN"/>
        </w:rPr>
      </w:pPr>
    </w:p>
    <w:bookmarkEnd w:id="238"/>
    <w:p w14:paraId="4679F425">
      <w:pPr>
        <w:ind w:right="1120" w:firstLine="640"/>
        <w:jc w:val="right"/>
        <w:rPr>
          <w:sz w:val="32"/>
          <w:szCs w:val="32"/>
        </w:rPr>
      </w:pPr>
      <w:r>
        <w:drawing>
          <wp:inline distT="0" distB="0" distL="0" distR="0">
            <wp:extent cx="5216525" cy="7190740"/>
            <wp:effectExtent l="0" t="0" r="317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16525" cy="7190740"/>
                    </a:xfrm>
                    <a:prstGeom prst="rect">
                      <a:avLst/>
                    </a:prstGeom>
                    <a:noFill/>
                    <a:ln>
                      <a:noFill/>
                    </a:ln>
                  </pic:spPr>
                </pic:pic>
              </a:graphicData>
            </a:graphic>
          </wp:inline>
        </w:drawing>
      </w:r>
    </w:p>
    <w:p w14:paraId="1873BB6B"/>
    <w:p w14:paraId="0726F1BA"/>
    <w:p w14:paraId="1A3E0D06"/>
    <w:p w14:paraId="33B1E653"/>
    <w:p w14:paraId="4414E68F">
      <w:pPr>
        <w:rPr>
          <w:b/>
          <w:sz w:val="24"/>
          <w:lang w:val="zh-CN"/>
        </w:rPr>
      </w:pPr>
      <w:r>
        <w:rPr>
          <w:b/>
          <w:sz w:val="24"/>
          <w:lang w:val="zh-CN"/>
        </w:rPr>
        <w:t>附件2：</w:t>
      </w:r>
      <w:r>
        <w:rPr>
          <w:rFonts w:hint="eastAsia"/>
          <w:b/>
          <w:sz w:val="24"/>
          <w:lang w:val="zh-CN"/>
        </w:rPr>
        <w:t>承诺书</w:t>
      </w:r>
    </w:p>
    <w:p w14:paraId="12000690">
      <w:pPr>
        <w:rPr>
          <w:b/>
          <w:bCs/>
        </w:rPr>
      </w:pPr>
    </w:p>
    <w:p w14:paraId="4DC0FED4">
      <w:pPr>
        <w:rPr>
          <w:b/>
          <w:bCs/>
        </w:rPr>
      </w:pPr>
    </w:p>
    <w:p w14:paraId="17C7BE21">
      <w:pPr>
        <w:ind w:right="480" w:firstLine="640"/>
        <w:jc w:val="center"/>
        <w:rPr>
          <w:sz w:val="32"/>
          <w:szCs w:val="32"/>
        </w:rPr>
      </w:pPr>
      <w:r>
        <w:drawing>
          <wp:inline distT="0" distB="0" distL="0" distR="0">
            <wp:extent cx="5445125" cy="7096760"/>
            <wp:effectExtent l="0" t="0" r="3175"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445125" cy="7096760"/>
                    </a:xfrm>
                    <a:prstGeom prst="rect">
                      <a:avLst/>
                    </a:prstGeom>
                    <a:noFill/>
                    <a:ln>
                      <a:noFill/>
                    </a:ln>
                  </pic:spPr>
                </pic:pic>
              </a:graphicData>
            </a:graphic>
          </wp:inline>
        </w:drawing>
      </w:r>
    </w:p>
    <w:p w14:paraId="478F2DCB"/>
    <w:p w14:paraId="141AD2EC"/>
    <w:p w14:paraId="604B1E59">
      <w:pPr>
        <w:rPr>
          <w:sz w:val="32"/>
          <w:szCs w:val="32"/>
        </w:rPr>
      </w:pPr>
      <w:r>
        <w:rPr>
          <w:sz w:val="32"/>
          <w:szCs w:val="32"/>
        </w:rPr>
        <w:t xml:space="preserve"> </w:t>
      </w:r>
    </w:p>
    <w:p w14:paraId="1710410A">
      <w:pPr>
        <w:spacing w:line="900" w:lineRule="exact"/>
        <w:ind w:firstLine="1920" w:firstLineChars="600"/>
        <w:jc w:val="right"/>
        <w:rPr>
          <w:sz w:val="32"/>
          <w:szCs w:val="32"/>
        </w:rPr>
        <w:sectPr>
          <w:footerReference r:id="rId6" w:type="default"/>
          <w:pgSz w:w="11906" w:h="16838"/>
          <w:pgMar w:top="1440" w:right="1366" w:bottom="1440" w:left="1366" w:header="851" w:footer="992" w:gutter="0"/>
          <w:cols w:space="720" w:num="1"/>
          <w:docGrid w:type="lines" w:linePitch="312" w:charSpace="0"/>
        </w:sectPr>
      </w:pPr>
    </w:p>
    <w:p w14:paraId="4793F8D9">
      <w:pPr>
        <w:spacing w:line="360" w:lineRule="auto"/>
        <w:rPr>
          <w:b/>
          <w:sz w:val="24"/>
          <w:lang w:val="zh-CN"/>
        </w:rPr>
      </w:pPr>
      <w:r>
        <w:rPr>
          <w:rFonts w:hint="eastAsia"/>
          <w:b/>
          <w:sz w:val="24"/>
          <w:lang w:val="zh-CN"/>
        </w:rPr>
        <w:t>附件</w:t>
      </w:r>
      <w:r>
        <w:rPr>
          <w:b/>
          <w:sz w:val="24"/>
          <w:lang w:val="zh-CN"/>
        </w:rPr>
        <w:t>3</w:t>
      </w:r>
      <w:r>
        <w:rPr>
          <w:rFonts w:hint="eastAsia"/>
          <w:b/>
          <w:sz w:val="24"/>
          <w:lang w:val="zh-CN"/>
        </w:rPr>
        <w:t>：营业执照</w:t>
      </w:r>
    </w:p>
    <w:p w14:paraId="12C80308">
      <w:pPr>
        <w:jc w:val="center"/>
      </w:pPr>
    </w:p>
    <w:p w14:paraId="5A78C80E">
      <w:pPr>
        <w:jc w:val="center"/>
      </w:pPr>
      <w:r>
        <w:drawing>
          <wp:inline distT="0" distB="0" distL="0" distR="0">
            <wp:extent cx="5850255" cy="7959725"/>
            <wp:effectExtent l="0" t="0" r="0" b="317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850255" cy="7959725"/>
                    </a:xfrm>
                    <a:prstGeom prst="rect">
                      <a:avLst/>
                    </a:prstGeom>
                    <a:noFill/>
                    <a:ln>
                      <a:noFill/>
                    </a:ln>
                  </pic:spPr>
                </pic:pic>
              </a:graphicData>
            </a:graphic>
          </wp:inline>
        </w:drawing>
      </w:r>
    </w:p>
    <w:p w14:paraId="19FF595B">
      <w:pPr>
        <w:rPr>
          <w:rFonts w:hAnsi="宋体" w:cs="宋体"/>
          <w:szCs w:val="21"/>
        </w:rPr>
        <w:sectPr>
          <w:pgSz w:w="11906" w:h="16838"/>
          <w:pgMar w:top="1440" w:right="1349" w:bottom="1440" w:left="1349" w:header="851" w:footer="992" w:gutter="0"/>
          <w:cols w:space="720" w:num="1"/>
          <w:docGrid w:type="linesAndChars" w:linePitch="312" w:charSpace="0"/>
        </w:sectPr>
      </w:pPr>
    </w:p>
    <w:p w14:paraId="58845BEE">
      <w:pPr>
        <w:spacing w:line="360" w:lineRule="auto"/>
        <w:rPr>
          <w:b/>
          <w:sz w:val="24"/>
          <w:lang w:val="zh-CN"/>
        </w:rPr>
      </w:pPr>
      <w:r>
        <w:rPr>
          <w:rFonts w:hint="eastAsia"/>
          <w:b/>
          <w:sz w:val="24"/>
          <w:lang w:val="zh-CN"/>
        </w:rPr>
        <w:t>附件</w:t>
      </w:r>
      <w:r>
        <w:rPr>
          <w:b/>
          <w:sz w:val="24"/>
          <w:lang w:val="zh-CN"/>
        </w:rPr>
        <w:t>4</w:t>
      </w:r>
      <w:r>
        <w:rPr>
          <w:rFonts w:hint="eastAsia"/>
          <w:b/>
          <w:sz w:val="24"/>
          <w:lang w:val="zh-CN"/>
        </w:rPr>
        <w:t>：备案证明</w:t>
      </w:r>
    </w:p>
    <w:p w14:paraId="073AB055"/>
    <w:p w14:paraId="341A9C40">
      <w:pPr>
        <w:sectPr>
          <w:pgSz w:w="11906" w:h="16838"/>
          <w:pgMar w:top="1440" w:right="1349" w:bottom="1440" w:left="1349" w:header="851" w:footer="992" w:gutter="0"/>
          <w:cols w:space="720" w:num="1"/>
          <w:docGrid w:type="lines" w:linePitch="312" w:charSpace="0"/>
        </w:sectPr>
      </w:pPr>
      <w:r>
        <w:rPr>
          <w:rFonts w:ascii="宋体" w:hAnsi="宋体" w:cs="宋体"/>
          <w:sz w:val="32"/>
          <w:szCs w:val="32"/>
        </w:rPr>
        <w:drawing>
          <wp:inline distT="0" distB="0" distL="0" distR="0">
            <wp:extent cx="5267960" cy="7543800"/>
            <wp:effectExtent l="0" t="0" r="8890" b="0"/>
            <wp:docPr id="70" name="图片 70" descr="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备案证明"/>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67960" cy="7543800"/>
                    </a:xfrm>
                    <a:prstGeom prst="rect">
                      <a:avLst/>
                    </a:prstGeom>
                    <a:noFill/>
                    <a:ln>
                      <a:noFill/>
                    </a:ln>
                  </pic:spPr>
                </pic:pic>
              </a:graphicData>
            </a:graphic>
          </wp:inline>
        </w:drawing>
      </w:r>
    </w:p>
    <w:p w14:paraId="4C1A4758">
      <w:pPr>
        <w:rPr>
          <w:b/>
          <w:sz w:val="24"/>
        </w:rPr>
      </w:pPr>
      <w:r>
        <w:rPr>
          <w:b/>
          <w:sz w:val="24"/>
        </w:rPr>
        <w:t>附件5</w:t>
      </w:r>
      <w:r>
        <w:rPr>
          <w:rFonts w:hint="eastAsia"/>
          <w:b/>
          <w:sz w:val="24"/>
        </w:rPr>
        <w:t>：位置说明</w:t>
      </w:r>
    </w:p>
    <w:p w14:paraId="7EE75269">
      <w:pPr>
        <w:rPr>
          <w:b/>
          <w:sz w:val="24"/>
        </w:rPr>
      </w:pPr>
    </w:p>
    <w:p w14:paraId="2F3C5D8B">
      <w:pPr>
        <w:rPr>
          <w:b/>
          <w:sz w:val="24"/>
        </w:rPr>
      </w:pPr>
      <w:r>
        <w:rPr>
          <w:b/>
          <w:sz w:val="24"/>
        </w:rPr>
        <w:drawing>
          <wp:inline distT="0" distB="0" distL="0" distR="0">
            <wp:extent cx="5216525" cy="6452870"/>
            <wp:effectExtent l="0" t="0" r="3175" b="5080"/>
            <wp:docPr id="69" name="图片 69" descr="174012923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7401292350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16525" cy="6452870"/>
                    </a:xfrm>
                    <a:prstGeom prst="rect">
                      <a:avLst/>
                    </a:prstGeom>
                    <a:noFill/>
                    <a:ln>
                      <a:noFill/>
                    </a:ln>
                  </pic:spPr>
                </pic:pic>
              </a:graphicData>
            </a:graphic>
          </wp:inline>
        </w:drawing>
      </w:r>
    </w:p>
    <w:p w14:paraId="1682979C">
      <w:pPr>
        <w:rPr>
          <w:b/>
          <w:sz w:val="24"/>
        </w:rPr>
      </w:pPr>
    </w:p>
    <w:p w14:paraId="69805D83">
      <w:pPr>
        <w:rPr>
          <w:b/>
          <w:sz w:val="24"/>
        </w:rPr>
      </w:pPr>
    </w:p>
    <w:p w14:paraId="77AC0F04">
      <w:pPr>
        <w:rPr>
          <w:b/>
          <w:sz w:val="24"/>
        </w:rPr>
      </w:pPr>
    </w:p>
    <w:p w14:paraId="2C17665A">
      <w:pPr>
        <w:rPr>
          <w:b/>
          <w:sz w:val="24"/>
        </w:rPr>
      </w:pPr>
    </w:p>
    <w:p w14:paraId="70D2C918">
      <w:pPr>
        <w:rPr>
          <w:b/>
          <w:sz w:val="24"/>
        </w:rPr>
      </w:pPr>
    </w:p>
    <w:p w14:paraId="0D0FB971">
      <w:pPr>
        <w:rPr>
          <w:b/>
          <w:sz w:val="24"/>
        </w:rPr>
      </w:pPr>
    </w:p>
    <w:p w14:paraId="3FF34C81">
      <w:pPr>
        <w:rPr>
          <w:b/>
          <w:sz w:val="24"/>
        </w:rPr>
      </w:pPr>
    </w:p>
    <w:p w14:paraId="643372E6">
      <w:pPr>
        <w:rPr>
          <w:b/>
          <w:sz w:val="24"/>
        </w:rPr>
      </w:pPr>
    </w:p>
    <w:p w14:paraId="4EFEF649">
      <w:pPr>
        <w:rPr>
          <w:b/>
          <w:sz w:val="24"/>
        </w:rPr>
      </w:pPr>
    </w:p>
    <w:p w14:paraId="6D470F71">
      <w:pPr>
        <w:rPr>
          <w:b/>
          <w:sz w:val="24"/>
        </w:rPr>
      </w:pPr>
      <w:r>
        <w:rPr>
          <w:rFonts w:hint="eastAsia"/>
          <w:b/>
          <w:sz w:val="24"/>
        </w:rPr>
        <w:t>附件</w:t>
      </w:r>
      <w:r>
        <w:rPr>
          <w:b/>
          <w:sz w:val="24"/>
        </w:rPr>
        <w:t>6</w:t>
      </w:r>
      <w:r>
        <w:rPr>
          <w:rFonts w:hint="eastAsia"/>
          <w:b/>
          <w:sz w:val="24"/>
        </w:rPr>
        <w:t>：</w:t>
      </w:r>
      <w:r>
        <w:rPr>
          <w:b/>
          <w:sz w:val="24"/>
        </w:rPr>
        <w:t>审查意见</w:t>
      </w:r>
    </w:p>
    <w:p w14:paraId="18646017">
      <w:pPr>
        <w:rPr>
          <w:b/>
          <w:sz w:val="24"/>
        </w:rPr>
      </w:pPr>
    </w:p>
    <w:p w14:paraId="711A9FF2"/>
    <w:p w14:paraId="202000F2">
      <w:r>
        <w:drawing>
          <wp:anchor distT="0" distB="0" distL="114300" distR="114300" simplePos="0" relativeHeight="251669504" behindDoc="1" locked="0" layoutInCell="1" allowOverlap="1">
            <wp:simplePos x="0" y="0"/>
            <wp:positionH relativeFrom="margin">
              <wp:align>center</wp:align>
            </wp:positionH>
            <wp:positionV relativeFrom="paragraph">
              <wp:posOffset>12700</wp:posOffset>
            </wp:positionV>
            <wp:extent cx="5527040" cy="7823200"/>
            <wp:effectExtent l="0" t="0" r="0" b="6350"/>
            <wp:wrapNone/>
            <wp:docPr id="86" name="图片 86" descr="山东省生态环境厅关于《梁山经济开发区发展规划（2022—2035年）环境影响报告书》的审查意见(2)(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山东省生态环境厅关于《梁山经济开发区发展规划（2022—2035年）环境影响报告书》的审查意见(2)(1)_页面_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527040" cy="7823200"/>
                    </a:xfrm>
                    <a:prstGeom prst="rect">
                      <a:avLst/>
                    </a:prstGeom>
                    <a:noFill/>
                    <a:ln>
                      <a:noFill/>
                    </a:ln>
                  </pic:spPr>
                </pic:pic>
              </a:graphicData>
            </a:graphic>
          </wp:anchor>
        </w:drawing>
      </w:r>
    </w:p>
    <w:p w14:paraId="6DAC7CBC"/>
    <w:p w14:paraId="63B08159"/>
    <w:p w14:paraId="30A0B845"/>
    <w:p w14:paraId="659B2024"/>
    <w:p w14:paraId="33B5100A"/>
    <w:p w14:paraId="77886299">
      <w:pPr>
        <w:widowControl/>
        <w:jc w:val="left"/>
      </w:pPr>
      <w:r>
        <w:br w:type="page"/>
      </w:r>
      <w:r>
        <w:br w:type="page"/>
      </w:r>
      <w:r>
        <w:drawing>
          <wp:anchor distT="0" distB="0" distL="114300" distR="114300" simplePos="0" relativeHeight="251681792" behindDoc="1" locked="0" layoutInCell="1" allowOverlap="1">
            <wp:simplePos x="0" y="0"/>
            <wp:positionH relativeFrom="column">
              <wp:posOffset>0</wp:posOffset>
            </wp:positionH>
            <wp:positionV relativeFrom="paragraph">
              <wp:posOffset>0</wp:posOffset>
            </wp:positionV>
            <wp:extent cx="6269990" cy="8872855"/>
            <wp:effectExtent l="0" t="0" r="0" b="4445"/>
            <wp:wrapNone/>
            <wp:docPr id="88" name="图片 88" descr="山东省生态环境厅关于《梁山经济开发区发展规划（2022—2035年）环境影响报告书》的审查意见(2)(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山东省生态环境厅关于《梁山经济开发区发展规划（2022—2035年）环境影响报告书》的审查意见(2)(1)_页面_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269990" cy="8872855"/>
                    </a:xfrm>
                    <a:prstGeom prst="rect">
                      <a:avLst/>
                    </a:prstGeom>
                    <a:noFill/>
                    <a:ln>
                      <a:noFill/>
                    </a:ln>
                  </pic:spPr>
                </pic:pic>
              </a:graphicData>
            </a:graphic>
          </wp:anchor>
        </w:drawing>
      </w:r>
    </w:p>
    <w:p w14:paraId="5C563E73">
      <w:r>
        <w:drawing>
          <wp:anchor distT="0" distB="0" distL="114300" distR="114300" simplePos="0" relativeHeight="251670528" behindDoc="1" locked="0" layoutInCell="1" allowOverlap="1">
            <wp:simplePos x="0" y="0"/>
            <wp:positionH relativeFrom="margin">
              <wp:align>left</wp:align>
            </wp:positionH>
            <wp:positionV relativeFrom="paragraph">
              <wp:posOffset>81915</wp:posOffset>
            </wp:positionV>
            <wp:extent cx="5967730" cy="8444230"/>
            <wp:effectExtent l="0" t="0" r="0" b="0"/>
            <wp:wrapNone/>
            <wp:docPr id="84" name="图片 84" descr="山东省生态环境厅关于《梁山经济开发区发展规划（2022—2035年）环境影响报告书》的审查意见(2)(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山东省生态环境厅关于《梁山经济开发区发展规划（2022—2035年）环境影响报告书》的审查意见(2)(1)_页面_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67730" cy="8444230"/>
                    </a:xfrm>
                    <a:prstGeom prst="rect">
                      <a:avLst/>
                    </a:prstGeom>
                    <a:noFill/>
                    <a:ln>
                      <a:noFill/>
                    </a:ln>
                  </pic:spPr>
                </pic:pic>
              </a:graphicData>
            </a:graphic>
          </wp:anchor>
        </w:drawing>
      </w:r>
    </w:p>
    <w:p w14:paraId="04244B08"/>
    <w:p w14:paraId="0D1EBAAD"/>
    <w:p w14:paraId="128F18DA"/>
    <w:p w14:paraId="0DC295CA"/>
    <w:p w14:paraId="4E4E67FD">
      <w:r>
        <w:br w:type="page"/>
      </w:r>
    </w:p>
    <w:p w14:paraId="4EB70934">
      <w:r>
        <w:br w:type="page"/>
      </w:r>
      <w:r>
        <w:drawing>
          <wp:anchor distT="0" distB="0" distL="114300" distR="114300" simplePos="0" relativeHeight="251671552" behindDoc="1" locked="0" layoutInCell="1" allowOverlap="1">
            <wp:simplePos x="0" y="0"/>
            <wp:positionH relativeFrom="column">
              <wp:posOffset>6985</wp:posOffset>
            </wp:positionH>
            <wp:positionV relativeFrom="paragraph">
              <wp:posOffset>1270</wp:posOffset>
            </wp:positionV>
            <wp:extent cx="5848350" cy="8274685"/>
            <wp:effectExtent l="0" t="0" r="0" b="0"/>
            <wp:wrapNone/>
            <wp:docPr id="83" name="图片 83" descr="山东省生态环境厅关于《梁山经济开发区发展规划（2022—2035年）环境影响报告书》的审查意见(2)(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山东省生态环境厅关于《梁山经济开发区发展规划（2022—2035年）环境影响报告书》的审查意见(2)(1)_页面_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848350" cy="8274685"/>
                    </a:xfrm>
                    <a:prstGeom prst="rect">
                      <a:avLst/>
                    </a:prstGeom>
                    <a:noFill/>
                    <a:ln>
                      <a:noFill/>
                    </a:ln>
                  </pic:spPr>
                </pic:pic>
              </a:graphicData>
            </a:graphic>
          </wp:anchor>
        </w:drawing>
      </w:r>
    </w:p>
    <w:p w14:paraId="23B29A5B">
      <w:r>
        <w:br w:type="page"/>
      </w:r>
      <w:r>
        <w:drawing>
          <wp:anchor distT="0" distB="0" distL="114300" distR="114300" simplePos="0" relativeHeight="251672576" behindDoc="1" locked="0" layoutInCell="1" allowOverlap="1">
            <wp:simplePos x="0" y="0"/>
            <wp:positionH relativeFrom="margin">
              <wp:posOffset>73660</wp:posOffset>
            </wp:positionH>
            <wp:positionV relativeFrom="paragraph">
              <wp:posOffset>-15240</wp:posOffset>
            </wp:positionV>
            <wp:extent cx="5775960" cy="8173085"/>
            <wp:effectExtent l="0" t="0" r="0" b="0"/>
            <wp:wrapNone/>
            <wp:docPr id="82" name="图片 82" descr="山东省生态环境厅关于《梁山经济开发区发展规划（2022—2035年）环境影响报告书》的审查意见(2)(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山东省生态环境厅关于《梁山经济开发区发展规划（2022—2035年）环境影响报告书》的审查意见(2)(1)_页面_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75960" cy="8173085"/>
                    </a:xfrm>
                    <a:prstGeom prst="rect">
                      <a:avLst/>
                    </a:prstGeom>
                    <a:noFill/>
                    <a:ln>
                      <a:noFill/>
                    </a:ln>
                  </pic:spPr>
                </pic:pic>
              </a:graphicData>
            </a:graphic>
          </wp:anchor>
        </w:drawing>
      </w:r>
    </w:p>
    <w:p w14:paraId="524E6354">
      <w:r>
        <w:br w:type="page"/>
      </w:r>
      <w:r>
        <w:drawing>
          <wp:anchor distT="0" distB="0" distL="114300" distR="114300" simplePos="0" relativeHeight="251673600" behindDoc="1" locked="0" layoutInCell="1" allowOverlap="1">
            <wp:simplePos x="0" y="0"/>
            <wp:positionH relativeFrom="column">
              <wp:posOffset>-297815</wp:posOffset>
            </wp:positionH>
            <wp:positionV relativeFrom="paragraph">
              <wp:posOffset>2540</wp:posOffset>
            </wp:positionV>
            <wp:extent cx="6461125" cy="9144000"/>
            <wp:effectExtent l="0" t="0" r="0" b="0"/>
            <wp:wrapNone/>
            <wp:docPr id="81" name="图片 81" descr="山东省生态环境厅关于《梁山经济开发区发展规划（2022—2035年）环境影响报告书》的审查意见(2)(1)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山东省生态环境厅关于《梁山经济开发区发展规划（2022—2035年）环境影响报告书》的审查意见(2)(1)_页面_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461125" cy="9144000"/>
                    </a:xfrm>
                    <a:prstGeom prst="rect">
                      <a:avLst/>
                    </a:prstGeom>
                    <a:noFill/>
                    <a:ln>
                      <a:noFill/>
                    </a:ln>
                  </pic:spPr>
                </pic:pic>
              </a:graphicData>
            </a:graphic>
          </wp:anchor>
        </w:drawing>
      </w:r>
    </w:p>
    <w:p w14:paraId="7D01DD8A">
      <w:r>
        <w:br w:type="page"/>
      </w:r>
      <w:r>
        <w:drawing>
          <wp:anchor distT="0" distB="0" distL="114300" distR="114300" simplePos="0" relativeHeight="251674624" behindDoc="1" locked="0" layoutInCell="1" allowOverlap="1">
            <wp:simplePos x="0" y="0"/>
            <wp:positionH relativeFrom="margin">
              <wp:posOffset>-93345</wp:posOffset>
            </wp:positionH>
            <wp:positionV relativeFrom="paragraph">
              <wp:posOffset>103505</wp:posOffset>
            </wp:positionV>
            <wp:extent cx="5966460" cy="8444230"/>
            <wp:effectExtent l="0" t="0" r="0" b="0"/>
            <wp:wrapNone/>
            <wp:docPr id="80" name="图片 80" descr="山东省生态环境厅关于《梁山经济开发区发展规划（2022—2035年）环境影响报告书》的审查意见(2)(1)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山东省生态环境厅关于《梁山经济开发区发展规划（2022—2035年）环境影响报告书》的审查意见(2)(1)_页面_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66460" cy="8444230"/>
                    </a:xfrm>
                    <a:prstGeom prst="rect">
                      <a:avLst/>
                    </a:prstGeom>
                    <a:noFill/>
                    <a:ln>
                      <a:noFill/>
                    </a:ln>
                  </pic:spPr>
                </pic:pic>
              </a:graphicData>
            </a:graphic>
          </wp:anchor>
        </w:drawing>
      </w:r>
    </w:p>
    <w:p w14:paraId="50896F95">
      <w:r>
        <w:br w:type="page"/>
      </w:r>
      <w:r>
        <w:drawing>
          <wp:anchor distT="0" distB="0" distL="114300" distR="114300" simplePos="0" relativeHeight="251675648" behindDoc="1" locked="0" layoutInCell="1" allowOverlap="1">
            <wp:simplePos x="0" y="0"/>
            <wp:positionH relativeFrom="margin">
              <wp:posOffset>49530</wp:posOffset>
            </wp:positionH>
            <wp:positionV relativeFrom="paragraph">
              <wp:posOffset>-635</wp:posOffset>
            </wp:positionV>
            <wp:extent cx="5800090" cy="8206740"/>
            <wp:effectExtent l="0" t="0" r="0" b="3810"/>
            <wp:wrapNone/>
            <wp:docPr id="79" name="图片 79" descr="山东省生态环境厅关于《梁山经济开发区发展规划（2022—2035年）环境影响报告书》的审查意见(2)(1)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山东省生态环境厅关于《梁山经济开发区发展规划（2022—2035年）环境影响报告书》的审查意见(2)(1)_页面_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800090" cy="8206740"/>
                    </a:xfrm>
                    <a:prstGeom prst="rect">
                      <a:avLst/>
                    </a:prstGeom>
                    <a:noFill/>
                    <a:ln>
                      <a:noFill/>
                    </a:ln>
                  </pic:spPr>
                </pic:pic>
              </a:graphicData>
            </a:graphic>
          </wp:anchor>
        </w:drawing>
      </w:r>
    </w:p>
    <w:p w14:paraId="39C60592">
      <w:r>
        <w:br w:type="page"/>
      </w:r>
      <w:r>
        <w:drawing>
          <wp:anchor distT="0" distB="0" distL="114300" distR="114300" simplePos="0" relativeHeight="251676672" behindDoc="1" locked="0" layoutInCell="1" allowOverlap="1">
            <wp:simplePos x="0" y="0"/>
            <wp:positionH relativeFrom="margin">
              <wp:posOffset>10160</wp:posOffset>
            </wp:positionH>
            <wp:positionV relativeFrom="paragraph">
              <wp:posOffset>-9525</wp:posOffset>
            </wp:positionV>
            <wp:extent cx="5784215" cy="8184515"/>
            <wp:effectExtent l="0" t="0" r="6985" b="6985"/>
            <wp:wrapNone/>
            <wp:docPr id="78" name="图片 78" descr="山东省生态环境厅关于《梁山经济开发区发展规划（2022—2035年）环境影响报告书》的审查意见(2)(1)_页面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山东省生态环境厅关于《梁山经济开发区发展规划（2022—2035年）环境影响报告书》的审查意见(2)(1)_页面_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784215" cy="8184515"/>
                    </a:xfrm>
                    <a:prstGeom prst="rect">
                      <a:avLst/>
                    </a:prstGeom>
                    <a:noFill/>
                    <a:ln>
                      <a:noFill/>
                    </a:ln>
                  </pic:spPr>
                </pic:pic>
              </a:graphicData>
            </a:graphic>
          </wp:anchor>
        </w:drawing>
      </w:r>
    </w:p>
    <w:p w14:paraId="14815D42">
      <w:pPr>
        <w:jc w:val="right"/>
      </w:pPr>
    </w:p>
    <w:p w14:paraId="4700205F">
      <w:pPr>
        <w:rPr>
          <w:b/>
          <w:sz w:val="24"/>
        </w:rPr>
      </w:pPr>
      <w:r>
        <w:rPr>
          <w:rFonts w:hint="eastAsia"/>
          <w:b/>
          <w:sz w:val="24"/>
        </w:rPr>
        <w:t>附件</w:t>
      </w:r>
      <w:r>
        <w:rPr>
          <w:b/>
          <w:sz w:val="24"/>
        </w:rPr>
        <w:t>7</w:t>
      </w:r>
      <w:r>
        <w:rPr>
          <w:rFonts w:hint="eastAsia"/>
          <w:b/>
          <w:sz w:val="24"/>
        </w:rPr>
        <w:t>：关于公布沿黄重点地区扩区调区后合规工业园区名单(第六批)的通知</w:t>
      </w:r>
    </w:p>
    <w:p w14:paraId="08002AEC">
      <w:r>
        <w:drawing>
          <wp:anchor distT="0" distB="0" distL="114300" distR="114300" simplePos="0" relativeHeight="251677696" behindDoc="1" locked="0" layoutInCell="1" allowOverlap="1">
            <wp:simplePos x="0" y="0"/>
            <wp:positionH relativeFrom="column">
              <wp:posOffset>-402590</wp:posOffset>
            </wp:positionH>
            <wp:positionV relativeFrom="paragraph">
              <wp:posOffset>149225</wp:posOffset>
            </wp:positionV>
            <wp:extent cx="5836285" cy="8203565"/>
            <wp:effectExtent l="0" t="0" r="0" b="6985"/>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836285" cy="8203565"/>
                    </a:xfrm>
                    <a:prstGeom prst="rect">
                      <a:avLst/>
                    </a:prstGeom>
                    <a:noFill/>
                    <a:ln>
                      <a:noFill/>
                    </a:ln>
                  </pic:spPr>
                </pic:pic>
              </a:graphicData>
            </a:graphic>
          </wp:anchor>
        </w:drawing>
      </w:r>
    </w:p>
    <w:p w14:paraId="002B7B1B">
      <w:pPr>
        <w:rPr>
          <w:b/>
          <w:sz w:val="24"/>
        </w:rPr>
      </w:pPr>
      <w:r>
        <w:br w:type="page"/>
      </w:r>
      <w:r>
        <w:drawing>
          <wp:anchor distT="0" distB="0" distL="114300" distR="114300" simplePos="0" relativeHeight="251678720" behindDoc="1" locked="0" layoutInCell="1" allowOverlap="1">
            <wp:simplePos x="0" y="0"/>
            <wp:positionH relativeFrom="column">
              <wp:posOffset>-125095</wp:posOffset>
            </wp:positionH>
            <wp:positionV relativeFrom="paragraph">
              <wp:posOffset>-178435</wp:posOffset>
            </wp:positionV>
            <wp:extent cx="6176010" cy="8850630"/>
            <wp:effectExtent l="0" t="0" r="0" b="762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6176010" cy="8850630"/>
                    </a:xfrm>
                    <a:prstGeom prst="rect">
                      <a:avLst/>
                    </a:prstGeom>
                    <a:noFill/>
                    <a:ln>
                      <a:noFill/>
                    </a:ln>
                  </pic:spPr>
                </pic:pic>
              </a:graphicData>
            </a:graphic>
          </wp:anchor>
        </w:drawing>
      </w:r>
      <w:r>
        <w:br w:type="page"/>
      </w:r>
      <w:r>
        <w:drawing>
          <wp:anchor distT="0" distB="0" distL="114300" distR="114300" simplePos="0" relativeHeight="251679744" behindDoc="1" locked="0" layoutInCell="1" allowOverlap="1">
            <wp:simplePos x="0" y="0"/>
            <wp:positionH relativeFrom="column">
              <wp:posOffset>-40005</wp:posOffset>
            </wp:positionH>
            <wp:positionV relativeFrom="paragraph">
              <wp:posOffset>158750</wp:posOffset>
            </wp:positionV>
            <wp:extent cx="6313805" cy="8534400"/>
            <wp:effectExtent l="0" t="0" r="0" b="0"/>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6313805" cy="8534400"/>
                    </a:xfrm>
                    <a:prstGeom prst="rect">
                      <a:avLst/>
                    </a:prstGeom>
                    <a:noFill/>
                    <a:ln>
                      <a:noFill/>
                    </a:ln>
                  </pic:spPr>
                </pic:pic>
              </a:graphicData>
            </a:graphic>
          </wp:anchor>
        </w:drawing>
      </w:r>
      <w:r>
        <w:br w:type="page"/>
      </w:r>
      <w:r>
        <w:drawing>
          <wp:anchor distT="0" distB="0" distL="114300" distR="114300" simplePos="0" relativeHeight="251680768" behindDoc="1" locked="0" layoutInCell="1" allowOverlap="1">
            <wp:simplePos x="0" y="0"/>
            <wp:positionH relativeFrom="column">
              <wp:posOffset>-266700</wp:posOffset>
            </wp:positionH>
            <wp:positionV relativeFrom="paragraph">
              <wp:posOffset>100965</wp:posOffset>
            </wp:positionV>
            <wp:extent cx="6126480" cy="8681085"/>
            <wp:effectExtent l="0" t="0" r="7620" b="5715"/>
            <wp:wrapNone/>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6126480" cy="8681085"/>
                    </a:xfrm>
                    <a:prstGeom prst="rect">
                      <a:avLst/>
                    </a:prstGeom>
                    <a:noFill/>
                    <a:ln>
                      <a:noFill/>
                    </a:ln>
                  </pic:spPr>
                </pic:pic>
              </a:graphicData>
            </a:graphic>
          </wp:anchor>
        </w:drawing>
      </w:r>
      <w:r>
        <w:br w:type="page"/>
      </w:r>
      <w:r>
        <w:rPr>
          <w:rFonts w:hint="eastAsia"/>
          <w:b/>
          <w:sz w:val="24"/>
        </w:rPr>
        <w:t>附件</w:t>
      </w:r>
      <w:r>
        <w:rPr>
          <w:b/>
          <w:sz w:val="24"/>
        </w:rPr>
        <w:t>8</w:t>
      </w:r>
      <w:r>
        <w:rPr>
          <w:rFonts w:hint="eastAsia"/>
          <w:b/>
          <w:sz w:val="24"/>
        </w:rPr>
        <w:t>：流转单</w:t>
      </w:r>
    </w:p>
    <w:p w14:paraId="46F7F5CB">
      <w:pPr>
        <w:rPr>
          <w:b/>
          <w:sz w:val="24"/>
        </w:rPr>
      </w:pPr>
      <w:r>
        <w:drawing>
          <wp:inline distT="0" distB="0" distL="0" distR="0">
            <wp:extent cx="5340985" cy="785558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340985" cy="7855585"/>
                    </a:xfrm>
                    <a:prstGeom prst="rect">
                      <a:avLst/>
                    </a:prstGeom>
                    <a:noFill/>
                    <a:ln>
                      <a:noFill/>
                    </a:ln>
                  </pic:spPr>
                </pic:pic>
              </a:graphicData>
            </a:graphic>
          </wp:inline>
        </w:drawing>
      </w:r>
      <w:r>
        <w:drawing>
          <wp:inline distT="0" distB="0" distL="0" distR="0">
            <wp:extent cx="5548630" cy="7865745"/>
            <wp:effectExtent l="0" t="0" r="0" b="19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548630" cy="7865745"/>
                    </a:xfrm>
                    <a:prstGeom prst="rect">
                      <a:avLst/>
                    </a:prstGeom>
                    <a:noFill/>
                    <a:ln>
                      <a:noFill/>
                    </a:ln>
                  </pic:spPr>
                </pic:pic>
              </a:graphicData>
            </a:graphic>
          </wp:inline>
        </w:drawing>
      </w:r>
    </w:p>
    <w:p w14:paraId="172EF57E"/>
    <w:p w14:paraId="0E440675">
      <w:pPr>
        <w:sectPr>
          <w:footerReference r:id="rId7" w:type="default"/>
          <w:pgSz w:w="11906" w:h="16838"/>
          <w:pgMar w:top="1440" w:right="1349" w:bottom="1440" w:left="1349" w:header="851" w:footer="992" w:gutter="0"/>
          <w:cols w:space="720" w:num="1"/>
          <w:docGrid w:type="lines" w:linePitch="312" w:charSpace="0"/>
        </w:sectPr>
      </w:pPr>
    </w:p>
    <w:p w14:paraId="56E50DCA">
      <w:pPr>
        <w:ind w:firstLine="480"/>
      </w:pPr>
      <w:r>
        <w:drawing>
          <wp:anchor distT="0" distB="0" distL="114300" distR="114300" simplePos="0" relativeHeight="251683840" behindDoc="1" locked="0" layoutInCell="1" allowOverlap="1">
            <wp:simplePos x="0" y="0"/>
            <wp:positionH relativeFrom="column">
              <wp:posOffset>-412115</wp:posOffset>
            </wp:positionH>
            <wp:positionV relativeFrom="paragraph">
              <wp:posOffset>-918210</wp:posOffset>
            </wp:positionV>
            <wp:extent cx="10045700" cy="7108190"/>
            <wp:effectExtent l="0" t="0" r="0" b="0"/>
            <wp:wrapNone/>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a:xfrm>
                      <a:off x="0" y="0"/>
                      <a:ext cx="10045643" cy="7107942"/>
                    </a:xfrm>
                    <a:prstGeom prst="rect">
                      <a:avLst/>
                    </a:prstGeom>
                    <a:noFill/>
                    <a:ln>
                      <a:noFill/>
                    </a:ln>
                  </pic:spPr>
                </pic:pic>
              </a:graphicData>
            </a:graphic>
          </wp:anchor>
        </w:drawing>
      </w:r>
    </w:p>
    <w:p w14:paraId="1AEC6DFB">
      <w:pPr>
        <w:widowControl/>
        <w:jc w:val="left"/>
      </w:pPr>
      <w:r>
        <w:br w:type="page"/>
      </w:r>
    </w:p>
    <w:p w14:paraId="119F7CC2">
      <w:pPr>
        <w:ind w:firstLine="480"/>
      </w:pPr>
      <w:r>
        <w:drawing>
          <wp:anchor distT="0" distB="0" distL="114300" distR="114300" simplePos="0" relativeHeight="251684864" behindDoc="1" locked="0" layoutInCell="1" allowOverlap="1">
            <wp:simplePos x="0" y="0"/>
            <wp:positionH relativeFrom="margin">
              <wp:align>center</wp:align>
            </wp:positionH>
            <wp:positionV relativeFrom="paragraph">
              <wp:posOffset>-853440</wp:posOffset>
            </wp:positionV>
            <wp:extent cx="9909810" cy="7000240"/>
            <wp:effectExtent l="0" t="0" r="0" b="0"/>
            <wp:wrapNone/>
            <wp:docPr id="92" name="图片 92" descr="E:\1项目\A项目\23、梁山盛兴悬挂\附图\附图4 梁山县国土空间总体规划(2021-2035年)-生态红线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E:\1项目\A项目\23、梁山盛兴悬挂\附图\附图4 梁山县国土空间总体规划(2021-2035年)-生态红线副本.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9909544" cy="7000128"/>
                    </a:xfrm>
                    <a:prstGeom prst="rect">
                      <a:avLst/>
                    </a:prstGeom>
                    <a:noFill/>
                    <a:ln>
                      <a:noFill/>
                    </a:ln>
                  </pic:spPr>
                </pic:pic>
              </a:graphicData>
            </a:graphic>
          </wp:anchor>
        </w:drawing>
      </w:r>
    </w:p>
    <w:p w14:paraId="7A5466E4">
      <w:pPr>
        <w:widowControl/>
        <w:jc w:val="left"/>
      </w:pPr>
      <w:r>
        <w:br w:type="page"/>
      </w:r>
    </w:p>
    <w:p w14:paraId="16B6D1BB">
      <w:pPr>
        <w:widowControl/>
        <w:jc w:val="left"/>
      </w:pPr>
      <w:r>
        <w:drawing>
          <wp:anchor distT="0" distB="0" distL="114300" distR="114300" simplePos="0" relativeHeight="251693056" behindDoc="0" locked="0" layoutInCell="1" allowOverlap="1">
            <wp:simplePos x="0" y="0"/>
            <wp:positionH relativeFrom="margin">
              <wp:align>left</wp:align>
            </wp:positionH>
            <wp:positionV relativeFrom="paragraph">
              <wp:posOffset>-725805</wp:posOffset>
            </wp:positionV>
            <wp:extent cx="8625840" cy="6412865"/>
            <wp:effectExtent l="0" t="0" r="3810" b="7620"/>
            <wp:wrapNone/>
            <wp:docPr id="93" name="图片 93" descr="D:\2025年\3-通达\图\附图8  梁山县生态环境分区管控单元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D:\2025年\3-通达\图\附图8  梁山县生态环境分区管控单元图副本.jpg"/>
                    <pic:cNvPicPr>
                      <a:picLocks noChangeAspect="1" noChangeArrowheads="1"/>
                    </pic:cNvPicPr>
                  </pic:nvPicPr>
                  <pic:blipFill>
                    <a:blip r:embed="rId58" cstate="print">
                      <a:extLst>
                        <a:ext uri="{28A0092B-C50C-407E-A947-70E740481C1C}">
                          <a14:useLocalDpi xmlns:a14="http://schemas.microsoft.com/office/drawing/2010/main" val="0"/>
                        </a:ext>
                      </a:extLst>
                    </a:blip>
                    <a:srcRect l="4957" t="5116" r="5676" b="913"/>
                    <a:stretch>
                      <a:fillRect/>
                    </a:stretch>
                  </pic:blipFill>
                  <pic:spPr>
                    <a:xfrm>
                      <a:off x="0" y="0"/>
                      <a:ext cx="8629685" cy="6415489"/>
                    </a:xfrm>
                    <a:prstGeom prst="rect">
                      <a:avLst/>
                    </a:prstGeom>
                    <a:noFill/>
                    <a:ln>
                      <a:noFill/>
                    </a:ln>
                  </pic:spPr>
                </pic:pic>
              </a:graphicData>
            </a:graphic>
          </wp:anchor>
        </w:drawing>
      </w:r>
      <w:r>
        <w:br w:type="page"/>
      </w:r>
    </w:p>
    <w:p w14:paraId="4CA61CE3">
      <w:pPr>
        <w:ind w:firstLine="480"/>
      </w:pPr>
    </w:p>
    <w:p w14:paraId="6E3B0AC9">
      <w:pPr>
        <w:widowControl/>
        <w:jc w:val="left"/>
      </w:pPr>
    </w:p>
    <w:p w14:paraId="33B7FF02">
      <w:pPr>
        <w:ind w:firstLine="480"/>
      </w:pPr>
      <w:r>
        <w:drawing>
          <wp:anchor distT="0" distB="0" distL="114300" distR="114300" simplePos="0" relativeHeight="251682816" behindDoc="1" locked="0" layoutInCell="1" allowOverlap="1">
            <wp:simplePos x="0" y="0"/>
            <wp:positionH relativeFrom="column">
              <wp:posOffset>-529590</wp:posOffset>
            </wp:positionH>
            <wp:positionV relativeFrom="paragraph">
              <wp:posOffset>-758825</wp:posOffset>
            </wp:positionV>
            <wp:extent cx="9984740" cy="6604000"/>
            <wp:effectExtent l="0" t="0" r="0" b="6350"/>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984729" cy="6604000"/>
                    </a:xfrm>
                    <a:prstGeom prst="rect">
                      <a:avLst/>
                    </a:prstGeom>
                    <a:noFill/>
                    <a:ln>
                      <a:noFill/>
                    </a:ln>
                  </pic:spPr>
                </pic:pic>
              </a:graphicData>
            </a:graphic>
          </wp:anchor>
        </w:drawing>
      </w:r>
    </w:p>
    <w:p w14:paraId="7CC5DD2F">
      <w:pPr>
        <w:widowControl/>
        <w:jc w:val="left"/>
      </w:pPr>
      <w:r>
        <w:br w:type="page"/>
      </w:r>
    </w:p>
    <w:p w14:paraId="78910E5F">
      <w:pPr>
        <w:ind w:firstLine="480"/>
      </w:pPr>
      <w:r>
        <w:drawing>
          <wp:inline distT="0" distB="0" distL="0" distR="0">
            <wp:extent cx="8627110" cy="5209540"/>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8646600" cy="5221626"/>
                    </a:xfrm>
                    <a:prstGeom prst="rect">
                      <a:avLst/>
                    </a:prstGeom>
                  </pic:spPr>
                </pic:pic>
              </a:graphicData>
            </a:graphic>
          </wp:inline>
        </w:drawing>
      </w:r>
    </w:p>
    <w:p w14:paraId="294DF6E1">
      <w:pPr>
        <w:widowControl/>
        <w:jc w:val="left"/>
      </w:pPr>
      <w:r>
        <w:drawing>
          <wp:anchor distT="0" distB="0" distL="114300" distR="114300" simplePos="0" relativeHeight="251685888" behindDoc="1" locked="0" layoutInCell="1" allowOverlap="1">
            <wp:simplePos x="0" y="0"/>
            <wp:positionH relativeFrom="margin">
              <wp:align>center</wp:align>
            </wp:positionH>
            <wp:positionV relativeFrom="paragraph">
              <wp:posOffset>-998855</wp:posOffset>
            </wp:positionV>
            <wp:extent cx="9843770" cy="6964045"/>
            <wp:effectExtent l="0" t="0" r="5715" b="8255"/>
            <wp:wrapNone/>
            <wp:docPr id="96" name="图片 96" descr="E:\1项目\A项目\23、梁山盛兴悬挂\附图\图\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E:\1项目\A项目\23、梁山盛兴悬挂\附图\图\5副本.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9843474" cy="6964325"/>
                    </a:xfrm>
                    <a:prstGeom prst="rect">
                      <a:avLst/>
                    </a:prstGeom>
                    <a:noFill/>
                    <a:ln>
                      <a:noFill/>
                    </a:ln>
                  </pic:spPr>
                </pic:pic>
              </a:graphicData>
            </a:graphic>
          </wp:anchor>
        </w:drawing>
      </w:r>
    </w:p>
    <w:p w14:paraId="6CDD5AAA">
      <w:pPr>
        <w:widowControl/>
        <w:jc w:val="left"/>
      </w:pPr>
    </w:p>
    <w:p w14:paraId="63D0617D">
      <w:pPr>
        <w:widowControl/>
        <w:jc w:val="left"/>
      </w:pPr>
    </w:p>
    <w:p w14:paraId="4DC52C21">
      <w:pPr>
        <w:ind w:firstLine="480"/>
      </w:pPr>
    </w:p>
    <w:p w14:paraId="2ABC2399">
      <w:pPr>
        <w:widowControl/>
        <w:jc w:val="left"/>
      </w:pPr>
      <w:r>
        <w:br w:type="page"/>
      </w:r>
    </w:p>
    <w:p w14:paraId="205B24A8">
      <w:pPr>
        <w:ind w:firstLine="480"/>
        <w:jc w:val="center"/>
      </w:pPr>
      <w:r>
        <w:drawing>
          <wp:anchor distT="0" distB="0" distL="114300" distR="114300" simplePos="0" relativeHeight="251687936" behindDoc="0" locked="0" layoutInCell="1" allowOverlap="1">
            <wp:simplePos x="0" y="0"/>
            <wp:positionH relativeFrom="margin">
              <wp:align>left</wp:align>
            </wp:positionH>
            <wp:positionV relativeFrom="paragraph">
              <wp:posOffset>-579120</wp:posOffset>
            </wp:positionV>
            <wp:extent cx="8740140" cy="6267450"/>
            <wp:effectExtent l="0" t="0" r="4445" b="0"/>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8741492" cy="6268595"/>
                    </a:xfrm>
                    <a:prstGeom prst="rect">
                      <a:avLst/>
                    </a:prstGeom>
                  </pic:spPr>
                </pic:pic>
              </a:graphicData>
            </a:graphic>
          </wp:anchor>
        </w:drawing>
      </w:r>
    </w:p>
    <w:p w14:paraId="4B9AC2E9">
      <w:pPr>
        <w:widowControl/>
        <w:jc w:val="left"/>
        <w:sectPr>
          <w:headerReference r:id="rId10" w:type="first"/>
          <w:footerReference r:id="rId13" w:type="first"/>
          <w:headerReference r:id="rId8" w:type="default"/>
          <w:footerReference r:id="rId11" w:type="default"/>
          <w:headerReference r:id="rId9" w:type="even"/>
          <w:footerReference r:id="rId12" w:type="even"/>
          <w:pgSz w:w="16838" w:h="11906" w:orient="landscape"/>
          <w:pgMar w:top="1797" w:right="1440" w:bottom="1797" w:left="1440" w:header="851" w:footer="992" w:gutter="0"/>
          <w:cols w:space="425" w:num="1"/>
          <w:docGrid w:type="lines" w:linePitch="326" w:charSpace="0"/>
        </w:sectPr>
      </w:pPr>
      <w:r>
        <w:br w:type="page"/>
      </w:r>
    </w:p>
    <w:p w14:paraId="739E1A32">
      <w:pPr>
        <w:widowControl/>
        <w:jc w:val="center"/>
        <w:sectPr>
          <w:pgSz w:w="16838" w:h="11906" w:orient="landscape"/>
          <w:pgMar w:top="1797" w:right="1440" w:bottom="1797" w:left="1440" w:header="851" w:footer="992" w:gutter="0"/>
          <w:cols w:space="425" w:num="1"/>
          <w:docGrid w:type="lines" w:linePitch="326" w:charSpace="0"/>
        </w:sectPr>
      </w:pPr>
      <w:r>
        <mc:AlternateContent>
          <mc:Choice Requires="wps">
            <w:drawing>
              <wp:anchor distT="0" distB="0" distL="114300" distR="114300" simplePos="0" relativeHeight="251689984" behindDoc="0" locked="0" layoutInCell="1" allowOverlap="1">
                <wp:simplePos x="0" y="0"/>
                <wp:positionH relativeFrom="column">
                  <wp:posOffset>-465455</wp:posOffset>
                </wp:positionH>
                <wp:positionV relativeFrom="paragraph">
                  <wp:posOffset>-810260</wp:posOffset>
                </wp:positionV>
                <wp:extent cx="9660255" cy="6832600"/>
                <wp:effectExtent l="0" t="0" r="17145" b="25400"/>
                <wp:wrapNone/>
                <wp:docPr id="89" name="矩形 89"/>
                <wp:cNvGraphicFramePr/>
                <a:graphic xmlns:a="http://schemas.openxmlformats.org/drawingml/2006/main">
                  <a:graphicData uri="http://schemas.microsoft.com/office/word/2010/wordprocessingShape">
                    <wps:wsp>
                      <wps:cNvSpPr/>
                      <wps:spPr>
                        <a:xfrm>
                          <a:off x="0" y="0"/>
                          <a:ext cx="9660467" cy="6832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65pt;margin-top:-63.8pt;height:538pt;width:760.65pt;z-index:251689984;v-text-anchor:middle;mso-width-relative:page;mso-height-relative:page;" filled="f" stroked="t" coordsize="21600,21600" o:gfxdata="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hrUmDNwAAAANAQAADwAAAAAAAAABACAAAAAiAAAAZHJzL2Rvd25yZXYu&#10;eG1sUEsBAhQAFAAAAAgAh07iQEe6iDdpAgAAzgQAAA4AAAAAAAAAAQAgAAAAKwEAAGRycy9lMm9E&#10;b2MueG1sUEsFBgAAAAAGAAYAWQEAAAYGAAAAAA==&#10;">
                <v:fill on="f" focussize="0,0"/>
                <v:stroke weight="1pt" color="#000000 [3213]" miterlimit="8" joinstyle="miter"/>
                <v:imagedata o:title=""/>
                <o:lock v:ext="edit" aspectratio="f"/>
              </v:rect>
            </w:pict>
          </mc:Fallback>
        </mc:AlternateContent>
      </w:r>
      <w:r>
        <w:drawing>
          <wp:anchor distT="0" distB="0" distL="114300" distR="114300" simplePos="0" relativeHeight="251694080" behindDoc="1" locked="0" layoutInCell="1" allowOverlap="1">
            <wp:simplePos x="0" y="0"/>
            <wp:positionH relativeFrom="margin">
              <wp:posOffset>788670</wp:posOffset>
            </wp:positionH>
            <wp:positionV relativeFrom="paragraph">
              <wp:posOffset>-702310</wp:posOffset>
            </wp:positionV>
            <wp:extent cx="7516495" cy="6696075"/>
            <wp:effectExtent l="0" t="0" r="8255" b="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7516800" cy="6696000"/>
                    </a:xfrm>
                    <a:prstGeom prst="rect">
                      <a:avLst/>
                    </a:prstGeom>
                  </pic:spPr>
                </pic:pic>
              </a:graphicData>
            </a:graphic>
          </wp:anchor>
        </w:drawing>
      </w:r>
      <w:r>
        <w:drawing>
          <wp:anchor distT="0" distB="0" distL="114300" distR="114300" simplePos="0" relativeHeight="251695104" behindDoc="0" locked="0" layoutInCell="1" allowOverlap="1">
            <wp:simplePos x="0" y="0"/>
            <wp:positionH relativeFrom="column">
              <wp:posOffset>8348980</wp:posOffset>
            </wp:positionH>
            <wp:positionV relativeFrom="paragraph">
              <wp:posOffset>-712470</wp:posOffset>
            </wp:positionV>
            <wp:extent cx="936625" cy="876300"/>
            <wp:effectExtent l="0" t="0" r="0" b="0"/>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936490" cy="876300"/>
                    </a:xfrm>
                    <a:prstGeom prst="rect">
                      <a:avLst/>
                    </a:prstGeom>
                  </pic:spPr>
                </pic:pic>
              </a:graphicData>
            </a:graphic>
          </wp:anchor>
        </w:drawing>
      </w:r>
      <w:r>
        <w:drawing>
          <wp:anchor distT="0" distB="0" distL="114300" distR="114300" simplePos="0" relativeHeight="251688960" behindDoc="0" locked="0" layoutInCell="1" allowOverlap="1">
            <wp:simplePos x="0" y="0"/>
            <wp:positionH relativeFrom="margin">
              <wp:posOffset>-344170</wp:posOffset>
            </wp:positionH>
            <wp:positionV relativeFrom="margin">
              <wp:posOffset>-635635</wp:posOffset>
            </wp:positionV>
            <wp:extent cx="1104900" cy="989965"/>
            <wp:effectExtent l="0" t="0" r="0" b="635"/>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1105200" cy="990000"/>
                    </a:xfrm>
                    <a:prstGeom prst="rect">
                      <a:avLst/>
                    </a:prstGeom>
                  </pic:spPr>
                </pic:pic>
              </a:graphicData>
            </a:graphic>
          </wp:anchor>
        </w:drawing>
      </w:r>
    </w:p>
    <w:p w14:paraId="152955BF">
      <w:pPr>
        <w:widowControl/>
        <w:jc w:val="left"/>
        <w:sectPr>
          <w:pgSz w:w="16838" w:h="11906" w:orient="landscape"/>
          <w:pgMar w:top="1797" w:right="1440" w:bottom="1797" w:left="1440" w:header="851" w:footer="992" w:gutter="0"/>
          <w:cols w:space="425" w:num="1"/>
          <w:docGrid w:type="lines" w:linePitch="326" w:charSpace="0"/>
        </w:sectPr>
      </w:pPr>
      <w:r>
        <w:drawing>
          <wp:inline distT="0" distB="0" distL="0" distR="0">
            <wp:extent cx="8863330" cy="5446395"/>
            <wp:effectExtent l="0" t="0" r="0" b="190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8863330" cy="5446395"/>
                    </a:xfrm>
                    <a:prstGeom prst="rect">
                      <a:avLst/>
                    </a:prstGeom>
                  </pic:spPr>
                </pic:pic>
              </a:graphicData>
            </a:graphic>
          </wp:inline>
        </w:drawing>
      </w:r>
    </w:p>
    <w:p w14:paraId="6A0093E9">
      <w:pPr>
        <w:widowControl/>
        <w:jc w:val="center"/>
      </w:pPr>
      <w:r>
        <w:drawing>
          <wp:anchor distT="0" distB="0" distL="114300" distR="114300" simplePos="0" relativeHeight="251696128" behindDoc="0" locked="0" layoutInCell="1" allowOverlap="1">
            <wp:simplePos x="0" y="0"/>
            <wp:positionH relativeFrom="margin">
              <wp:posOffset>888365</wp:posOffset>
            </wp:positionH>
            <wp:positionV relativeFrom="paragraph">
              <wp:posOffset>-605155</wp:posOffset>
            </wp:positionV>
            <wp:extent cx="7086600" cy="6480810"/>
            <wp:effectExtent l="0" t="0" r="0" b="0"/>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7086600" cy="6480945"/>
                    </a:xfrm>
                    <a:prstGeom prst="rect">
                      <a:avLst/>
                    </a:prstGeom>
                  </pic:spPr>
                </pic:pic>
              </a:graphicData>
            </a:graphic>
          </wp:anchor>
        </w:drawing>
      </w:r>
      <w:r>
        <w:drawing>
          <wp:anchor distT="0" distB="0" distL="114300" distR="114300" simplePos="0" relativeHeight="251692032" behindDoc="0" locked="0" layoutInCell="1" allowOverlap="1">
            <wp:simplePos x="0" y="0"/>
            <wp:positionH relativeFrom="margin">
              <wp:align>right</wp:align>
            </wp:positionH>
            <wp:positionV relativeFrom="paragraph">
              <wp:posOffset>-541020</wp:posOffset>
            </wp:positionV>
            <wp:extent cx="1104900" cy="990600"/>
            <wp:effectExtent l="0" t="0" r="0" b="0"/>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1104900" cy="990600"/>
                    </a:xfrm>
                    <a:prstGeom prst="rect">
                      <a:avLst/>
                    </a:prstGeom>
                  </pic:spPr>
                </pic:pic>
              </a:graphicData>
            </a:graphic>
          </wp:anchor>
        </w:drawing>
      </w:r>
      <w:r>
        <mc:AlternateContent>
          <mc:Choice Requires="wps">
            <w:drawing>
              <wp:anchor distT="0" distB="0" distL="114300" distR="114300" simplePos="0" relativeHeight="251691008" behindDoc="0" locked="0" layoutInCell="1" allowOverlap="1">
                <wp:simplePos x="0" y="0"/>
                <wp:positionH relativeFrom="column">
                  <wp:posOffset>-85725</wp:posOffset>
                </wp:positionH>
                <wp:positionV relativeFrom="paragraph">
                  <wp:posOffset>-769620</wp:posOffset>
                </wp:positionV>
                <wp:extent cx="9353550" cy="6734175"/>
                <wp:effectExtent l="0" t="0" r="19050" b="28575"/>
                <wp:wrapNone/>
                <wp:docPr id="90" name="矩形 90"/>
                <wp:cNvGraphicFramePr/>
                <a:graphic xmlns:a="http://schemas.openxmlformats.org/drawingml/2006/main">
                  <a:graphicData uri="http://schemas.microsoft.com/office/word/2010/wordprocessingShape">
                    <wps:wsp>
                      <wps:cNvSpPr/>
                      <wps:spPr>
                        <a:xfrm>
                          <a:off x="0" y="0"/>
                          <a:ext cx="9353550" cy="673417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5pt;margin-top:-60.6pt;height:530.25pt;width:736.5pt;z-index:251691008;v-text-anchor:middle;mso-width-relative:page;mso-height-relative:page;" filled="f" stroked="t" coordsize="21600,21600" o:gfxdata="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ZAihbaAAAADQEAAA8AAAAAAAAAAQAgAAAAIgAAAGRycy9kb3ducmV2Lnht&#10;bFBLAQIUABQAAAAIAIdO4kBMP7syaQIAAM4EAAAOAAAAAAAAAAEAIAAAACkBAABkcnMvZTJvRG9j&#10;LnhtbFBLBQYAAAAABgAGAFkBAAAEBgAAAAA=&#10;">
                <v:fill on="f" focussize="0,0"/>
                <v:stroke weight="1pt" color="#000000 [3200]" miterlimit="8" joinstyle="miter"/>
                <v:imagedata o:title=""/>
                <o:lock v:ext="edit" aspectratio="f"/>
              </v:rect>
            </w:pict>
          </mc:Fallback>
        </mc:AlternateContent>
      </w:r>
    </w:p>
    <w:p w14:paraId="532D894A">
      <w:pPr>
        <w:widowControl/>
        <w:jc w:val="center"/>
        <w:sectPr>
          <w:pgSz w:w="16838" w:h="11906" w:orient="landscape"/>
          <w:pgMar w:top="1797" w:right="1440" w:bottom="1797" w:left="1440" w:header="851" w:footer="992" w:gutter="0"/>
          <w:cols w:space="425" w:num="1"/>
          <w:docGrid w:type="lines" w:linePitch="326" w:charSpace="0"/>
        </w:sectPr>
      </w:pPr>
    </w:p>
    <w:p w14:paraId="5EBA2C69">
      <w:pPr>
        <w:widowControl/>
        <w:jc w:val="left"/>
      </w:pPr>
      <w:r>
        <w:drawing>
          <wp:anchor distT="0" distB="0" distL="114300" distR="114300" simplePos="0" relativeHeight="251686912" behindDoc="1" locked="0" layoutInCell="1" allowOverlap="1">
            <wp:simplePos x="0" y="0"/>
            <wp:positionH relativeFrom="margin">
              <wp:posOffset>516890</wp:posOffset>
            </wp:positionH>
            <wp:positionV relativeFrom="paragraph">
              <wp:posOffset>-381000</wp:posOffset>
            </wp:positionV>
            <wp:extent cx="7920990" cy="6593840"/>
            <wp:effectExtent l="0" t="0" r="3810" b="0"/>
            <wp:wrapNone/>
            <wp:docPr id="104" name="图片 104" descr="E:\1项目\A项目\23、梁山盛兴悬挂\附图\图\7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E:\1项目\A项目\23、梁山盛兴悬挂\附图\图\7副本.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7921256" cy="6594111"/>
                    </a:xfrm>
                    <a:prstGeom prst="rect">
                      <a:avLst/>
                    </a:prstGeom>
                    <a:noFill/>
                    <a:ln>
                      <a:noFill/>
                    </a:ln>
                  </pic:spPr>
                </pic:pic>
              </a:graphicData>
            </a:graphic>
          </wp:anchor>
        </w:drawing>
      </w:r>
    </w:p>
    <w:p w14:paraId="556FAE15">
      <w:pPr>
        <w:widowControl/>
        <w:jc w:val="left"/>
      </w:pPr>
    </w:p>
    <w:p w14:paraId="446E77EF"/>
    <w:sectPr>
      <w:headerReference r:id="rId14" w:type="default"/>
      <w:pgSz w:w="16838" w:h="11906" w:orient="landscape"/>
      <w:pgMar w:top="1797" w:right="1440" w:bottom="1797" w:left="1440"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Courier New">
    <w:panose1 w:val="02070309020205020404"/>
    <w:charset w:val="00"/>
    <w:family w:val="modern"/>
    <w:pitch w:val="default"/>
    <w:sig w:usb0="E0002AFF" w:usb1="C0007843" w:usb2="00000009" w:usb3="00000000" w:csb0="400001FF" w:csb1="FFFF0000"/>
  </w:font>
  <w:font w:name="Consolas">
    <w:panose1 w:val="020B0609020204030204"/>
    <w:charset w:val="00"/>
    <w:family w:val="modern"/>
    <w:pitch w:val="default"/>
    <w:sig w:usb0="E10002FF" w:usb1="4000FCFF" w:usb2="00000009" w:usb3="00000000" w:csb0="6000019F" w:csb1="DFD70000"/>
  </w:font>
  <w:font w:name="等线">
    <w:altName w:val="微软雅黑"/>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Wingdings 2">
    <w:altName w:val="Wingdings"/>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003" w:usb1="288F0000" w:usb2="00000006" w:usb3="00000000" w:csb0="00040001"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4B50B8">
    <w:pPr>
      <w:pStyle w:val="14"/>
      <w:jc w:val="center"/>
    </w:pPr>
  </w:p>
  <w:p w14:paraId="5490C47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DA0DE">
    <w:pPr>
      <w:pStyle w:val="14"/>
      <w:jc w:val="center"/>
      <w:rPr>
        <w:caps/>
      </w:rPr>
    </w:pPr>
    <w:r>
      <w:rPr>
        <w:caps/>
      </w:rPr>
      <w:fldChar w:fldCharType="begin"/>
    </w:r>
    <w:r>
      <w:rPr>
        <w:caps/>
      </w:rPr>
      <w:instrText xml:space="preserve">PAGE   \* MERGEFORMAT</w:instrText>
    </w:r>
    <w:r>
      <w:rPr>
        <w:caps/>
      </w:rPr>
      <w:fldChar w:fldCharType="separate"/>
    </w:r>
    <w:r>
      <w:rPr>
        <w:caps/>
        <w:lang w:val="zh-CN"/>
      </w:rPr>
      <w:t>27</w:t>
    </w:r>
    <w:r>
      <w:rPr>
        <w:caps/>
      </w:rPr>
      <w:fldChar w:fldCharType="end"/>
    </w:r>
  </w:p>
  <w:p w14:paraId="474FAC8E">
    <w:pPr>
      <w:pStyle w:val="1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8EDDC">
    <w:pPr>
      <w:pStyle w:val="14"/>
      <w:jc w:val="center"/>
      <w:rPr>
        <w:caps/>
      </w:rPr>
    </w:pPr>
    <w:r>
      <w:rPr>
        <w:caps/>
      </w:rPr>
      <w:fldChar w:fldCharType="begin"/>
    </w:r>
    <w:r>
      <w:rPr>
        <w:caps/>
      </w:rPr>
      <w:instrText xml:space="preserve">PAGE   \* MERGEFORMAT</w:instrText>
    </w:r>
    <w:r>
      <w:rPr>
        <w:caps/>
      </w:rPr>
      <w:fldChar w:fldCharType="separate"/>
    </w:r>
    <w:r>
      <w:rPr>
        <w:caps/>
        <w:lang w:val="zh-CN"/>
      </w:rPr>
      <w:t>1</w:t>
    </w:r>
    <w:r>
      <w:rPr>
        <w:caps/>
      </w:rPr>
      <w:fldChar w:fldCharType="end"/>
    </w:r>
  </w:p>
  <w:p w14:paraId="661D1219">
    <w:pPr>
      <w:pStyle w:val="14"/>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170533">
    <w:pPr>
      <w:pStyle w:val="14"/>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0B8554">
    <w:pPr>
      <w:pStyle w:val="14"/>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FA6FF">
    <w:pPr>
      <w:pStyle w:val="14"/>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4D8499">
    <w:pPr>
      <w:pStyle w:val="14"/>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ED76B">
    <w:pPr>
      <w:pStyle w:val="14"/>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4D6F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FF3B2">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DDA7C4">
    <w:pPr>
      <w:pStyle w:val="1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B179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F6C02E"/>
    <w:multiLevelType w:val="singleLevel"/>
    <w:tmpl w:val="06F6C02E"/>
    <w:lvl w:ilvl="0" w:tentative="0">
      <w:start w:val="3"/>
      <w:numFmt w:val="decimal"/>
      <w:suff w:val="nothing"/>
      <w:lvlText w:val="%1、"/>
      <w:lvlJc w:val="left"/>
    </w:lvl>
  </w:abstractNum>
  <w:abstractNum w:abstractNumId="1">
    <w:nsid w:val="1D151707"/>
    <w:multiLevelType w:val="singleLevel"/>
    <w:tmpl w:val="1D151707"/>
    <w:lvl w:ilvl="0" w:tentative="0">
      <w:start w:val="2"/>
      <w:numFmt w:val="decimal"/>
      <w:suff w:val="nothing"/>
      <w:lvlText w:val="%1、"/>
      <w:lvlJc w:val="left"/>
    </w:lvl>
  </w:abstractNum>
  <w:abstractNum w:abstractNumId="2">
    <w:nsid w:val="3BA0172F"/>
    <w:multiLevelType w:val="multilevel"/>
    <w:tmpl w:val="3BA0172F"/>
    <w:lvl w:ilvl="0" w:tentative="0">
      <w:start w:val="1"/>
      <w:numFmt w:val="japaneseCounting"/>
      <w:lvlText w:val="%1、"/>
      <w:lvlJc w:val="left"/>
      <w:pPr>
        <w:ind w:left="1020" w:hanging="510"/>
      </w:pPr>
      <w:rPr>
        <w:rFonts w:hint="default"/>
      </w:rPr>
    </w:lvl>
    <w:lvl w:ilvl="1" w:tentative="0">
      <w:start w:val="1"/>
      <w:numFmt w:val="lowerLetter"/>
      <w:lvlText w:val="%2)"/>
      <w:lvlJc w:val="left"/>
      <w:pPr>
        <w:ind w:left="1350" w:hanging="420"/>
      </w:pPr>
    </w:lvl>
    <w:lvl w:ilvl="2" w:tentative="0">
      <w:start w:val="1"/>
      <w:numFmt w:val="lowerRoman"/>
      <w:lvlText w:val="%3."/>
      <w:lvlJc w:val="right"/>
      <w:pPr>
        <w:ind w:left="1770" w:hanging="420"/>
      </w:pPr>
    </w:lvl>
    <w:lvl w:ilvl="3" w:tentative="0">
      <w:start w:val="1"/>
      <w:numFmt w:val="decimal"/>
      <w:lvlText w:val="%4."/>
      <w:lvlJc w:val="left"/>
      <w:pPr>
        <w:ind w:left="2190" w:hanging="420"/>
      </w:pPr>
    </w:lvl>
    <w:lvl w:ilvl="4" w:tentative="0">
      <w:start w:val="1"/>
      <w:numFmt w:val="lowerLetter"/>
      <w:lvlText w:val="%5)"/>
      <w:lvlJc w:val="left"/>
      <w:pPr>
        <w:ind w:left="2610" w:hanging="420"/>
      </w:pPr>
    </w:lvl>
    <w:lvl w:ilvl="5" w:tentative="0">
      <w:start w:val="1"/>
      <w:numFmt w:val="lowerRoman"/>
      <w:lvlText w:val="%6."/>
      <w:lvlJc w:val="right"/>
      <w:pPr>
        <w:ind w:left="3030" w:hanging="420"/>
      </w:pPr>
    </w:lvl>
    <w:lvl w:ilvl="6" w:tentative="0">
      <w:start w:val="1"/>
      <w:numFmt w:val="decimal"/>
      <w:lvlText w:val="%7."/>
      <w:lvlJc w:val="left"/>
      <w:pPr>
        <w:ind w:left="3450" w:hanging="420"/>
      </w:pPr>
    </w:lvl>
    <w:lvl w:ilvl="7" w:tentative="0">
      <w:start w:val="1"/>
      <w:numFmt w:val="lowerLetter"/>
      <w:lvlText w:val="%8)"/>
      <w:lvlJc w:val="left"/>
      <w:pPr>
        <w:ind w:left="3870" w:hanging="420"/>
      </w:pPr>
    </w:lvl>
    <w:lvl w:ilvl="8" w:tentative="0">
      <w:start w:val="1"/>
      <w:numFmt w:val="lowerRoman"/>
      <w:lvlText w:val="%9."/>
      <w:lvlJc w:val="right"/>
      <w:pPr>
        <w:ind w:left="4290" w:hanging="420"/>
      </w:pPr>
    </w:lvl>
  </w:abstractNum>
  <w:abstractNum w:abstractNumId="3">
    <w:nsid w:val="3E1FE0D1"/>
    <w:multiLevelType w:val="singleLevel"/>
    <w:tmpl w:val="3E1FE0D1"/>
    <w:lvl w:ilvl="0" w:tentative="0">
      <w:start w:val="1"/>
      <w:numFmt w:val="decimal"/>
      <w:suff w:val="nothing"/>
      <w:lvlText w:val="（%1）"/>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2"/>
  <w:displayVerticalDrawingGridEvery w:val="2"/>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MwOTJmMjU2Yzg1MjkyYTM4YWIxMWE4Njc1ZWI0YTQifQ=="/>
  </w:docVars>
  <w:rsids>
    <w:rsidRoot w:val="00172A27"/>
    <w:rsid w:val="00002DF9"/>
    <w:rsid w:val="000033F7"/>
    <w:rsid w:val="0000419A"/>
    <w:rsid w:val="000045BB"/>
    <w:rsid w:val="00004B34"/>
    <w:rsid w:val="00005947"/>
    <w:rsid w:val="000060B3"/>
    <w:rsid w:val="0000640C"/>
    <w:rsid w:val="00006642"/>
    <w:rsid w:val="000067E6"/>
    <w:rsid w:val="00006CD0"/>
    <w:rsid w:val="000074EC"/>
    <w:rsid w:val="00007753"/>
    <w:rsid w:val="00010ED8"/>
    <w:rsid w:val="0001182F"/>
    <w:rsid w:val="00011DBF"/>
    <w:rsid w:val="00013D4D"/>
    <w:rsid w:val="0001434A"/>
    <w:rsid w:val="000149FD"/>
    <w:rsid w:val="00015032"/>
    <w:rsid w:val="00015825"/>
    <w:rsid w:val="00015C8E"/>
    <w:rsid w:val="00015D4B"/>
    <w:rsid w:val="00016137"/>
    <w:rsid w:val="00017703"/>
    <w:rsid w:val="00017FED"/>
    <w:rsid w:val="000205AE"/>
    <w:rsid w:val="00020C58"/>
    <w:rsid w:val="00022AD4"/>
    <w:rsid w:val="00023150"/>
    <w:rsid w:val="00024E7D"/>
    <w:rsid w:val="000266F1"/>
    <w:rsid w:val="0002754D"/>
    <w:rsid w:val="000276F5"/>
    <w:rsid w:val="00027DC1"/>
    <w:rsid w:val="000306E2"/>
    <w:rsid w:val="000306FE"/>
    <w:rsid w:val="00031118"/>
    <w:rsid w:val="00032435"/>
    <w:rsid w:val="00032DDB"/>
    <w:rsid w:val="00033B1E"/>
    <w:rsid w:val="000344E4"/>
    <w:rsid w:val="00036AD7"/>
    <w:rsid w:val="00037B24"/>
    <w:rsid w:val="00037BF8"/>
    <w:rsid w:val="00041EF7"/>
    <w:rsid w:val="00042F5C"/>
    <w:rsid w:val="000434F2"/>
    <w:rsid w:val="0004364B"/>
    <w:rsid w:val="00044DB5"/>
    <w:rsid w:val="00044F4D"/>
    <w:rsid w:val="00045C70"/>
    <w:rsid w:val="0004601D"/>
    <w:rsid w:val="00052A19"/>
    <w:rsid w:val="00053A40"/>
    <w:rsid w:val="00054398"/>
    <w:rsid w:val="00054561"/>
    <w:rsid w:val="00054686"/>
    <w:rsid w:val="00054DFE"/>
    <w:rsid w:val="00055A93"/>
    <w:rsid w:val="00055C2C"/>
    <w:rsid w:val="00061B1F"/>
    <w:rsid w:val="000632C2"/>
    <w:rsid w:val="00063854"/>
    <w:rsid w:val="00063B86"/>
    <w:rsid w:val="00063DE2"/>
    <w:rsid w:val="00065413"/>
    <w:rsid w:val="00066A97"/>
    <w:rsid w:val="000672D9"/>
    <w:rsid w:val="00067721"/>
    <w:rsid w:val="00067857"/>
    <w:rsid w:val="00067F60"/>
    <w:rsid w:val="00071440"/>
    <w:rsid w:val="00072FD7"/>
    <w:rsid w:val="000733C4"/>
    <w:rsid w:val="00073500"/>
    <w:rsid w:val="000737CD"/>
    <w:rsid w:val="00073E79"/>
    <w:rsid w:val="00074783"/>
    <w:rsid w:val="00077852"/>
    <w:rsid w:val="0008070B"/>
    <w:rsid w:val="000810AC"/>
    <w:rsid w:val="000817C2"/>
    <w:rsid w:val="00081A02"/>
    <w:rsid w:val="0008217D"/>
    <w:rsid w:val="00082231"/>
    <w:rsid w:val="000837D0"/>
    <w:rsid w:val="000848B7"/>
    <w:rsid w:val="0008553F"/>
    <w:rsid w:val="000855D4"/>
    <w:rsid w:val="00085ED7"/>
    <w:rsid w:val="00086D0D"/>
    <w:rsid w:val="00086E2B"/>
    <w:rsid w:val="00087AF5"/>
    <w:rsid w:val="00087C3D"/>
    <w:rsid w:val="00091AC0"/>
    <w:rsid w:val="000927D4"/>
    <w:rsid w:val="00092AA2"/>
    <w:rsid w:val="00092D38"/>
    <w:rsid w:val="0009377B"/>
    <w:rsid w:val="00094CE0"/>
    <w:rsid w:val="00095744"/>
    <w:rsid w:val="000957CA"/>
    <w:rsid w:val="00095E7D"/>
    <w:rsid w:val="00096139"/>
    <w:rsid w:val="000963A9"/>
    <w:rsid w:val="0009651E"/>
    <w:rsid w:val="000A07C6"/>
    <w:rsid w:val="000A15F6"/>
    <w:rsid w:val="000A1C19"/>
    <w:rsid w:val="000A1D50"/>
    <w:rsid w:val="000A20C9"/>
    <w:rsid w:val="000A30A6"/>
    <w:rsid w:val="000A328D"/>
    <w:rsid w:val="000A353E"/>
    <w:rsid w:val="000A5CBB"/>
    <w:rsid w:val="000A6904"/>
    <w:rsid w:val="000A6B31"/>
    <w:rsid w:val="000A6EC8"/>
    <w:rsid w:val="000A7382"/>
    <w:rsid w:val="000B058F"/>
    <w:rsid w:val="000B18F3"/>
    <w:rsid w:val="000B2171"/>
    <w:rsid w:val="000B3DE3"/>
    <w:rsid w:val="000B4467"/>
    <w:rsid w:val="000B4973"/>
    <w:rsid w:val="000B4DB9"/>
    <w:rsid w:val="000B7C32"/>
    <w:rsid w:val="000B7E20"/>
    <w:rsid w:val="000C027D"/>
    <w:rsid w:val="000C078E"/>
    <w:rsid w:val="000C09AC"/>
    <w:rsid w:val="000C19A7"/>
    <w:rsid w:val="000C4F2E"/>
    <w:rsid w:val="000C767F"/>
    <w:rsid w:val="000D1334"/>
    <w:rsid w:val="000D2247"/>
    <w:rsid w:val="000D2C96"/>
    <w:rsid w:val="000D38A5"/>
    <w:rsid w:val="000D3FC8"/>
    <w:rsid w:val="000D4100"/>
    <w:rsid w:val="000D4427"/>
    <w:rsid w:val="000D4DE6"/>
    <w:rsid w:val="000D546D"/>
    <w:rsid w:val="000D5539"/>
    <w:rsid w:val="000D5A44"/>
    <w:rsid w:val="000D5D44"/>
    <w:rsid w:val="000D60ED"/>
    <w:rsid w:val="000D6A86"/>
    <w:rsid w:val="000D6F67"/>
    <w:rsid w:val="000D7088"/>
    <w:rsid w:val="000D710B"/>
    <w:rsid w:val="000D73D1"/>
    <w:rsid w:val="000D7875"/>
    <w:rsid w:val="000E0031"/>
    <w:rsid w:val="000E115F"/>
    <w:rsid w:val="000E136E"/>
    <w:rsid w:val="000E14AF"/>
    <w:rsid w:val="000E2E5E"/>
    <w:rsid w:val="000E37C8"/>
    <w:rsid w:val="000E3ED2"/>
    <w:rsid w:val="000E4588"/>
    <w:rsid w:val="000E591E"/>
    <w:rsid w:val="000E6021"/>
    <w:rsid w:val="000E67EB"/>
    <w:rsid w:val="000E701E"/>
    <w:rsid w:val="000F3183"/>
    <w:rsid w:val="000F3E03"/>
    <w:rsid w:val="000F501E"/>
    <w:rsid w:val="000F6019"/>
    <w:rsid w:val="000F6B37"/>
    <w:rsid w:val="00100846"/>
    <w:rsid w:val="00100A60"/>
    <w:rsid w:val="0010111F"/>
    <w:rsid w:val="00101750"/>
    <w:rsid w:val="00103D62"/>
    <w:rsid w:val="00105694"/>
    <w:rsid w:val="001056EF"/>
    <w:rsid w:val="00106362"/>
    <w:rsid w:val="00106B85"/>
    <w:rsid w:val="00106CEC"/>
    <w:rsid w:val="001107B6"/>
    <w:rsid w:val="00110E6A"/>
    <w:rsid w:val="001121F9"/>
    <w:rsid w:val="001127E5"/>
    <w:rsid w:val="00112BEA"/>
    <w:rsid w:val="001132C4"/>
    <w:rsid w:val="00115501"/>
    <w:rsid w:val="00115CE1"/>
    <w:rsid w:val="00117F02"/>
    <w:rsid w:val="0012182B"/>
    <w:rsid w:val="00121DCF"/>
    <w:rsid w:val="00121EE4"/>
    <w:rsid w:val="00122ACB"/>
    <w:rsid w:val="00124219"/>
    <w:rsid w:val="00125240"/>
    <w:rsid w:val="00125F66"/>
    <w:rsid w:val="00126AF2"/>
    <w:rsid w:val="00127F92"/>
    <w:rsid w:val="001301A9"/>
    <w:rsid w:val="00130477"/>
    <w:rsid w:val="001306C9"/>
    <w:rsid w:val="00131F42"/>
    <w:rsid w:val="001320BD"/>
    <w:rsid w:val="00134F77"/>
    <w:rsid w:val="00135033"/>
    <w:rsid w:val="001353A6"/>
    <w:rsid w:val="001357F1"/>
    <w:rsid w:val="001376A0"/>
    <w:rsid w:val="00137D8B"/>
    <w:rsid w:val="00140FA8"/>
    <w:rsid w:val="00142347"/>
    <w:rsid w:val="00142AD9"/>
    <w:rsid w:val="00142FEB"/>
    <w:rsid w:val="00143A2D"/>
    <w:rsid w:val="001454C9"/>
    <w:rsid w:val="00145A41"/>
    <w:rsid w:val="00146BA2"/>
    <w:rsid w:val="00146EBE"/>
    <w:rsid w:val="001507E0"/>
    <w:rsid w:val="00151675"/>
    <w:rsid w:val="00151F37"/>
    <w:rsid w:val="00153158"/>
    <w:rsid w:val="00153DBA"/>
    <w:rsid w:val="001541C7"/>
    <w:rsid w:val="001547AF"/>
    <w:rsid w:val="00155353"/>
    <w:rsid w:val="00155826"/>
    <w:rsid w:val="00155FAC"/>
    <w:rsid w:val="00156C52"/>
    <w:rsid w:val="00157435"/>
    <w:rsid w:val="001577F6"/>
    <w:rsid w:val="00157ACC"/>
    <w:rsid w:val="001612F5"/>
    <w:rsid w:val="00162A71"/>
    <w:rsid w:val="00162EFD"/>
    <w:rsid w:val="0016368D"/>
    <w:rsid w:val="001642D5"/>
    <w:rsid w:val="001649A0"/>
    <w:rsid w:val="00166D59"/>
    <w:rsid w:val="00167D37"/>
    <w:rsid w:val="00170E83"/>
    <w:rsid w:val="00171BBB"/>
    <w:rsid w:val="001722C9"/>
    <w:rsid w:val="001724C4"/>
    <w:rsid w:val="00172A27"/>
    <w:rsid w:val="00172C07"/>
    <w:rsid w:val="001734E2"/>
    <w:rsid w:val="00174527"/>
    <w:rsid w:val="00174817"/>
    <w:rsid w:val="0017481C"/>
    <w:rsid w:val="00174FBB"/>
    <w:rsid w:val="0017504D"/>
    <w:rsid w:val="00176127"/>
    <w:rsid w:val="0017671A"/>
    <w:rsid w:val="001772EA"/>
    <w:rsid w:val="00177422"/>
    <w:rsid w:val="0017794B"/>
    <w:rsid w:val="00180DF7"/>
    <w:rsid w:val="00181200"/>
    <w:rsid w:val="00182743"/>
    <w:rsid w:val="001827B0"/>
    <w:rsid w:val="001837E3"/>
    <w:rsid w:val="00184019"/>
    <w:rsid w:val="00184590"/>
    <w:rsid w:val="00184FD2"/>
    <w:rsid w:val="00186127"/>
    <w:rsid w:val="00186D03"/>
    <w:rsid w:val="001870D1"/>
    <w:rsid w:val="0018781E"/>
    <w:rsid w:val="0019081D"/>
    <w:rsid w:val="00190B91"/>
    <w:rsid w:val="00190E51"/>
    <w:rsid w:val="0019262D"/>
    <w:rsid w:val="001928CF"/>
    <w:rsid w:val="00193633"/>
    <w:rsid w:val="00193F04"/>
    <w:rsid w:val="0019443F"/>
    <w:rsid w:val="0019466D"/>
    <w:rsid w:val="00194C43"/>
    <w:rsid w:val="00196F46"/>
    <w:rsid w:val="00196FB4"/>
    <w:rsid w:val="001972F2"/>
    <w:rsid w:val="0019736E"/>
    <w:rsid w:val="001A085E"/>
    <w:rsid w:val="001A13C6"/>
    <w:rsid w:val="001A1B35"/>
    <w:rsid w:val="001A3237"/>
    <w:rsid w:val="001A439A"/>
    <w:rsid w:val="001A48A2"/>
    <w:rsid w:val="001A49D1"/>
    <w:rsid w:val="001A4CC0"/>
    <w:rsid w:val="001A4D33"/>
    <w:rsid w:val="001A50D8"/>
    <w:rsid w:val="001A6378"/>
    <w:rsid w:val="001A673D"/>
    <w:rsid w:val="001A6F61"/>
    <w:rsid w:val="001A7212"/>
    <w:rsid w:val="001A7B10"/>
    <w:rsid w:val="001B02D5"/>
    <w:rsid w:val="001B091A"/>
    <w:rsid w:val="001B0D7A"/>
    <w:rsid w:val="001B17B4"/>
    <w:rsid w:val="001B46DB"/>
    <w:rsid w:val="001B497B"/>
    <w:rsid w:val="001B557C"/>
    <w:rsid w:val="001B6174"/>
    <w:rsid w:val="001B617B"/>
    <w:rsid w:val="001B6A70"/>
    <w:rsid w:val="001B72B8"/>
    <w:rsid w:val="001B7526"/>
    <w:rsid w:val="001C092F"/>
    <w:rsid w:val="001C0BDD"/>
    <w:rsid w:val="001C1F02"/>
    <w:rsid w:val="001C2996"/>
    <w:rsid w:val="001C390C"/>
    <w:rsid w:val="001C53AC"/>
    <w:rsid w:val="001C556A"/>
    <w:rsid w:val="001C56BC"/>
    <w:rsid w:val="001C618F"/>
    <w:rsid w:val="001C69B3"/>
    <w:rsid w:val="001C6DF3"/>
    <w:rsid w:val="001D074F"/>
    <w:rsid w:val="001D0831"/>
    <w:rsid w:val="001D0DC8"/>
    <w:rsid w:val="001D13B8"/>
    <w:rsid w:val="001D1818"/>
    <w:rsid w:val="001D20B3"/>
    <w:rsid w:val="001D468E"/>
    <w:rsid w:val="001D5595"/>
    <w:rsid w:val="001D600E"/>
    <w:rsid w:val="001D7874"/>
    <w:rsid w:val="001D7E64"/>
    <w:rsid w:val="001D7F22"/>
    <w:rsid w:val="001E0586"/>
    <w:rsid w:val="001E07F5"/>
    <w:rsid w:val="001E1978"/>
    <w:rsid w:val="001E30A9"/>
    <w:rsid w:val="001E3993"/>
    <w:rsid w:val="001E3FCF"/>
    <w:rsid w:val="001E633D"/>
    <w:rsid w:val="001E780B"/>
    <w:rsid w:val="001F0F17"/>
    <w:rsid w:val="001F13E4"/>
    <w:rsid w:val="001F1EC2"/>
    <w:rsid w:val="001F1F38"/>
    <w:rsid w:val="001F30A1"/>
    <w:rsid w:val="001F3347"/>
    <w:rsid w:val="001F3B41"/>
    <w:rsid w:val="001F3BF6"/>
    <w:rsid w:val="001F3FA6"/>
    <w:rsid w:val="001F4E5E"/>
    <w:rsid w:val="001F69E4"/>
    <w:rsid w:val="001F7AA2"/>
    <w:rsid w:val="001F7EE9"/>
    <w:rsid w:val="00201310"/>
    <w:rsid w:val="002016F5"/>
    <w:rsid w:val="0020329A"/>
    <w:rsid w:val="00203C0C"/>
    <w:rsid w:val="002047AA"/>
    <w:rsid w:val="002048F6"/>
    <w:rsid w:val="0020510F"/>
    <w:rsid w:val="002063F8"/>
    <w:rsid w:val="0020791F"/>
    <w:rsid w:val="0021175F"/>
    <w:rsid w:val="00211990"/>
    <w:rsid w:val="0021249F"/>
    <w:rsid w:val="002125B4"/>
    <w:rsid w:val="00212829"/>
    <w:rsid w:val="00213553"/>
    <w:rsid w:val="00213840"/>
    <w:rsid w:val="0021521E"/>
    <w:rsid w:val="002155B8"/>
    <w:rsid w:val="00216BCB"/>
    <w:rsid w:val="00216EB2"/>
    <w:rsid w:val="00217094"/>
    <w:rsid w:val="00220915"/>
    <w:rsid w:val="00220A64"/>
    <w:rsid w:val="00222458"/>
    <w:rsid w:val="002225E1"/>
    <w:rsid w:val="002235EB"/>
    <w:rsid w:val="002237E2"/>
    <w:rsid w:val="00223D56"/>
    <w:rsid w:val="00224839"/>
    <w:rsid w:val="002249B2"/>
    <w:rsid w:val="00226574"/>
    <w:rsid w:val="00226FF3"/>
    <w:rsid w:val="00227292"/>
    <w:rsid w:val="00227318"/>
    <w:rsid w:val="002278EC"/>
    <w:rsid w:val="00230E00"/>
    <w:rsid w:val="002314E9"/>
    <w:rsid w:val="00231E65"/>
    <w:rsid w:val="0023280E"/>
    <w:rsid w:val="002334EC"/>
    <w:rsid w:val="0023368F"/>
    <w:rsid w:val="002337DB"/>
    <w:rsid w:val="00234848"/>
    <w:rsid w:val="002356A7"/>
    <w:rsid w:val="00235EEC"/>
    <w:rsid w:val="0023674F"/>
    <w:rsid w:val="002372C3"/>
    <w:rsid w:val="002377D1"/>
    <w:rsid w:val="00237D33"/>
    <w:rsid w:val="00241FBD"/>
    <w:rsid w:val="00243B17"/>
    <w:rsid w:val="0024434F"/>
    <w:rsid w:val="00246CB0"/>
    <w:rsid w:val="00246D9B"/>
    <w:rsid w:val="0024789A"/>
    <w:rsid w:val="00247CC1"/>
    <w:rsid w:val="002506BC"/>
    <w:rsid w:val="0025291F"/>
    <w:rsid w:val="002529AB"/>
    <w:rsid w:val="002530DC"/>
    <w:rsid w:val="002534AE"/>
    <w:rsid w:val="00254345"/>
    <w:rsid w:val="00254BCC"/>
    <w:rsid w:val="00254C5D"/>
    <w:rsid w:val="00254F6B"/>
    <w:rsid w:val="00255870"/>
    <w:rsid w:val="00256ABB"/>
    <w:rsid w:val="00257B34"/>
    <w:rsid w:val="00260108"/>
    <w:rsid w:val="002638F0"/>
    <w:rsid w:val="00264557"/>
    <w:rsid w:val="002651F2"/>
    <w:rsid w:val="00266608"/>
    <w:rsid w:val="00266EFA"/>
    <w:rsid w:val="002711D3"/>
    <w:rsid w:val="00271417"/>
    <w:rsid w:val="00271BE2"/>
    <w:rsid w:val="0027219C"/>
    <w:rsid w:val="00272956"/>
    <w:rsid w:val="0027298F"/>
    <w:rsid w:val="00273284"/>
    <w:rsid w:val="00274145"/>
    <w:rsid w:val="00274A89"/>
    <w:rsid w:val="002751E2"/>
    <w:rsid w:val="00275A59"/>
    <w:rsid w:val="00276928"/>
    <w:rsid w:val="00276B05"/>
    <w:rsid w:val="00277B91"/>
    <w:rsid w:val="00277FAB"/>
    <w:rsid w:val="002805AB"/>
    <w:rsid w:val="00281259"/>
    <w:rsid w:val="00281D52"/>
    <w:rsid w:val="0028244F"/>
    <w:rsid w:val="002832B6"/>
    <w:rsid w:val="002833A6"/>
    <w:rsid w:val="00283E2D"/>
    <w:rsid w:val="00284204"/>
    <w:rsid w:val="002859CA"/>
    <w:rsid w:val="00286DA1"/>
    <w:rsid w:val="002871F2"/>
    <w:rsid w:val="0028789F"/>
    <w:rsid w:val="00291773"/>
    <w:rsid w:val="00291CF4"/>
    <w:rsid w:val="00291D26"/>
    <w:rsid w:val="00292500"/>
    <w:rsid w:val="0029411F"/>
    <w:rsid w:val="00294C30"/>
    <w:rsid w:val="00296E50"/>
    <w:rsid w:val="002A0276"/>
    <w:rsid w:val="002A129A"/>
    <w:rsid w:val="002A168C"/>
    <w:rsid w:val="002A1CB9"/>
    <w:rsid w:val="002A1FB6"/>
    <w:rsid w:val="002A300C"/>
    <w:rsid w:val="002A3455"/>
    <w:rsid w:val="002A3DC7"/>
    <w:rsid w:val="002A3E69"/>
    <w:rsid w:val="002A4B1A"/>
    <w:rsid w:val="002A61E7"/>
    <w:rsid w:val="002A6997"/>
    <w:rsid w:val="002A7A05"/>
    <w:rsid w:val="002B083E"/>
    <w:rsid w:val="002B1921"/>
    <w:rsid w:val="002B1FE3"/>
    <w:rsid w:val="002B22D5"/>
    <w:rsid w:val="002B387D"/>
    <w:rsid w:val="002B49E2"/>
    <w:rsid w:val="002B4B6C"/>
    <w:rsid w:val="002B5F07"/>
    <w:rsid w:val="002B6C2E"/>
    <w:rsid w:val="002B7B00"/>
    <w:rsid w:val="002B7C44"/>
    <w:rsid w:val="002C2B17"/>
    <w:rsid w:val="002D27A1"/>
    <w:rsid w:val="002D3173"/>
    <w:rsid w:val="002D39C2"/>
    <w:rsid w:val="002D3DD0"/>
    <w:rsid w:val="002D41EF"/>
    <w:rsid w:val="002D50FD"/>
    <w:rsid w:val="002D6007"/>
    <w:rsid w:val="002E131B"/>
    <w:rsid w:val="002E1F3A"/>
    <w:rsid w:val="002E2677"/>
    <w:rsid w:val="002E2865"/>
    <w:rsid w:val="002E298A"/>
    <w:rsid w:val="002E2F76"/>
    <w:rsid w:val="002E51B3"/>
    <w:rsid w:val="002E5F37"/>
    <w:rsid w:val="002E7FC6"/>
    <w:rsid w:val="002F0401"/>
    <w:rsid w:val="002F08BD"/>
    <w:rsid w:val="002F11AA"/>
    <w:rsid w:val="002F19FC"/>
    <w:rsid w:val="002F1B71"/>
    <w:rsid w:val="002F3323"/>
    <w:rsid w:val="002F54FA"/>
    <w:rsid w:val="002F5E59"/>
    <w:rsid w:val="002F70BA"/>
    <w:rsid w:val="002F7180"/>
    <w:rsid w:val="003002D7"/>
    <w:rsid w:val="00301978"/>
    <w:rsid w:val="00301BDF"/>
    <w:rsid w:val="00301F15"/>
    <w:rsid w:val="003029E9"/>
    <w:rsid w:val="0030332C"/>
    <w:rsid w:val="00303A08"/>
    <w:rsid w:val="00304417"/>
    <w:rsid w:val="003051C2"/>
    <w:rsid w:val="0030570C"/>
    <w:rsid w:val="0030594E"/>
    <w:rsid w:val="00305C22"/>
    <w:rsid w:val="003078DC"/>
    <w:rsid w:val="00307986"/>
    <w:rsid w:val="00307F43"/>
    <w:rsid w:val="00310A50"/>
    <w:rsid w:val="00310C2A"/>
    <w:rsid w:val="0031109C"/>
    <w:rsid w:val="00311EE6"/>
    <w:rsid w:val="00312296"/>
    <w:rsid w:val="0031272A"/>
    <w:rsid w:val="00312E3C"/>
    <w:rsid w:val="00314EB9"/>
    <w:rsid w:val="00314F0E"/>
    <w:rsid w:val="0031592A"/>
    <w:rsid w:val="003168B7"/>
    <w:rsid w:val="00317A18"/>
    <w:rsid w:val="00321582"/>
    <w:rsid w:val="00321D8E"/>
    <w:rsid w:val="003228E9"/>
    <w:rsid w:val="00322E64"/>
    <w:rsid w:val="00323A7D"/>
    <w:rsid w:val="00323AAA"/>
    <w:rsid w:val="00324DCB"/>
    <w:rsid w:val="003253AB"/>
    <w:rsid w:val="003258BF"/>
    <w:rsid w:val="00325928"/>
    <w:rsid w:val="00326399"/>
    <w:rsid w:val="003274D1"/>
    <w:rsid w:val="0032796A"/>
    <w:rsid w:val="0032799D"/>
    <w:rsid w:val="0033003C"/>
    <w:rsid w:val="00330276"/>
    <w:rsid w:val="00330466"/>
    <w:rsid w:val="003305AB"/>
    <w:rsid w:val="00330653"/>
    <w:rsid w:val="00330E98"/>
    <w:rsid w:val="00331402"/>
    <w:rsid w:val="00331A3A"/>
    <w:rsid w:val="00332863"/>
    <w:rsid w:val="003331F1"/>
    <w:rsid w:val="00333800"/>
    <w:rsid w:val="0033684D"/>
    <w:rsid w:val="00337B42"/>
    <w:rsid w:val="00340102"/>
    <w:rsid w:val="0034159B"/>
    <w:rsid w:val="00341B42"/>
    <w:rsid w:val="003424FF"/>
    <w:rsid w:val="003426FF"/>
    <w:rsid w:val="00342F48"/>
    <w:rsid w:val="00343212"/>
    <w:rsid w:val="0034348F"/>
    <w:rsid w:val="00343F37"/>
    <w:rsid w:val="00344950"/>
    <w:rsid w:val="0034636C"/>
    <w:rsid w:val="00346B3E"/>
    <w:rsid w:val="003473CF"/>
    <w:rsid w:val="0034746D"/>
    <w:rsid w:val="0034746E"/>
    <w:rsid w:val="00347967"/>
    <w:rsid w:val="003508AB"/>
    <w:rsid w:val="003512BE"/>
    <w:rsid w:val="003527E5"/>
    <w:rsid w:val="00352E32"/>
    <w:rsid w:val="0035377F"/>
    <w:rsid w:val="0035398B"/>
    <w:rsid w:val="003539C6"/>
    <w:rsid w:val="00353EAB"/>
    <w:rsid w:val="00354293"/>
    <w:rsid w:val="00355FF5"/>
    <w:rsid w:val="003560DC"/>
    <w:rsid w:val="00356653"/>
    <w:rsid w:val="00356D1C"/>
    <w:rsid w:val="00356E00"/>
    <w:rsid w:val="0035743F"/>
    <w:rsid w:val="00357BE2"/>
    <w:rsid w:val="00360014"/>
    <w:rsid w:val="00360DC4"/>
    <w:rsid w:val="0036170C"/>
    <w:rsid w:val="003628F2"/>
    <w:rsid w:val="00363232"/>
    <w:rsid w:val="0036550D"/>
    <w:rsid w:val="00366E0F"/>
    <w:rsid w:val="0036782E"/>
    <w:rsid w:val="00371025"/>
    <w:rsid w:val="003717AF"/>
    <w:rsid w:val="00371AF6"/>
    <w:rsid w:val="003721C0"/>
    <w:rsid w:val="00372541"/>
    <w:rsid w:val="00376098"/>
    <w:rsid w:val="00380708"/>
    <w:rsid w:val="00380C50"/>
    <w:rsid w:val="00381A72"/>
    <w:rsid w:val="00381D34"/>
    <w:rsid w:val="00382FDE"/>
    <w:rsid w:val="00383A00"/>
    <w:rsid w:val="003840A7"/>
    <w:rsid w:val="00384676"/>
    <w:rsid w:val="00384ADD"/>
    <w:rsid w:val="0038565E"/>
    <w:rsid w:val="003876AE"/>
    <w:rsid w:val="00390857"/>
    <w:rsid w:val="00391C9B"/>
    <w:rsid w:val="00393CEF"/>
    <w:rsid w:val="003942D5"/>
    <w:rsid w:val="0039452E"/>
    <w:rsid w:val="00395611"/>
    <w:rsid w:val="003971B2"/>
    <w:rsid w:val="0039729E"/>
    <w:rsid w:val="00397958"/>
    <w:rsid w:val="003A0735"/>
    <w:rsid w:val="003A0989"/>
    <w:rsid w:val="003A1554"/>
    <w:rsid w:val="003A1847"/>
    <w:rsid w:val="003A1F8C"/>
    <w:rsid w:val="003A2BF1"/>
    <w:rsid w:val="003A440D"/>
    <w:rsid w:val="003A4946"/>
    <w:rsid w:val="003A4BF3"/>
    <w:rsid w:val="003A5660"/>
    <w:rsid w:val="003B2D24"/>
    <w:rsid w:val="003B3A04"/>
    <w:rsid w:val="003B420D"/>
    <w:rsid w:val="003B6992"/>
    <w:rsid w:val="003B7548"/>
    <w:rsid w:val="003B767C"/>
    <w:rsid w:val="003C14CE"/>
    <w:rsid w:val="003C175D"/>
    <w:rsid w:val="003C28AB"/>
    <w:rsid w:val="003C2930"/>
    <w:rsid w:val="003C3FA1"/>
    <w:rsid w:val="003C5159"/>
    <w:rsid w:val="003C5B3A"/>
    <w:rsid w:val="003C60F6"/>
    <w:rsid w:val="003C6BF7"/>
    <w:rsid w:val="003C6C16"/>
    <w:rsid w:val="003C7EB5"/>
    <w:rsid w:val="003C7EC5"/>
    <w:rsid w:val="003D03EA"/>
    <w:rsid w:val="003D0F82"/>
    <w:rsid w:val="003D23FB"/>
    <w:rsid w:val="003D3F6D"/>
    <w:rsid w:val="003D4432"/>
    <w:rsid w:val="003D6028"/>
    <w:rsid w:val="003D794D"/>
    <w:rsid w:val="003E1B2F"/>
    <w:rsid w:val="003E1EA9"/>
    <w:rsid w:val="003E3058"/>
    <w:rsid w:val="003E3137"/>
    <w:rsid w:val="003E34F2"/>
    <w:rsid w:val="003E38B5"/>
    <w:rsid w:val="003E4F42"/>
    <w:rsid w:val="003E5069"/>
    <w:rsid w:val="003E59CD"/>
    <w:rsid w:val="003E6A15"/>
    <w:rsid w:val="003E7549"/>
    <w:rsid w:val="003E76A9"/>
    <w:rsid w:val="003E78B4"/>
    <w:rsid w:val="003F0551"/>
    <w:rsid w:val="003F0809"/>
    <w:rsid w:val="003F31A9"/>
    <w:rsid w:val="003F3B6B"/>
    <w:rsid w:val="003F5F7F"/>
    <w:rsid w:val="003F6387"/>
    <w:rsid w:val="003F643D"/>
    <w:rsid w:val="003F6A8C"/>
    <w:rsid w:val="003F755C"/>
    <w:rsid w:val="003F7731"/>
    <w:rsid w:val="00400731"/>
    <w:rsid w:val="00400CBC"/>
    <w:rsid w:val="004031BD"/>
    <w:rsid w:val="004037A3"/>
    <w:rsid w:val="0040590C"/>
    <w:rsid w:val="00405CAA"/>
    <w:rsid w:val="00406457"/>
    <w:rsid w:val="00406F01"/>
    <w:rsid w:val="00410AB4"/>
    <w:rsid w:val="00411295"/>
    <w:rsid w:val="004117E0"/>
    <w:rsid w:val="0041192C"/>
    <w:rsid w:val="0041445B"/>
    <w:rsid w:val="00415DDE"/>
    <w:rsid w:val="00416D50"/>
    <w:rsid w:val="00416FD5"/>
    <w:rsid w:val="00417181"/>
    <w:rsid w:val="00417772"/>
    <w:rsid w:val="00417E60"/>
    <w:rsid w:val="0042055F"/>
    <w:rsid w:val="00420E6A"/>
    <w:rsid w:val="0042166B"/>
    <w:rsid w:val="004253BA"/>
    <w:rsid w:val="0042583D"/>
    <w:rsid w:val="00425A9E"/>
    <w:rsid w:val="00425B6A"/>
    <w:rsid w:val="00426D6B"/>
    <w:rsid w:val="00427248"/>
    <w:rsid w:val="00427424"/>
    <w:rsid w:val="00430400"/>
    <w:rsid w:val="00430651"/>
    <w:rsid w:val="00430701"/>
    <w:rsid w:val="004311E9"/>
    <w:rsid w:val="00431E6C"/>
    <w:rsid w:val="00431FF1"/>
    <w:rsid w:val="00433A7A"/>
    <w:rsid w:val="00433CE7"/>
    <w:rsid w:val="0043424C"/>
    <w:rsid w:val="0043702F"/>
    <w:rsid w:val="004400ED"/>
    <w:rsid w:val="0044249E"/>
    <w:rsid w:val="00443233"/>
    <w:rsid w:val="0044331B"/>
    <w:rsid w:val="004442DF"/>
    <w:rsid w:val="004453F9"/>
    <w:rsid w:val="004461A7"/>
    <w:rsid w:val="00446BC4"/>
    <w:rsid w:val="00451F94"/>
    <w:rsid w:val="00452738"/>
    <w:rsid w:val="00452ED5"/>
    <w:rsid w:val="00454E24"/>
    <w:rsid w:val="00456091"/>
    <w:rsid w:val="00456E4F"/>
    <w:rsid w:val="00457141"/>
    <w:rsid w:val="00457526"/>
    <w:rsid w:val="004577F7"/>
    <w:rsid w:val="004610DB"/>
    <w:rsid w:val="00461525"/>
    <w:rsid w:val="00461BD4"/>
    <w:rsid w:val="00461D28"/>
    <w:rsid w:val="00461E99"/>
    <w:rsid w:val="00462544"/>
    <w:rsid w:val="004643F8"/>
    <w:rsid w:val="00466321"/>
    <w:rsid w:val="00466AB7"/>
    <w:rsid w:val="00467A7B"/>
    <w:rsid w:val="00470560"/>
    <w:rsid w:val="004710F7"/>
    <w:rsid w:val="00474053"/>
    <w:rsid w:val="004742DC"/>
    <w:rsid w:val="004765AB"/>
    <w:rsid w:val="00476693"/>
    <w:rsid w:val="004776EC"/>
    <w:rsid w:val="004777FA"/>
    <w:rsid w:val="00477894"/>
    <w:rsid w:val="00482153"/>
    <w:rsid w:val="00484B9B"/>
    <w:rsid w:val="004855F6"/>
    <w:rsid w:val="0048661E"/>
    <w:rsid w:val="00486F80"/>
    <w:rsid w:val="00487A44"/>
    <w:rsid w:val="004907EF"/>
    <w:rsid w:val="00491428"/>
    <w:rsid w:val="00491A8A"/>
    <w:rsid w:val="00492382"/>
    <w:rsid w:val="00492616"/>
    <w:rsid w:val="00494670"/>
    <w:rsid w:val="004956B4"/>
    <w:rsid w:val="004A0803"/>
    <w:rsid w:val="004A1C5B"/>
    <w:rsid w:val="004A2BEA"/>
    <w:rsid w:val="004A3823"/>
    <w:rsid w:val="004A5A75"/>
    <w:rsid w:val="004A696F"/>
    <w:rsid w:val="004A6C37"/>
    <w:rsid w:val="004A6F47"/>
    <w:rsid w:val="004A7282"/>
    <w:rsid w:val="004B042F"/>
    <w:rsid w:val="004B1216"/>
    <w:rsid w:val="004B15EB"/>
    <w:rsid w:val="004B23AF"/>
    <w:rsid w:val="004B28E0"/>
    <w:rsid w:val="004B2F61"/>
    <w:rsid w:val="004B47CB"/>
    <w:rsid w:val="004B5275"/>
    <w:rsid w:val="004B5958"/>
    <w:rsid w:val="004B6CDE"/>
    <w:rsid w:val="004B6FB5"/>
    <w:rsid w:val="004B71F6"/>
    <w:rsid w:val="004B76D2"/>
    <w:rsid w:val="004C0342"/>
    <w:rsid w:val="004C093E"/>
    <w:rsid w:val="004C226C"/>
    <w:rsid w:val="004C3ABC"/>
    <w:rsid w:val="004C638D"/>
    <w:rsid w:val="004C68D8"/>
    <w:rsid w:val="004C7040"/>
    <w:rsid w:val="004C719D"/>
    <w:rsid w:val="004C7E9F"/>
    <w:rsid w:val="004D1FCE"/>
    <w:rsid w:val="004D2FC8"/>
    <w:rsid w:val="004D2FEF"/>
    <w:rsid w:val="004D4C30"/>
    <w:rsid w:val="004D5D9E"/>
    <w:rsid w:val="004D66B8"/>
    <w:rsid w:val="004D7384"/>
    <w:rsid w:val="004E087E"/>
    <w:rsid w:val="004E105E"/>
    <w:rsid w:val="004E13D6"/>
    <w:rsid w:val="004E2210"/>
    <w:rsid w:val="004E2306"/>
    <w:rsid w:val="004E4721"/>
    <w:rsid w:val="004E50EE"/>
    <w:rsid w:val="004E6946"/>
    <w:rsid w:val="004E69DB"/>
    <w:rsid w:val="004E75FE"/>
    <w:rsid w:val="004F1AD8"/>
    <w:rsid w:val="004F1CC8"/>
    <w:rsid w:val="004F2284"/>
    <w:rsid w:val="004F5872"/>
    <w:rsid w:val="004F6E06"/>
    <w:rsid w:val="00500059"/>
    <w:rsid w:val="0050085B"/>
    <w:rsid w:val="005030A9"/>
    <w:rsid w:val="005039CB"/>
    <w:rsid w:val="0050558F"/>
    <w:rsid w:val="00506204"/>
    <w:rsid w:val="00506286"/>
    <w:rsid w:val="005064AD"/>
    <w:rsid w:val="00506BAD"/>
    <w:rsid w:val="005071F5"/>
    <w:rsid w:val="00510813"/>
    <w:rsid w:val="005111CF"/>
    <w:rsid w:val="00511990"/>
    <w:rsid w:val="00511DE0"/>
    <w:rsid w:val="00512552"/>
    <w:rsid w:val="00512ABC"/>
    <w:rsid w:val="0051331F"/>
    <w:rsid w:val="00514319"/>
    <w:rsid w:val="00514359"/>
    <w:rsid w:val="00514870"/>
    <w:rsid w:val="00514B94"/>
    <w:rsid w:val="00514B9B"/>
    <w:rsid w:val="005175E8"/>
    <w:rsid w:val="00517653"/>
    <w:rsid w:val="00517F02"/>
    <w:rsid w:val="005204DB"/>
    <w:rsid w:val="00523123"/>
    <w:rsid w:val="00523669"/>
    <w:rsid w:val="005241B6"/>
    <w:rsid w:val="00524303"/>
    <w:rsid w:val="005258A2"/>
    <w:rsid w:val="00526781"/>
    <w:rsid w:val="00526CC7"/>
    <w:rsid w:val="005271E8"/>
    <w:rsid w:val="0053081A"/>
    <w:rsid w:val="0053172D"/>
    <w:rsid w:val="00531D6D"/>
    <w:rsid w:val="00532BD4"/>
    <w:rsid w:val="00532F4B"/>
    <w:rsid w:val="0053537E"/>
    <w:rsid w:val="005355B3"/>
    <w:rsid w:val="00535C3C"/>
    <w:rsid w:val="0053672B"/>
    <w:rsid w:val="00536D0F"/>
    <w:rsid w:val="0053765E"/>
    <w:rsid w:val="00537E8B"/>
    <w:rsid w:val="005401AE"/>
    <w:rsid w:val="00540CFD"/>
    <w:rsid w:val="00540D8E"/>
    <w:rsid w:val="00541DDB"/>
    <w:rsid w:val="0054275E"/>
    <w:rsid w:val="00542E07"/>
    <w:rsid w:val="00544701"/>
    <w:rsid w:val="005450EB"/>
    <w:rsid w:val="00545424"/>
    <w:rsid w:val="0054560C"/>
    <w:rsid w:val="00545F67"/>
    <w:rsid w:val="00546502"/>
    <w:rsid w:val="00546AAF"/>
    <w:rsid w:val="00547D34"/>
    <w:rsid w:val="00551E42"/>
    <w:rsid w:val="00552EB4"/>
    <w:rsid w:val="00553034"/>
    <w:rsid w:val="00553695"/>
    <w:rsid w:val="005542AF"/>
    <w:rsid w:val="00554A7B"/>
    <w:rsid w:val="00555573"/>
    <w:rsid w:val="0055572C"/>
    <w:rsid w:val="0055646B"/>
    <w:rsid w:val="00556DFF"/>
    <w:rsid w:val="0056106A"/>
    <w:rsid w:val="005611CC"/>
    <w:rsid w:val="00561D65"/>
    <w:rsid w:val="00561EFF"/>
    <w:rsid w:val="005625A7"/>
    <w:rsid w:val="0056452A"/>
    <w:rsid w:val="00564A4A"/>
    <w:rsid w:val="00565BA0"/>
    <w:rsid w:val="005702B5"/>
    <w:rsid w:val="0057145E"/>
    <w:rsid w:val="005717F2"/>
    <w:rsid w:val="00571925"/>
    <w:rsid w:val="005720AE"/>
    <w:rsid w:val="0057273E"/>
    <w:rsid w:val="00573730"/>
    <w:rsid w:val="0057501D"/>
    <w:rsid w:val="005750A2"/>
    <w:rsid w:val="00576A0B"/>
    <w:rsid w:val="005774C8"/>
    <w:rsid w:val="00577DFE"/>
    <w:rsid w:val="005801F9"/>
    <w:rsid w:val="00581165"/>
    <w:rsid w:val="0058201F"/>
    <w:rsid w:val="00582E1D"/>
    <w:rsid w:val="005833FB"/>
    <w:rsid w:val="0058414B"/>
    <w:rsid w:val="00584B57"/>
    <w:rsid w:val="00585208"/>
    <w:rsid w:val="00585FBB"/>
    <w:rsid w:val="00590341"/>
    <w:rsid w:val="0059151E"/>
    <w:rsid w:val="0059297D"/>
    <w:rsid w:val="00594C9F"/>
    <w:rsid w:val="00594D77"/>
    <w:rsid w:val="00596410"/>
    <w:rsid w:val="005969E4"/>
    <w:rsid w:val="00596DE7"/>
    <w:rsid w:val="00597196"/>
    <w:rsid w:val="005A06B7"/>
    <w:rsid w:val="005A1061"/>
    <w:rsid w:val="005A1759"/>
    <w:rsid w:val="005A1DB4"/>
    <w:rsid w:val="005A1EE4"/>
    <w:rsid w:val="005A219D"/>
    <w:rsid w:val="005A3504"/>
    <w:rsid w:val="005A43C6"/>
    <w:rsid w:val="005A5A58"/>
    <w:rsid w:val="005A6395"/>
    <w:rsid w:val="005A68A7"/>
    <w:rsid w:val="005B0DAA"/>
    <w:rsid w:val="005B1958"/>
    <w:rsid w:val="005B2E07"/>
    <w:rsid w:val="005B4B32"/>
    <w:rsid w:val="005B603D"/>
    <w:rsid w:val="005B6349"/>
    <w:rsid w:val="005B6796"/>
    <w:rsid w:val="005B73FC"/>
    <w:rsid w:val="005C02C2"/>
    <w:rsid w:val="005C042D"/>
    <w:rsid w:val="005C099C"/>
    <w:rsid w:val="005C261C"/>
    <w:rsid w:val="005C2FBC"/>
    <w:rsid w:val="005C3A55"/>
    <w:rsid w:val="005C466B"/>
    <w:rsid w:val="005C4E9B"/>
    <w:rsid w:val="005C5308"/>
    <w:rsid w:val="005C7F53"/>
    <w:rsid w:val="005D0299"/>
    <w:rsid w:val="005D3017"/>
    <w:rsid w:val="005D36A5"/>
    <w:rsid w:val="005D36AB"/>
    <w:rsid w:val="005D38A7"/>
    <w:rsid w:val="005D4943"/>
    <w:rsid w:val="005D4989"/>
    <w:rsid w:val="005D5010"/>
    <w:rsid w:val="005D5777"/>
    <w:rsid w:val="005D7502"/>
    <w:rsid w:val="005D75EA"/>
    <w:rsid w:val="005D7BF4"/>
    <w:rsid w:val="005E002C"/>
    <w:rsid w:val="005E0688"/>
    <w:rsid w:val="005E0F1B"/>
    <w:rsid w:val="005E0FE0"/>
    <w:rsid w:val="005E1095"/>
    <w:rsid w:val="005E1499"/>
    <w:rsid w:val="005E2526"/>
    <w:rsid w:val="005E37A8"/>
    <w:rsid w:val="005E37FB"/>
    <w:rsid w:val="005E438D"/>
    <w:rsid w:val="005E64DB"/>
    <w:rsid w:val="005E7998"/>
    <w:rsid w:val="005F1BE5"/>
    <w:rsid w:val="005F24A1"/>
    <w:rsid w:val="005F2EEC"/>
    <w:rsid w:val="005F376E"/>
    <w:rsid w:val="005F4909"/>
    <w:rsid w:val="005F4EE4"/>
    <w:rsid w:val="005F5678"/>
    <w:rsid w:val="005F58FD"/>
    <w:rsid w:val="005F5925"/>
    <w:rsid w:val="005F6AE3"/>
    <w:rsid w:val="005F6BBE"/>
    <w:rsid w:val="005F7450"/>
    <w:rsid w:val="005F764E"/>
    <w:rsid w:val="005F7F11"/>
    <w:rsid w:val="006009A4"/>
    <w:rsid w:val="00600C1E"/>
    <w:rsid w:val="0060132B"/>
    <w:rsid w:val="00601574"/>
    <w:rsid w:val="0060288D"/>
    <w:rsid w:val="006060D1"/>
    <w:rsid w:val="00606183"/>
    <w:rsid w:val="006068B8"/>
    <w:rsid w:val="00607D47"/>
    <w:rsid w:val="006104F3"/>
    <w:rsid w:val="006109C1"/>
    <w:rsid w:val="00610C45"/>
    <w:rsid w:val="00610E30"/>
    <w:rsid w:val="00612881"/>
    <w:rsid w:val="006129D1"/>
    <w:rsid w:val="00612A44"/>
    <w:rsid w:val="00613233"/>
    <w:rsid w:val="0061609A"/>
    <w:rsid w:val="00616BEB"/>
    <w:rsid w:val="0061740C"/>
    <w:rsid w:val="00617CC3"/>
    <w:rsid w:val="0062127B"/>
    <w:rsid w:val="00624E6E"/>
    <w:rsid w:val="006256A7"/>
    <w:rsid w:val="00625D66"/>
    <w:rsid w:val="00627D5C"/>
    <w:rsid w:val="00630639"/>
    <w:rsid w:val="00630EFA"/>
    <w:rsid w:val="00631B46"/>
    <w:rsid w:val="0063273B"/>
    <w:rsid w:val="00633D57"/>
    <w:rsid w:val="00636037"/>
    <w:rsid w:val="006377A6"/>
    <w:rsid w:val="00637A3D"/>
    <w:rsid w:val="006411EF"/>
    <w:rsid w:val="006508F3"/>
    <w:rsid w:val="0065247A"/>
    <w:rsid w:val="006529A2"/>
    <w:rsid w:val="006531AB"/>
    <w:rsid w:val="00653200"/>
    <w:rsid w:val="006538E3"/>
    <w:rsid w:val="00653A7D"/>
    <w:rsid w:val="006551AB"/>
    <w:rsid w:val="00656A7B"/>
    <w:rsid w:val="00656AF5"/>
    <w:rsid w:val="006577F8"/>
    <w:rsid w:val="00657853"/>
    <w:rsid w:val="00660820"/>
    <w:rsid w:val="00660AF0"/>
    <w:rsid w:val="00661EBE"/>
    <w:rsid w:val="00662E73"/>
    <w:rsid w:val="00662EA2"/>
    <w:rsid w:val="00663999"/>
    <w:rsid w:val="006641D8"/>
    <w:rsid w:val="006656E6"/>
    <w:rsid w:val="0066666E"/>
    <w:rsid w:val="00666A21"/>
    <w:rsid w:val="00666F70"/>
    <w:rsid w:val="006701DD"/>
    <w:rsid w:val="00671D69"/>
    <w:rsid w:val="0067206E"/>
    <w:rsid w:val="006735BA"/>
    <w:rsid w:val="006735C5"/>
    <w:rsid w:val="006748B8"/>
    <w:rsid w:val="0067643E"/>
    <w:rsid w:val="00676CCF"/>
    <w:rsid w:val="006775C3"/>
    <w:rsid w:val="00677952"/>
    <w:rsid w:val="0068079E"/>
    <w:rsid w:val="00680F6C"/>
    <w:rsid w:val="00684C73"/>
    <w:rsid w:val="00684C91"/>
    <w:rsid w:val="00684EDD"/>
    <w:rsid w:val="006854D4"/>
    <w:rsid w:val="0068564B"/>
    <w:rsid w:val="00686464"/>
    <w:rsid w:val="0068673A"/>
    <w:rsid w:val="006870D5"/>
    <w:rsid w:val="0068728A"/>
    <w:rsid w:val="00687671"/>
    <w:rsid w:val="00690B6F"/>
    <w:rsid w:val="00690E3B"/>
    <w:rsid w:val="00691775"/>
    <w:rsid w:val="00691C69"/>
    <w:rsid w:val="0069290A"/>
    <w:rsid w:val="00692961"/>
    <w:rsid w:val="00692CE1"/>
    <w:rsid w:val="00694FF9"/>
    <w:rsid w:val="0069539D"/>
    <w:rsid w:val="00695CA0"/>
    <w:rsid w:val="00695E48"/>
    <w:rsid w:val="006969A0"/>
    <w:rsid w:val="00697239"/>
    <w:rsid w:val="0069775A"/>
    <w:rsid w:val="00697813"/>
    <w:rsid w:val="006A1669"/>
    <w:rsid w:val="006A31F3"/>
    <w:rsid w:val="006A3D31"/>
    <w:rsid w:val="006A3EE8"/>
    <w:rsid w:val="006A4050"/>
    <w:rsid w:val="006A427A"/>
    <w:rsid w:val="006A4542"/>
    <w:rsid w:val="006A5075"/>
    <w:rsid w:val="006A5472"/>
    <w:rsid w:val="006A72BF"/>
    <w:rsid w:val="006B03F2"/>
    <w:rsid w:val="006B0EFE"/>
    <w:rsid w:val="006B103B"/>
    <w:rsid w:val="006B1EB3"/>
    <w:rsid w:val="006B318B"/>
    <w:rsid w:val="006B37DC"/>
    <w:rsid w:val="006B407A"/>
    <w:rsid w:val="006B4C1F"/>
    <w:rsid w:val="006B4F68"/>
    <w:rsid w:val="006B63E8"/>
    <w:rsid w:val="006B6581"/>
    <w:rsid w:val="006B71BC"/>
    <w:rsid w:val="006B7301"/>
    <w:rsid w:val="006C0592"/>
    <w:rsid w:val="006C272E"/>
    <w:rsid w:val="006C2AF2"/>
    <w:rsid w:val="006C2FE2"/>
    <w:rsid w:val="006C41CC"/>
    <w:rsid w:val="006C502E"/>
    <w:rsid w:val="006C5479"/>
    <w:rsid w:val="006C601C"/>
    <w:rsid w:val="006C6B8E"/>
    <w:rsid w:val="006D13B5"/>
    <w:rsid w:val="006D18F9"/>
    <w:rsid w:val="006D1B0B"/>
    <w:rsid w:val="006D2005"/>
    <w:rsid w:val="006D24D1"/>
    <w:rsid w:val="006D3C43"/>
    <w:rsid w:val="006D50AE"/>
    <w:rsid w:val="006D565D"/>
    <w:rsid w:val="006D650B"/>
    <w:rsid w:val="006D65DC"/>
    <w:rsid w:val="006D7504"/>
    <w:rsid w:val="006D78B2"/>
    <w:rsid w:val="006D7922"/>
    <w:rsid w:val="006E0009"/>
    <w:rsid w:val="006E012E"/>
    <w:rsid w:val="006E12FF"/>
    <w:rsid w:val="006E14B4"/>
    <w:rsid w:val="006E18DD"/>
    <w:rsid w:val="006E2B0E"/>
    <w:rsid w:val="006E30AE"/>
    <w:rsid w:val="006E3475"/>
    <w:rsid w:val="006E45FB"/>
    <w:rsid w:val="006E57A7"/>
    <w:rsid w:val="006E607E"/>
    <w:rsid w:val="006E6F0C"/>
    <w:rsid w:val="006E7055"/>
    <w:rsid w:val="006E75C6"/>
    <w:rsid w:val="006E776E"/>
    <w:rsid w:val="006F166B"/>
    <w:rsid w:val="006F1D92"/>
    <w:rsid w:val="006F2C91"/>
    <w:rsid w:val="006F3359"/>
    <w:rsid w:val="006F42DA"/>
    <w:rsid w:val="006F4A67"/>
    <w:rsid w:val="006F53F0"/>
    <w:rsid w:val="006F664A"/>
    <w:rsid w:val="006F765B"/>
    <w:rsid w:val="00700A41"/>
    <w:rsid w:val="00700D45"/>
    <w:rsid w:val="0070128B"/>
    <w:rsid w:val="007017E5"/>
    <w:rsid w:val="00702A86"/>
    <w:rsid w:val="007032E8"/>
    <w:rsid w:val="00703BA9"/>
    <w:rsid w:val="00703C73"/>
    <w:rsid w:val="00703D53"/>
    <w:rsid w:val="00706A75"/>
    <w:rsid w:val="00706C5D"/>
    <w:rsid w:val="00707D15"/>
    <w:rsid w:val="00710F1C"/>
    <w:rsid w:val="00711C55"/>
    <w:rsid w:val="0071210F"/>
    <w:rsid w:val="00712CA5"/>
    <w:rsid w:val="00713342"/>
    <w:rsid w:val="007135AC"/>
    <w:rsid w:val="00713FC2"/>
    <w:rsid w:val="007152B3"/>
    <w:rsid w:val="00715422"/>
    <w:rsid w:val="00722553"/>
    <w:rsid w:val="00722B99"/>
    <w:rsid w:val="007233F5"/>
    <w:rsid w:val="0072369C"/>
    <w:rsid w:val="00724527"/>
    <w:rsid w:val="007248E2"/>
    <w:rsid w:val="00725D63"/>
    <w:rsid w:val="00726217"/>
    <w:rsid w:val="0073291E"/>
    <w:rsid w:val="00732922"/>
    <w:rsid w:val="00733A6F"/>
    <w:rsid w:val="0073446F"/>
    <w:rsid w:val="00734829"/>
    <w:rsid w:val="00736359"/>
    <w:rsid w:val="00736AF0"/>
    <w:rsid w:val="007403AD"/>
    <w:rsid w:val="007408A1"/>
    <w:rsid w:val="007409EC"/>
    <w:rsid w:val="00740B0B"/>
    <w:rsid w:val="00742419"/>
    <w:rsid w:val="007431A7"/>
    <w:rsid w:val="00744DE0"/>
    <w:rsid w:val="00747962"/>
    <w:rsid w:val="0075008C"/>
    <w:rsid w:val="00750998"/>
    <w:rsid w:val="0075162E"/>
    <w:rsid w:val="00752475"/>
    <w:rsid w:val="007532DE"/>
    <w:rsid w:val="0075399C"/>
    <w:rsid w:val="00754034"/>
    <w:rsid w:val="007540AE"/>
    <w:rsid w:val="0075412E"/>
    <w:rsid w:val="007560D9"/>
    <w:rsid w:val="00756556"/>
    <w:rsid w:val="0075663D"/>
    <w:rsid w:val="00761680"/>
    <w:rsid w:val="007618C4"/>
    <w:rsid w:val="00761C90"/>
    <w:rsid w:val="0076208D"/>
    <w:rsid w:val="00762D23"/>
    <w:rsid w:val="007632AE"/>
    <w:rsid w:val="007637E6"/>
    <w:rsid w:val="00764198"/>
    <w:rsid w:val="00767980"/>
    <w:rsid w:val="007705D2"/>
    <w:rsid w:val="00770B19"/>
    <w:rsid w:val="0077196E"/>
    <w:rsid w:val="00773C69"/>
    <w:rsid w:val="0077463F"/>
    <w:rsid w:val="007759BB"/>
    <w:rsid w:val="00776892"/>
    <w:rsid w:val="007769AD"/>
    <w:rsid w:val="007810E9"/>
    <w:rsid w:val="0078173D"/>
    <w:rsid w:val="00781C1E"/>
    <w:rsid w:val="007829B2"/>
    <w:rsid w:val="00782AF8"/>
    <w:rsid w:val="007836EA"/>
    <w:rsid w:val="0078376B"/>
    <w:rsid w:val="00783B45"/>
    <w:rsid w:val="00784CDA"/>
    <w:rsid w:val="00784E17"/>
    <w:rsid w:val="00785C3E"/>
    <w:rsid w:val="00786097"/>
    <w:rsid w:val="00786647"/>
    <w:rsid w:val="00787744"/>
    <w:rsid w:val="007906C4"/>
    <w:rsid w:val="00790BFD"/>
    <w:rsid w:val="00790E71"/>
    <w:rsid w:val="007924C3"/>
    <w:rsid w:val="00793281"/>
    <w:rsid w:val="00793D4C"/>
    <w:rsid w:val="007940EA"/>
    <w:rsid w:val="0079445E"/>
    <w:rsid w:val="0079454C"/>
    <w:rsid w:val="0079469E"/>
    <w:rsid w:val="00794C7D"/>
    <w:rsid w:val="00795808"/>
    <w:rsid w:val="00796318"/>
    <w:rsid w:val="007967E8"/>
    <w:rsid w:val="007A1409"/>
    <w:rsid w:val="007A16B0"/>
    <w:rsid w:val="007A1B6A"/>
    <w:rsid w:val="007A1C5B"/>
    <w:rsid w:val="007A2170"/>
    <w:rsid w:val="007A22BF"/>
    <w:rsid w:val="007A2D4F"/>
    <w:rsid w:val="007A2FD8"/>
    <w:rsid w:val="007A30AA"/>
    <w:rsid w:val="007A3323"/>
    <w:rsid w:val="007A3E90"/>
    <w:rsid w:val="007A430E"/>
    <w:rsid w:val="007A6E8F"/>
    <w:rsid w:val="007B1A5D"/>
    <w:rsid w:val="007B1ECC"/>
    <w:rsid w:val="007B4565"/>
    <w:rsid w:val="007B5E61"/>
    <w:rsid w:val="007B5FCA"/>
    <w:rsid w:val="007B6775"/>
    <w:rsid w:val="007B72B8"/>
    <w:rsid w:val="007B7A58"/>
    <w:rsid w:val="007C01DC"/>
    <w:rsid w:val="007C071F"/>
    <w:rsid w:val="007C09B3"/>
    <w:rsid w:val="007C1399"/>
    <w:rsid w:val="007C21B5"/>
    <w:rsid w:val="007C25CA"/>
    <w:rsid w:val="007C29D0"/>
    <w:rsid w:val="007C31B6"/>
    <w:rsid w:val="007C3D27"/>
    <w:rsid w:val="007C4BA4"/>
    <w:rsid w:val="007C5ACB"/>
    <w:rsid w:val="007C5B7C"/>
    <w:rsid w:val="007C7136"/>
    <w:rsid w:val="007D0530"/>
    <w:rsid w:val="007D0A0A"/>
    <w:rsid w:val="007D0EA1"/>
    <w:rsid w:val="007D1780"/>
    <w:rsid w:val="007D3D38"/>
    <w:rsid w:val="007D41C3"/>
    <w:rsid w:val="007D625E"/>
    <w:rsid w:val="007D67D3"/>
    <w:rsid w:val="007D6E80"/>
    <w:rsid w:val="007D6F3B"/>
    <w:rsid w:val="007E24F9"/>
    <w:rsid w:val="007E2B8C"/>
    <w:rsid w:val="007E2FAF"/>
    <w:rsid w:val="007E37D1"/>
    <w:rsid w:val="007E390C"/>
    <w:rsid w:val="007E45A5"/>
    <w:rsid w:val="007E4BD2"/>
    <w:rsid w:val="007E4CB3"/>
    <w:rsid w:val="007E5260"/>
    <w:rsid w:val="007E5E4A"/>
    <w:rsid w:val="007E63AC"/>
    <w:rsid w:val="007E7832"/>
    <w:rsid w:val="007E7F80"/>
    <w:rsid w:val="007F0EEE"/>
    <w:rsid w:val="007F1666"/>
    <w:rsid w:val="007F2A31"/>
    <w:rsid w:val="007F3DB5"/>
    <w:rsid w:val="007F5510"/>
    <w:rsid w:val="007F5582"/>
    <w:rsid w:val="007F782D"/>
    <w:rsid w:val="00800284"/>
    <w:rsid w:val="00801393"/>
    <w:rsid w:val="008023A1"/>
    <w:rsid w:val="00802BA2"/>
    <w:rsid w:val="00802F88"/>
    <w:rsid w:val="00804E7B"/>
    <w:rsid w:val="00804FC4"/>
    <w:rsid w:val="008052DF"/>
    <w:rsid w:val="0080573A"/>
    <w:rsid w:val="008067A7"/>
    <w:rsid w:val="00807A78"/>
    <w:rsid w:val="00811599"/>
    <w:rsid w:val="00811EC8"/>
    <w:rsid w:val="0081247E"/>
    <w:rsid w:val="0081293E"/>
    <w:rsid w:val="00813260"/>
    <w:rsid w:val="0081339B"/>
    <w:rsid w:val="008134B0"/>
    <w:rsid w:val="00813BD7"/>
    <w:rsid w:val="00814A3E"/>
    <w:rsid w:val="00815465"/>
    <w:rsid w:val="008173C3"/>
    <w:rsid w:val="00817E4B"/>
    <w:rsid w:val="00817E9A"/>
    <w:rsid w:val="008227D9"/>
    <w:rsid w:val="00822CF6"/>
    <w:rsid w:val="00823ABB"/>
    <w:rsid w:val="00824DC9"/>
    <w:rsid w:val="008251F7"/>
    <w:rsid w:val="0082559A"/>
    <w:rsid w:val="00825D3E"/>
    <w:rsid w:val="008263D4"/>
    <w:rsid w:val="00826AC1"/>
    <w:rsid w:val="008303A5"/>
    <w:rsid w:val="008306BD"/>
    <w:rsid w:val="00830DBB"/>
    <w:rsid w:val="00831A80"/>
    <w:rsid w:val="0083207E"/>
    <w:rsid w:val="008320D9"/>
    <w:rsid w:val="008329C3"/>
    <w:rsid w:val="00832AFF"/>
    <w:rsid w:val="00833604"/>
    <w:rsid w:val="00833743"/>
    <w:rsid w:val="008340A4"/>
    <w:rsid w:val="008348BE"/>
    <w:rsid w:val="00835F9A"/>
    <w:rsid w:val="008365BA"/>
    <w:rsid w:val="00840B4F"/>
    <w:rsid w:val="00840B82"/>
    <w:rsid w:val="0084129C"/>
    <w:rsid w:val="00841630"/>
    <w:rsid w:val="00841AF7"/>
    <w:rsid w:val="0084230B"/>
    <w:rsid w:val="00842825"/>
    <w:rsid w:val="00844795"/>
    <w:rsid w:val="00845651"/>
    <w:rsid w:val="00845E02"/>
    <w:rsid w:val="008473D4"/>
    <w:rsid w:val="00847450"/>
    <w:rsid w:val="008503DC"/>
    <w:rsid w:val="00850B75"/>
    <w:rsid w:val="008511BD"/>
    <w:rsid w:val="00852D49"/>
    <w:rsid w:val="00852EFE"/>
    <w:rsid w:val="00854B9B"/>
    <w:rsid w:val="0085564D"/>
    <w:rsid w:val="008562B3"/>
    <w:rsid w:val="008579FE"/>
    <w:rsid w:val="00861B5E"/>
    <w:rsid w:val="00861C9E"/>
    <w:rsid w:val="0086325A"/>
    <w:rsid w:val="00864010"/>
    <w:rsid w:val="00865365"/>
    <w:rsid w:val="00866566"/>
    <w:rsid w:val="00866EED"/>
    <w:rsid w:val="00866F02"/>
    <w:rsid w:val="00867B5B"/>
    <w:rsid w:val="0087135F"/>
    <w:rsid w:val="00872D80"/>
    <w:rsid w:val="00872D94"/>
    <w:rsid w:val="00874278"/>
    <w:rsid w:val="00875EF7"/>
    <w:rsid w:val="00876879"/>
    <w:rsid w:val="00876C63"/>
    <w:rsid w:val="00876E5E"/>
    <w:rsid w:val="00877C21"/>
    <w:rsid w:val="00880364"/>
    <w:rsid w:val="00881669"/>
    <w:rsid w:val="00881714"/>
    <w:rsid w:val="00882AB6"/>
    <w:rsid w:val="00882B92"/>
    <w:rsid w:val="00882DCF"/>
    <w:rsid w:val="008837BA"/>
    <w:rsid w:val="00883C3B"/>
    <w:rsid w:val="00884651"/>
    <w:rsid w:val="00884743"/>
    <w:rsid w:val="00884830"/>
    <w:rsid w:val="0089018F"/>
    <w:rsid w:val="008904FC"/>
    <w:rsid w:val="00890FFE"/>
    <w:rsid w:val="00891592"/>
    <w:rsid w:val="008919C4"/>
    <w:rsid w:val="00891E9E"/>
    <w:rsid w:val="00892494"/>
    <w:rsid w:val="00894893"/>
    <w:rsid w:val="0089492A"/>
    <w:rsid w:val="008950CA"/>
    <w:rsid w:val="0089580A"/>
    <w:rsid w:val="008966BB"/>
    <w:rsid w:val="008974AE"/>
    <w:rsid w:val="00897B14"/>
    <w:rsid w:val="008A0E07"/>
    <w:rsid w:val="008A2358"/>
    <w:rsid w:val="008A2C73"/>
    <w:rsid w:val="008A2E05"/>
    <w:rsid w:val="008A2F68"/>
    <w:rsid w:val="008A4F47"/>
    <w:rsid w:val="008A5353"/>
    <w:rsid w:val="008A56EB"/>
    <w:rsid w:val="008A594F"/>
    <w:rsid w:val="008A5B2E"/>
    <w:rsid w:val="008A770A"/>
    <w:rsid w:val="008A7BEE"/>
    <w:rsid w:val="008B09C6"/>
    <w:rsid w:val="008B1623"/>
    <w:rsid w:val="008B1FE3"/>
    <w:rsid w:val="008B2275"/>
    <w:rsid w:val="008B2EF7"/>
    <w:rsid w:val="008B4FA6"/>
    <w:rsid w:val="008B5282"/>
    <w:rsid w:val="008B5702"/>
    <w:rsid w:val="008B7154"/>
    <w:rsid w:val="008B7C17"/>
    <w:rsid w:val="008C1D3D"/>
    <w:rsid w:val="008C2D01"/>
    <w:rsid w:val="008C40E6"/>
    <w:rsid w:val="008C4131"/>
    <w:rsid w:val="008C7640"/>
    <w:rsid w:val="008D0C3C"/>
    <w:rsid w:val="008D0F7A"/>
    <w:rsid w:val="008D2036"/>
    <w:rsid w:val="008D20F2"/>
    <w:rsid w:val="008D221C"/>
    <w:rsid w:val="008D30E6"/>
    <w:rsid w:val="008D31C5"/>
    <w:rsid w:val="008D68E4"/>
    <w:rsid w:val="008D69E4"/>
    <w:rsid w:val="008E0506"/>
    <w:rsid w:val="008E0597"/>
    <w:rsid w:val="008E0CFF"/>
    <w:rsid w:val="008E0E1F"/>
    <w:rsid w:val="008E1DE0"/>
    <w:rsid w:val="008E29C1"/>
    <w:rsid w:val="008E32A4"/>
    <w:rsid w:val="008E5D6B"/>
    <w:rsid w:val="008E6DDC"/>
    <w:rsid w:val="008E6F8F"/>
    <w:rsid w:val="008E76F0"/>
    <w:rsid w:val="008F02A4"/>
    <w:rsid w:val="008F04CC"/>
    <w:rsid w:val="008F15FE"/>
    <w:rsid w:val="008F24C0"/>
    <w:rsid w:val="008F27AB"/>
    <w:rsid w:val="008F2C8E"/>
    <w:rsid w:val="008F2D29"/>
    <w:rsid w:val="008F4048"/>
    <w:rsid w:val="008F4BB2"/>
    <w:rsid w:val="008F4CE1"/>
    <w:rsid w:val="008F50F9"/>
    <w:rsid w:val="008F5187"/>
    <w:rsid w:val="008F5398"/>
    <w:rsid w:val="008F57E8"/>
    <w:rsid w:val="008F60D8"/>
    <w:rsid w:val="008F778C"/>
    <w:rsid w:val="009010B9"/>
    <w:rsid w:val="009016C6"/>
    <w:rsid w:val="00901CF4"/>
    <w:rsid w:val="009021CD"/>
    <w:rsid w:val="00902637"/>
    <w:rsid w:val="00902727"/>
    <w:rsid w:val="0090312B"/>
    <w:rsid w:val="00903177"/>
    <w:rsid w:val="00905313"/>
    <w:rsid w:val="009067DA"/>
    <w:rsid w:val="00910345"/>
    <w:rsid w:val="00911366"/>
    <w:rsid w:val="00911BC5"/>
    <w:rsid w:val="0091262C"/>
    <w:rsid w:val="00912A9A"/>
    <w:rsid w:val="00912DE9"/>
    <w:rsid w:val="009140BE"/>
    <w:rsid w:val="00915616"/>
    <w:rsid w:val="009157FD"/>
    <w:rsid w:val="0091736D"/>
    <w:rsid w:val="0092027C"/>
    <w:rsid w:val="009203D2"/>
    <w:rsid w:val="009211F8"/>
    <w:rsid w:val="009225F1"/>
    <w:rsid w:val="0092260A"/>
    <w:rsid w:val="009237A1"/>
    <w:rsid w:val="009272E8"/>
    <w:rsid w:val="00927E96"/>
    <w:rsid w:val="0093037A"/>
    <w:rsid w:val="009307C5"/>
    <w:rsid w:val="00933005"/>
    <w:rsid w:val="009337E0"/>
    <w:rsid w:val="00933D92"/>
    <w:rsid w:val="00935071"/>
    <w:rsid w:val="009350C4"/>
    <w:rsid w:val="0093542F"/>
    <w:rsid w:val="00936E77"/>
    <w:rsid w:val="00937190"/>
    <w:rsid w:val="009407AD"/>
    <w:rsid w:val="0094154D"/>
    <w:rsid w:val="00941600"/>
    <w:rsid w:val="00942729"/>
    <w:rsid w:val="00942E84"/>
    <w:rsid w:val="0094325D"/>
    <w:rsid w:val="00944505"/>
    <w:rsid w:val="00945057"/>
    <w:rsid w:val="00946B7A"/>
    <w:rsid w:val="00947F4E"/>
    <w:rsid w:val="0095155F"/>
    <w:rsid w:val="00952154"/>
    <w:rsid w:val="00952484"/>
    <w:rsid w:val="009525EA"/>
    <w:rsid w:val="00952ADE"/>
    <w:rsid w:val="00952CF6"/>
    <w:rsid w:val="00954429"/>
    <w:rsid w:val="00954BE5"/>
    <w:rsid w:val="0095577D"/>
    <w:rsid w:val="009563CE"/>
    <w:rsid w:val="00956C84"/>
    <w:rsid w:val="009577B5"/>
    <w:rsid w:val="009603C6"/>
    <w:rsid w:val="0096048F"/>
    <w:rsid w:val="0096207C"/>
    <w:rsid w:val="00963F8F"/>
    <w:rsid w:val="00964810"/>
    <w:rsid w:val="009649BE"/>
    <w:rsid w:val="00965550"/>
    <w:rsid w:val="009659FE"/>
    <w:rsid w:val="009704A6"/>
    <w:rsid w:val="00971DDE"/>
    <w:rsid w:val="00973E46"/>
    <w:rsid w:val="00974601"/>
    <w:rsid w:val="00974953"/>
    <w:rsid w:val="00974CE5"/>
    <w:rsid w:val="009754C6"/>
    <w:rsid w:val="00975D65"/>
    <w:rsid w:val="00975E4A"/>
    <w:rsid w:val="00976328"/>
    <w:rsid w:val="0097680D"/>
    <w:rsid w:val="009777AD"/>
    <w:rsid w:val="009807B1"/>
    <w:rsid w:val="0098200F"/>
    <w:rsid w:val="00982438"/>
    <w:rsid w:val="00983630"/>
    <w:rsid w:val="00983EB5"/>
    <w:rsid w:val="0098404C"/>
    <w:rsid w:val="00985283"/>
    <w:rsid w:val="00985474"/>
    <w:rsid w:val="009856C4"/>
    <w:rsid w:val="009858E1"/>
    <w:rsid w:val="00985DA3"/>
    <w:rsid w:val="0099044B"/>
    <w:rsid w:val="00990618"/>
    <w:rsid w:val="009917DA"/>
    <w:rsid w:val="009918F8"/>
    <w:rsid w:val="00991AA5"/>
    <w:rsid w:val="00991ABC"/>
    <w:rsid w:val="00991FBF"/>
    <w:rsid w:val="00992433"/>
    <w:rsid w:val="00992936"/>
    <w:rsid w:val="00993406"/>
    <w:rsid w:val="0099427B"/>
    <w:rsid w:val="00994F38"/>
    <w:rsid w:val="00995702"/>
    <w:rsid w:val="00995986"/>
    <w:rsid w:val="00995992"/>
    <w:rsid w:val="00995D35"/>
    <w:rsid w:val="00995DC9"/>
    <w:rsid w:val="009964AC"/>
    <w:rsid w:val="00996E76"/>
    <w:rsid w:val="0099738F"/>
    <w:rsid w:val="009A03E5"/>
    <w:rsid w:val="009A040D"/>
    <w:rsid w:val="009A0E7E"/>
    <w:rsid w:val="009A0F3B"/>
    <w:rsid w:val="009A18D1"/>
    <w:rsid w:val="009A1BB4"/>
    <w:rsid w:val="009A20DF"/>
    <w:rsid w:val="009A2628"/>
    <w:rsid w:val="009A2A0D"/>
    <w:rsid w:val="009A3200"/>
    <w:rsid w:val="009A4207"/>
    <w:rsid w:val="009A456F"/>
    <w:rsid w:val="009A5F3E"/>
    <w:rsid w:val="009A6203"/>
    <w:rsid w:val="009A69B8"/>
    <w:rsid w:val="009A742B"/>
    <w:rsid w:val="009A762D"/>
    <w:rsid w:val="009A7EDC"/>
    <w:rsid w:val="009B0897"/>
    <w:rsid w:val="009B0C38"/>
    <w:rsid w:val="009B0F9B"/>
    <w:rsid w:val="009B1476"/>
    <w:rsid w:val="009B1AAA"/>
    <w:rsid w:val="009B33FB"/>
    <w:rsid w:val="009B3FD9"/>
    <w:rsid w:val="009B523A"/>
    <w:rsid w:val="009B54D1"/>
    <w:rsid w:val="009B69B6"/>
    <w:rsid w:val="009B6CC4"/>
    <w:rsid w:val="009B7BD9"/>
    <w:rsid w:val="009C0723"/>
    <w:rsid w:val="009C0A0E"/>
    <w:rsid w:val="009C2911"/>
    <w:rsid w:val="009C2A69"/>
    <w:rsid w:val="009C3812"/>
    <w:rsid w:val="009C498D"/>
    <w:rsid w:val="009C4B26"/>
    <w:rsid w:val="009C529E"/>
    <w:rsid w:val="009C728A"/>
    <w:rsid w:val="009C7AF3"/>
    <w:rsid w:val="009C7DD5"/>
    <w:rsid w:val="009D1562"/>
    <w:rsid w:val="009D1B4F"/>
    <w:rsid w:val="009D1DAD"/>
    <w:rsid w:val="009D22F8"/>
    <w:rsid w:val="009D2356"/>
    <w:rsid w:val="009D3107"/>
    <w:rsid w:val="009D32D3"/>
    <w:rsid w:val="009D49B5"/>
    <w:rsid w:val="009D5D01"/>
    <w:rsid w:val="009D612F"/>
    <w:rsid w:val="009E06D5"/>
    <w:rsid w:val="009E07B4"/>
    <w:rsid w:val="009E082B"/>
    <w:rsid w:val="009E227D"/>
    <w:rsid w:val="009E245C"/>
    <w:rsid w:val="009E2C78"/>
    <w:rsid w:val="009E2FEB"/>
    <w:rsid w:val="009E3959"/>
    <w:rsid w:val="009E47F7"/>
    <w:rsid w:val="009E5019"/>
    <w:rsid w:val="009E546A"/>
    <w:rsid w:val="009E5B63"/>
    <w:rsid w:val="009E5CB1"/>
    <w:rsid w:val="009E622F"/>
    <w:rsid w:val="009F1905"/>
    <w:rsid w:val="009F1A02"/>
    <w:rsid w:val="009F1F24"/>
    <w:rsid w:val="009F2E4C"/>
    <w:rsid w:val="009F53CE"/>
    <w:rsid w:val="009F7A1E"/>
    <w:rsid w:val="00A00258"/>
    <w:rsid w:val="00A01702"/>
    <w:rsid w:val="00A0385F"/>
    <w:rsid w:val="00A03B91"/>
    <w:rsid w:val="00A04437"/>
    <w:rsid w:val="00A04F1B"/>
    <w:rsid w:val="00A0501B"/>
    <w:rsid w:val="00A063DF"/>
    <w:rsid w:val="00A07C07"/>
    <w:rsid w:val="00A07C9F"/>
    <w:rsid w:val="00A07D8B"/>
    <w:rsid w:val="00A10557"/>
    <w:rsid w:val="00A107C3"/>
    <w:rsid w:val="00A11B48"/>
    <w:rsid w:val="00A12957"/>
    <w:rsid w:val="00A13D5E"/>
    <w:rsid w:val="00A14947"/>
    <w:rsid w:val="00A14D50"/>
    <w:rsid w:val="00A158AA"/>
    <w:rsid w:val="00A15D64"/>
    <w:rsid w:val="00A16A51"/>
    <w:rsid w:val="00A17BB3"/>
    <w:rsid w:val="00A20FF5"/>
    <w:rsid w:val="00A214DD"/>
    <w:rsid w:val="00A219F3"/>
    <w:rsid w:val="00A21CC7"/>
    <w:rsid w:val="00A22D2A"/>
    <w:rsid w:val="00A23BDE"/>
    <w:rsid w:val="00A23EC6"/>
    <w:rsid w:val="00A2529A"/>
    <w:rsid w:val="00A26D0E"/>
    <w:rsid w:val="00A274AE"/>
    <w:rsid w:val="00A32A83"/>
    <w:rsid w:val="00A33531"/>
    <w:rsid w:val="00A3355C"/>
    <w:rsid w:val="00A336B9"/>
    <w:rsid w:val="00A351A3"/>
    <w:rsid w:val="00A35D50"/>
    <w:rsid w:val="00A368DB"/>
    <w:rsid w:val="00A37E48"/>
    <w:rsid w:val="00A404B9"/>
    <w:rsid w:val="00A41D2B"/>
    <w:rsid w:val="00A423AA"/>
    <w:rsid w:val="00A4457A"/>
    <w:rsid w:val="00A448A7"/>
    <w:rsid w:val="00A45010"/>
    <w:rsid w:val="00A4572A"/>
    <w:rsid w:val="00A4581B"/>
    <w:rsid w:val="00A4657C"/>
    <w:rsid w:val="00A470A3"/>
    <w:rsid w:val="00A47190"/>
    <w:rsid w:val="00A4779F"/>
    <w:rsid w:val="00A50676"/>
    <w:rsid w:val="00A5072C"/>
    <w:rsid w:val="00A52918"/>
    <w:rsid w:val="00A52DCD"/>
    <w:rsid w:val="00A53EC6"/>
    <w:rsid w:val="00A54D40"/>
    <w:rsid w:val="00A54DA6"/>
    <w:rsid w:val="00A55C0F"/>
    <w:rsid w:val="00A56935"/>
    <w:rsid w:val="00A61219"/>
    <w:rsid w:val="00A642C6"/>
    <w:rsid w:val="00A64A39"/>
    <w:rsid w:val="00A65EB1"/>
    <w:rsid w:val="00A6631D"/>
    <w:rsid w:val="00A66D80"/>
    <w:rsid w:val="00A67D3B"/>
    <w:rsid w:val="00A700AB"/>
    <w:rsid w:val="00A70241"/>
    <w:rsid w:val="00A7209C"/>
    <w:rsid w:val="00A7420D"/>
    <w:rsid w:val="00A74B2C"/>
    <w:rsid w:val="00A7502B"/>
    <w:rsid w:val="00A757CC"/>
    <w:rsid w:val="00A77DDB"/>
    <w:rsid w:val="00A82714"/>
    <w:rsid w:val="00A830EF"/>
    <w:rsid w:val="00A8359E"/>
    <w:rsid w:val="00A83A75"/>
    <w:rsid w:val="00A8568E"/>
    <w:rsid w:val="00A85757"/>
    <w:rsid w:val="00A85F90"/>
    <w:rsid w:val="00A8713F"/>
    <w:rsid w:val="00A87596"/>
    <w:rsid w:val="00A90BA1"/>
    <w:rsid w:val="00A90D2A"/>
    <w:rsid w:val="00A90F23"/>
    <w:rsid w:val="00A927DC"/>
    <w:rsid w:val="00A929E1"/>
    <w:rsid w:val="00A92D28"/>
    <w:rsid w:val="00A95E7E"/>
    <w:rsid w:val="00A96B48"/>
    <w:rsid w:val="00A973EA"/>
    <w:rsid w:val="00A97A9A"/>
    <w:rsid w:val="00AA0671"/>
    <w:rsid w:val="00AA171D"/>
    <w:rsid w:val="00AA1BFE"/>
    <w:rsid w:val="00AA1EEB"/>
    <w:rsid w:val="00AA22AE"/>
    <w:rsid w:val="00AA2531"/>
    <w:rsid w:val="00AA2617"/>
    <w:rsid w:val="00AA2BCC"/>
    <w:rsid w:val="00AA4621"/>
    <w:rsid w:val="00AA4FE8"/>
    <w:rsid w:val="00AA6F33"/>
    <w:rsid w:val="00AB005A"/>
    <w:rsid w:val="00AB0D14"/>
    <w:rsid w:val="00AB1E09"/>
    <w:rsid w:val="00AB47C1"/>
    <w:rsid w:val="00AB5330"/>
    <w:rsid w:val="00AB5D8D"/>
    <w:rsid w:val="00AB6BF1"/>
    <w:rsid w:val="00AB7561"/>
    <w:rsid w:val="00AB7747"/>
    <w:rsid w:val="00AC09B4"/>
    <w:rsid w:val="00AC1139"/>
    <w:rsid w:val="00AC14CE"/>
    <w:rsid w:val="00AC1EC5"/>
    <w:rsid w:val="00AC2A56"/>
    <w:rsid w:val="00AC30E5"/>
    <w:rsid w:val="00AC33F7"/>
    <w:rsid w:val="00AC3832"/>
    <w:rsid w:val="00AC3A95"/>
    <w:rsid w:val="00AC56D3"/>
    <w:rsid w:val="00AC5ECD"/>
    <w:rsid w:val="00AC6137"/>
    <w:rsid w:val="00AC63AB"/>
    <w:rsid w:val="00AC66DD"/>
    <w:rsid w:val="00AC6A57"/>
    <w:rsid w:val="00AC6AB7"/>
    <w:rsid w:val="00AD00AE"/>
    <w:rsid w:val="00AD01D8"/>
    <w:rsid w:val="00AD055E"/>
    <w:rsid w:val="00AD0A1D"/>
    <w:rsid w:val="00AD11F0"/>
    <w:rsid w:val="00AD150D"/>
    <w:rsid w:val="00AD184D"/>
    <w:rsid w:val="00AD1B6F"/>
    <w:rsid w:val="00AD287F"/>
    <w:rsid w:val="00AD3EEA"/>
    <w:rsid w:val="00AD40B9"/>
    <w:rsid w:val="00AD46E2"/>
    <w:rsid w:val="00AD47A7"/>
    <w:rsid w:val="00AD5189"/>
    <w:rsid w:val="00AD534E"/>
    <w:rsid w:val="00AD72AA"/>
    <w:rsid w:val="00AE082A"/>
    <w:rsid w:val="00AE17A7"/>
    <w:rsid w:val="00AE196D"/>
    <w:rsid w:val="00AE1E5E"/>
    <w:rsid w:val="00AE23FA"/>
    <w:rsid w:val="00AE30AB"/>
    <w:rsid w:val="00AE34CD"/>
    <w:rsid w:val="00AE37AC"/>
    <w:rsid w:val="00AE3C8E"/>
    <w:rsid w:val="00AE513D"/>
    <w:rsid w:val="00AE6432"/>
    <w:rsid w:val="00AE7447"/>
    <w:rsid w:val="00AF09C5"/>
    <w:rsid w:val="00AF0CBF"/>
    <w:rsid w:val="00AF257F"/>
    <w:rsid w:val="00AF2C73"/>
    <w:rsid w:val="00AF32F5"/>
    <w:rsid w:val="00AF33CF"/>
    <w:rsid w:val="00AF4CB3"/>
    <w:rsid w:val="00AF4D50"/>
    <w:rsid w:val="00AF57AC"/>
    <w:rsid w:val="00AF6179"/>
    <w:rsid w:val="00AF6237"/>
    <w:rsid w:val="00AF79BA"/>
    <w:rsid w:val="00AF7D03"/>
    <w:rsid w:val="00B008F1"/>
    <w:rsid w:val="00B026D0"/>
    <w:rsid w:val="00B02834"/>
    <w:rsid w:val="00B0364C"/>
    <w:rsid w:val="00B04D7A"/>
    <w:rsid w:val="00B066AB"/>
    <w:rsid w:val="00B067D5"/>
    <w:rsid w:val="00B0797E"/>
    <w:rsid w:val="00B07F51"/>
    <w:rsid w:val="00B10A26"/>
    <w:rsid w:val="00B10C91"/>
    <w:rsid w:val="00B127A1"/>
    <w:rsid w:val="00B1295A"/>
    <w:rsid w:val="00B130A5"/>
    <w:rsid w:val="00B136A9"/>
    <w:rsid w:val="00B14CB7"/>
    <w:rsid w:val="00B14EA7"/>
    <w:rsid w:val="00B16288"/>
    <w:rsid w:val="00B16635"/>
    <w:rsid w:val="00B201E2"/>
    <w:rsid w:val="00B20A45"/>
    <w:rsid w:val="00B21E1C"/>
    <w:rsid w:val="00B22191"/>
    <w:rsid w:val="00B22C5C"/>
    <w:rsid w:val="00B230D3"/>
    <w:rsid w:val="00B23BB1"/>
    <w:rsid w:val="00B23FE2"/>
    <w:rsid w:val="00B24400"/>
    <w:rsid w:val="00B24F30"/>
    <w:rsid w:val="00B256D9"/>
    <w:rsid w:val="00B279DC"/>
    <w:rsid w:val="00B27D40"/>
    <w:rsid w:val="00B30437"/>
    <w:rsid w:val="00B3163E"/>
    <w:rsid w:val="00B31AB6"/>
    <w:rsid w:val="00B31ABF"/>
    <w:rsid w:val="00B31FB7"/>
    <w:rsid w:val="00B33BE3"/>
    <w:rsid w:val="00B34044"/>
    <w:rsid w:val="00B34326"/>
    <w:rsid w:val="00B36218"/>
    <w:rsid w:val="00B36D65"/>
    <w:rsid w:val="00B3759F"/>
    <w:rsid w:val="00B40646"/>
    <w:rsid w:val="00B406CF"/>
    <w:rsid w:val="00B40F06"/>
    <w:rsid w:val="00B428E1"/>
    <w:rsid w:val="00B44DD7"/>
    <w:rsid w:val="00B46987"/>
    <w:rsid w:val="00B47AAD"/>
    <w:rsid w:val="00B50320"/>
    <w:rsid w:val="00B50752"/>
    <w:rsid w:val="00B513DB"/>
    <w:rsid w:val="00B53020"/>
    <w:rsid w:val="00B53A1F"/>
    <w:rsid w:val="00B53B5D"/>
    <w:rsid w:val="00B54223"/>
    <w:rsid w:val="00B54440"/>
    <w:rsid w:val="00B5466C"/>
    <w:rsid w:val="00B55302"/>
    <w:rsid w:val="00B56E0B"/>
    <w:rsid w:val="00B6004A"/>
    <w:rsid w:val="00B6055E"/>
    <w:rsid w:val="00B6060F"/>
    <w:rsid w:val="00B612FC"/>
    <w:rsid w:val="00B61C65"/>
    <w:rsid w:val="00B62ABE"/>
    <w:rsid w:val="00B6317D"/>
    <w:rsid w:val="00B632A2"/>
    <w:rsid w:val="00B63E59"/>
    <w:rsid w:val="00B63FF7"/>
    <w:rsid w:val="00B66B9C"/>
    <w:rsid w:val="00B675C3"/>
    <w:rsid w:val="00B70608"/>
    <w:rsid w:val="00B73104"/>
    <w:rsid w:val="00B748BA"/>
    <w:rsid w:val="00B74B42"/>
    <w:rsid w:val="00B750FF"/>
    <w:rsid w:val="00B7723F"/>
    <w:rsid w:val="00B8004F"/>
    <w:rsid w:val="00B80534"/>
    <w:rsid w:val="00B8155B"/>
    <w:rsid w:val="00B82DE0"/>
    <w:rsid w:val="00B837C0"/>
    <w:rsid w:val="00B8426F"/>
    <w:rsid w:val="00B8433C"/>
    <w:rsid w:val="00B85617"/>
    <w:rsid w:val="00B8695B"/>
    <w:rsid w:val="00B87203"/>
    <w:rsid w:val="00B87491"/>
    <w:rsid w:val="00B90B94"/>
    <w:rsid w:val="00B90FB8"/>
    <w:rsid w:val="00B914B6"/>
    <w:rsid w:val="00B9156C"/>
    <w:rsid w:val="00B91897"/>
    <w:rsid w:val="00BA29E9"/>
    <w:rsid w:val="00BA30B0"/>
    <w:rsid w:val="00BA31FF"/>
    <w:rsid w:val="00BA35C6"/>
    <w:rsid w:val="00BA5FB6"/>
    <w:rsid w:val="00BA7142"/>
    <w:rsid w:val="00BA797B"/>
    <w:rsid w:val="00BB0A4C"/>
    <w:rsid w:val="00BB0AB3"/>
    <w:rsid w:val="00BB0F02"/>
    <w:rsid w:val="00BB133F"/>
    <w:rsid w:val="00BB1EC4"/>
    <w:rsid w:val="00BB237C"/>
    <w:rsid w:val="00BB2FC8"/>
    <w:rsid w:val="00BB41A3"/>
    <w:rsid w:val="00BB4300"/>
    <w:rsid w:val="00BB4C53"/>
    <w:rsid w:val="00BB5B74"/>
    <w:rsid w:val="00BB682F"/>
    <w:rsid w:val="00BC2BD5"/>
    <w:rsid w:val="00BC32DC"/>
    <w:rsid w:val="00BC35B6"/>
    <w:rsid w:val="00BC4645"/>
    <w:rsid w:val="00BC55DC"/>
    <w:rsid w:val="00BC5EFA"/>
    <w:rsid w:val="00BC63C0"/>
    <w:rsid w:val="00BC6FBD"/>
    <w:rsid w:val="00BD125D"/>
    <w:rsid w:val="00BD1761"/>
    <w:rsid w:val="00BD1B51"/>
    <w:rsid w:val="00BD42F8"/>
    <w:rsid w:val="00BD4596"/>
    <w:rsid w:val="00BD48A0"/>
    <w:rsid w:val="00BD545D"/>
    <w:rsid w:val="00BD57E7"/>
    <w:rsid w:val="00BD6246"/>
    <w:rsid w:val="00BD7FEE"/>
    <w:rsid w:val="00BE136D"/>
    <w:rsid w:val="00BE1405"/>
    <w:rsid w:val="00BE15DE"/>
    <w:rsid w:val="00BE1823"/>
    <w:rsid w:val="00BE1A54"/>
    <w:rsid w:val="00BE1E9B"/>
    <w:rsid w:val="00BE312D"/>
    <w:rsid w:val="00BE3A05"/>
    <w:rsid w:val="00BE50A2"/>
    <w:rsid w:val="00BE7223"/>
    <w:rsid w:val="00BE7380"/>
    <w:rsid w:val="00BF1C20"/>
    <w:rsid w:val="00BF2EBF"/>
    <w:rsid w:val="00BF52F0"/>
    <w:rsid w:val="00BF5313"/>
    <w:rsid w:val="00BF579D"/>
    <w:rsid w:val="00BF5AA9"/>
    <w:rsid w:val="00BF63C9"/>
    <w:rsid w:val="00C012B0"/>
    <w:rsid w:val="00C03906"/>
    <w:rsid w:val="00C03AD6"/>
    <w:rsid w:val="00C04D4C"/>
    <w:rsid w:val="00C051C4"/>
    <w:rsid w:val="00C06AEA"/>
    <w:rsid w:val="00C06C0D"/>
    <w:rsid w:val="00C103D1"/>
    <w:rsid w:val="00C10578"/>
    <w:rsid w:val="00C1183C"/>
    <w:rsid w:val="00C12E76"/>
    <w:rsid w:val="00C135BC"/>
    <w:rsid w:val="00C15C95"/>
    <w:rsid w:val="00C175A0"/>
    <w:rsid w:val="00C17C3A"/>
    <w:rsid w:val="00C204DD"/>
    <w:rsid w:val="00C209D0"/>
    <w:rsid w:val="00C20AE9"/>
    <w:rsid w:val="00C20BA0"/>
    <w:rsid w:val="00C20D81"/>
    <w:rsid w:val="00C20DB6"/>
    <w:rsid w:val="00C23301"/>
    <w:rsid w:val="00C23317"/>
    <w:rsid w:val="00C23CE6"/>
    <w:rsid w:val="00C2596A"/>
    <w:rsid w:val="00C27537"/>
    <w:rsid w:val="00C27A0F"/>
    <w:rsid w:val="00C30240"/>
    <w:rsid w:val="00C30753"/>
    <w:rsid w:val="00C30AE5"/>
    <w:rsid w:val="00C32346"/>
    <w:rsid w:val="00C328FE"/>
    <w:rsid w:val="00C330F4"/>
    <w:rsid w:val="00C3312E"/>
    <w:rsid w:val="00C331D6"/>
    <w:rsid w:val="00C3329C"/>
    <w:rsid w:val="00C33507"/>
    <w:rsid w:val="00C33931"/>
    <w:rsid w:val="00C354CD"/>
    <w:rsid w:val="00C354FC"/>
    <w:rsid w:val="00C369B4"/>
    <w:rsid w:val="00C400D3"/>
    <w:rsid w:val="00C41899"/>
    <w:rsid w:val="00C4409D"/>
    <w:rsid w:val="00C44E72"/>
    <w:rsid w:val="00C45454"/>
    <w:rsid w:val="00C45653"/>
    <w:rsid w:val="00C45A06"/>
    <w:rsid w:val="00C45A28"/>
    <w:rsid w:val="00C460BE"/>
    <w:rsid w:val="00C47E5B"/>
    <w:rsid w:val="00C50A3C"/>
    <w:rsid w:val="00C557AB"/>
    <w:rsid w:val="00C55992"/>
    <w:rsid w:val="00C55CC3"/>
    <w:rsid w:val="00C564F5"/>
    <w:rsid w:val="00C5721F"/>
    <w:rsid w:val="00C575DA"/>
    <w:rsid w:val="00C57F67"/>
    <w:rsid w:val="00C61812"/>
    <w:rsid w:val="00C61BEA"/>
    <w:rsid w:val="00C61E4B"/>
    <w:rsid w:val="00C620F0"/>
    <w:rsid w:val="00C627B0"/>
    <w:rsid w:val="00C62E94"/>
    <w:rsid w:val="00C6477C"/>
    <w:rsid w:val="00C64BFF"/>
    <w:rsid w:val="00C64FDF"/>
    <w:rsid w:val="00C65C3C"/>
    <w:rsid w:val="00C66295"/>
    <w:rsid w:val="00C704E9"/>
    <w:rsid w:val="00C70726"/>
    <w:rsid w:val="00C71DD3"/>
    <w:rsid w:val="00C72511"/>
    <w:rsid w:val="00C731C5"/>
    <w:rsid w:val="00C74606"/>
    <w:rsid w:val="00C7619D"/>
    <w:rsid w:val="00C763AF"/>
    <w:rsid w:val="00C763C9"/>
    <w:rsid w:val="00C76FDB"/>
    <w:rsid w:val="00C77201"/>
    <w:rsid w:val="00C77A23"/>
    <w:rsid w:val="00C80057"/>
    <w:rsid w:val="00C8037C"/>
    <w:rsid w:val="00C803E8"/>
    <w:rsid w:val="00C803F6"/>
    <w:rsid w:val="00C81362"/>
    <w:rsid w:val="00C82232"/>
    <w:rsid w:val="00C82913"/>
    <w:rsid w:val="00C82FAE"/>
    <w:rsid w:val="00C833F1"/>
    <w:rsid w:val="00C83402"/>
    <w:rsid w:val="00C83921"/>
    <w:rsid w:val="00C83BD8"/>
    <w:rsid w:val="00C83CB2"/>
    <w:rsid w:val="00C83DB2"/>
    <w:rsid w:val="00C83F1C"/>
    <w:rsid w:val="00C86154"/>
    <w:rsid w:val="00C870E3"/>
    <w:rsid w:val="00C9094E"/>
    <w:rsid w:val="00C90A7E"/>
    <w:rsid w:val="00C912B3"/>
    <w:rsid w:val="00C918C4"/>
    <w:rsid w:val="00C92885"/>
    <w:rsid w:val="00C93A26"/>
    <w:rsid w:val="00C94657"/>
    <w:rsid w:val="00C9488F"/>
    <w:rsid w:val="00C94BC4"/>
    <w:rsid w:val="00C96D9A"/>
    <w:rsid w:val="00C970A1"/>
    <w:rsid w:val="00C972B1"/>
    <w:rsid w:val="00C97AFC"/>
    <w:rsid w:val="00CA0CAC"/>
    <w:rsid w:val="00CA1A09"/>
    <w:rsid w:val="00CA2CCE"/>
    <w:rsid w:val="00CA43FD"/>
    <w:rsid w:val="00CA4FBC"/>
    <w:rsid w:val="00CA5E5D"/>
    <w:rsid w:val="00CA656B"/>
    <w:rsid w:val="00CA6710"/>
    <w:rsid w:val="00CA7EF8"/>
    <w:rsid w:val="00CB0A68"/>
    <w:rsid w:val="00CB0E92"/>
    <w:rsid w:val="00CB1D39"/>
    <w:rsid w:val="00CB287B"/>
    <w:rsid w:val="00CB2FCA"/>
    <w:rsid w:val="00CB3E1E"/>
    <w:rsid w:val="00CB44D1"/>
    <w:rsid w:val="00CB529C"/>
    <w:rsid w:val="00CB5F49"/>
    <w:rsid w:val="00CB6568"/>
    <w:rsid w:val="00CB7A18"/>
    <w:rsid w:val="00CC01FA"/>
    <w:rsid w:val="00CC1836"/>
    <w:rsid w:val="00CC2343"/>
    <w:rsid w:val="00CC32CA"/>
    <w:rsid w:val="00CC32E3"/>
    <w:rsid w:val="00CC3473"/>
    <w:rsid w:val="00CC46B6"/>
    <w:rsid w:val="00CC489B"/>
    <w:rsid w:val="00CC7446"/>
    <w:rsid w:val="00CC74D8"/>
    <w:rsid w:val="00CC7FAE"/>
    <w:rsid w:val="00CD05E8"/>
    <w:rsid w:val="00CD07D1"/>
    <w:rsid w:val="00CD1961"/>
    <w:rsid w:val="00CD2AD4"/>
    <w:rsid w:val="00CD2BCD"/>
    <w:rsid w:val="00CD32CF"/>
    <w:rsid w:val="00CD34E6"/>
    <w:rsid w:val="00CD38C4"/>
    <w:rsid w:val="00CD3A4C"/>
    <w:rsid w:val="00CD3E74"/>
    <w:rsid w:val="00CD67C5"/>
    <w:rsid w:val="00CD7781"/>
    <w:rsid w:val="00CD7B34"/>
    <w:rsid w:val="00CE10E9"/>
    <w:rsid w:val="00CE18A7"/>
    <w:rsid w:val="00CE1936"/>
    <w:rsid w:val="00CE1AF9"/>
    <w:rsid w:val="00CE1FD0"/>
    <w:rsid w:val="00CE2910"/>
    <w:rsid w:val="00CE2F3C"/>
    <w:rsid w:val="00CE3430"/>
    <w:rsid w:val="00CE4C8C"/>
    <w:rsid w:val="00CE5393"/>
    <w:rsid w:val="00CE7134"/>
    <w:rsid w:val="00CF0F78"/>
    <w:rsid w:val="00CF1E00"/>
    <w:rsid w:val="00CF2010"/>
    <w:rsid w:val="00CF32B7"/>
    <w:rsid w:val="00CF36BE"/>
    <w:rsid w:val="00CF504D"/>
    <w:rsid w:val="00CF5196"/>
    <w:rsid w:val="00CF5637"/>
    <w:rsid w:val="00CF5C42"/>
    <w:rsid w:val="00CF5C7E"/>
    <w:rsid w:val="00CF6000"/>
    <w:rsid w:val="00CF699E"/>
    <w:rsid w:val="00CF7298"/>
    <w:rsid w:val="00CF74F4"/>
    <w:rsid w:val="00CF7E26"/>
    <w:rsid w:val="00D003F3"/>
    <w:rsid w:val="00D00A8A"/>
    <w:rsid w:val="00D01631"/>
    <w:rsid w:val="00D0257D"/>
    <w:rsid w:val="00D0364F"/>
    <w:rsid w:val="00D03A83"/>
    <w:rsid w:val="00D03F84"/>
    <w:rsid w:val="00D04B5B"/>
    <w:rsid w:val="00D05A80"/>
    <w:rsid w:val="00D06834"/>
    <w:rsid w:val="00D07162"/>
    <w:rsid w:val="00D07922"/>
    <w:rsid w:val="00D12815"/>
    <w:rsid w:val="00D12FEB"/>
    <w:rsid w:val="00D134CD"/>
    <w:rsid w:val="00D16191"/>
    <w:rsid w:val="00D164BA"/>
    <w:rsid w:val="00D20143"/>
    <w:rsid w:val="00D20C56"/>
    <w:rsid w:val="00D20DA6"/>
    <w:rsid w:val="00D2160D"/>
    <w:rsid w:val="00D21DE1"/>
    <w:rsid w:val="00D23D96"/>
    <w:rsid w:val="00D26595"/>
    <w:rsid w:val="00D26C97"/>
    <w:rsid w:val="00D27E2F"/>
    <w:rsid w:val="00D27EF7"/>
    <w:rsid w:val="00D308ED"/>
    <w:rsid w:val="00D30C07"/>
    <w:rsid w:val="00D336D7"/>
    <w:rsid w:val="00D344D4"/>
    <w:rsid w:val="00D355C9"/>
    <w:rsid w:val="00D36D86"/>
    <w:rsid w:val="00D375A0"/>
    <w:rsid w:val="00D4035B"/>
    <w:rsid w:val="00D41070"/>
    <w:rsid w:val="00D413E8"/>
    <w:rsid w:val="00D41707"/>
    <w:rsid w:val="00D422FF"/>
    <w:rsid w:val="00D42773"/>
    <w:rsid w:val="00D428AA"/>
    <w:rsid w:val="00D42DF0"/>
    <w:rsid w:val="00D4454E"/>
    <w:rsid w:val="00D44D3B"/>
    <w:rsid w:val="00D45D25"/>
    <w:rsid w:val="00D460BD"/>
    <w:rsid w:val="00D469BE"/>
    <w:rsid w:val="00D46BDC"/>
    <w:rsid w:val="00D50365"/>
    <w:rsid w:val="00D50A34"/>
    <w:rsid w:val="00D529D7"/>
    <w:rsid w:val="00D534D7"/>
    <w:rsid w:val="00D538AB"/>
    <w:rsid w:val="00D53D1E"/>
    <w:rsid w:val="00D53EFA"/>
    <w:rsid w:val="00D541DB"/>
    <w:rsid w:val="00D542A5"/>
    <w:rsid w:val="00D552B0"/>
    <w:rsid w:val="00D562A4"/>
    <w:rsid w:val="00D5698D"/>
    <w:rsid w:val="00D57C6A"/>
    <w:rsid w:val="00D57FF8"/>
    <w:rsid w:val="00D600C5"/>
    <w:rsid w:val="00D61818"/>
    <w:rsid w:val="00D61D0C"/>
    <w:rsid w:val="00D62BF6"/>
    <w:rsid w:val="00D62EF9"/>
    <w:rsid w:val="00D62F3F"/>
    <w:rsid w:val="00D64C20"/>
    <w:rsid w:val="00D64ED9"/>
    <w:rsid w:val="00D65ABF"/>
    <w:rsid w:val="00D65DE1"/>
    <w:rsid w:val="00D66DCA"/>
    <w:rsid w:val="00D670C8"/>
    <w:rsid w:val="00D67677"/>
    <w:rsid w:val="00D7023B"/>
    <w:rsid w:val="00D70DD0"/>
    <w:rsid w:val="00D710E5"/>
    <w:rsid w:val="00D71D2B"/>
    <w:rsid w:val="00D72270"/>
    <w:rsid w:val="00D73048"/>
    <w:rsid w:val="00D74F7C"/>
    <w:rsid w:val="00D8033B"/>
    <w:rsid w:val="00D81C3F"/>
    <w:rsid w:val="00D82E8D"/>
    <w:rsid w:val="00D82F41"/>
    <w:rsid w:val="00D8452B"/>
    <w:rsid w:val="00D84A8C"/>
    <w:rsid w:val="00D8504A"/>
    <w:rsid w:val="00D852DB"/>
    <w:rsid w:val="00D86756"/>
    <w:rsid w:val="00D8728D"/>
    <w:rsid w:val="00D90508"/>
    <w:rsid w:val="00D9059E"/>
    <w:rsid w:val="00D93E72"/>
    <w:rsid w:val="00D942BB"/>
    <w:rsid w:val="00D94423"/>
    <w:rsid w:val="00D94A7C"/>
    <w:rsid w:val="00D94EAC"/>
    <w:rsid w:val="00D95896"/>
    <w:rsid w:val="00D95CEF"/>
    <w:rsid w:val="00D9705F"/>
    <w:rsid w:val="00DA0A54"/>
    <w:rsid w:val="00DA1BC3"/>
    <w:rsid w:val="00DA2028"/>
    <w:rsid w:val="00DA30A7"/>
    <w:rsid w:val="00DA3732"/>
    <w:rsid w:val="00DA3BA0"/>
    <w:rsid w:val="00DA3C63"/>
    <w:rsid w:val="00DA3F84"/>
    <w:rsid w:val="00DA5918"/>
    <w:rsid w:val="00DA5E6C"/>
    <w:rsid w:val="00DA7212"/>
    <w:rsid w:val="00DA7561"/>
    <w:rsid w:val="00DB0BAD"/>
    <w:rsid w:val="00DB1A2D"/>
    <w:rsid w:val="00DB1FA3"/>
    <w:rsid w:val="00DB2983"/>
    <w:rsid w:val="00DB320D"/>
    <w:rsid w:val="00DB3DCB"/>
    <w:rsid w:val="00DB549A"/>
    <w:rsid w:val="00DB56D2"/>
    <w:rsid w:val="00DB5BC4"/>
    <w:rsid w:val="00DB6887"/>
    <w:rsid w:val="00DB6F5C"/>
    <w:rsid w:val="00DB748F"/>
    <w:rsid w:val="00DC0768"/>
    <w:rsid w:val="00DC1257"/>
    <w:rsid w:val="00DC266F"/>
    <w:rsid w:val="00DC3DC0"/>
    <w:rsid w:val="00DC476B"/>
    <w:rsid w:val="00DC52C8"/>
    <w:rsid w:val="00DC56A6"/>
    <w:rsid w:val="00DC5B2B"/>
    <w:rsid w:val="00DC65BC"/>
    <w:rsid w:val="00DC78C6"/>
    <w:rsid w:val="00DC7EA1"/>
    <w:rsid w:val="00DD19E6"/>
    <w:rsid w:val="00DD2935"/>
    <w:rsid w:val="00DD2A90"/>
    <w:rsid w:val="00DD318D"/>
    <w:rsid w:val="00DD46F7"/>
    <w:rsid w:val="00DD474E"/>
    <w:rsid w:val="00DD4958"/>
    <w:rsid w:val="00DD548E"/>
    <w:rsid w:val="00DD69DB"/>
    <w:rsid w:val="00DD6D0C"/>
    <w:rsid w:val="00DD6D47"/>
    <w:rsid w:val="00DE041D"/>
    <w:rsid w:val="00DE2179"/>
    <w:rsid w:val="00DE3654"/>
    <w:rsid w:val="00DE3806"/>
    <w:rsid w:val="00DE44CF"/>
    <w:rsid w:val="00DE45A2"/>
    <w:rsid w:val="00DE5ADF"/>
    <w:rsid w:val="00DE5AE8"/>
    <w:rsid w:val="00DE650C"/>
    <w:rsid w:val="00DE666E"/>
    <w:rsid w:val="00DE6D2D"/>
    <w:rsid w:val="00DE6E2D"/>
    <w:rsid w:val="00DE6E62"/>
    <w:rsid w:val="00DE7108"/>
    <w:rsid w:val="00DE7530"/>
    <w:rsid w:val="00DF0EDF"/>
    <w:rsid w:val="00DF1374"/>
    <w:rsid w:val="00DF22BB"/>
    <w:rsid w:val="00DF2E12"/>
    <w:rsid w:val="00DF3F67"/>
    <w:rsid w:val="00DF4120"/>
    <w:rsid w:val="00DF514A"/>
    <w:rsid w:val="00DF6690"/>
    <w:rsid w:val="00DF6759"/>
    <w:rsid w:val="00DF6804"/>
    <w:rsid w:val="00E002CF"/>
    <w:rsid w:val="00E00C2D"/>
    <w:rsid w:val="00E00D90"/>
    <w:rsid w:val="00E034D9"/>
    <w:rsid w:val="00E0358D"/>
    <w:rsid w:val="00E04323"/>
    <w:rsid w:val="00E04976"/>
    <w:rsid w:val="00E04997"/>
    <w:rsid w:val="00E04B10"/>
    <w:rsid w:val="00E04E99"/>
    <w:rsid w:val="00E0547D"/>
    <w:rsid w:val="00E0573E"/>
    <w:rsid w:val="00E061C5"/>
    <w:rsid w:val="00E06739"/>
    <w:rsid w:val="00E06A3A"/>
    <w:rsid w:val="00E06FD2"/>
    <w:rsid w:val="00E070A2"/>
    <w:rsid w:val="00E07F03"/>
    <w:rsid w:val="00E07FEE"/>
    <w:rsid w:val="00E1091A"/>
    <w:rsid w:val="00E10A68"/>
    <w:rsid w:val="00E10FD6"/>
    <w:rsid w:val="00E11238"/>
    <w:rsid w:val="00E113EF"/>
    <w:rsid w:val="00E1286F"/>
    <w:rsid w:val="00E15417"/>
    <w:rsid w:val="00E1622A"/>
    <w:rsid w:val="00E16DC5"/>
    <w:rsid w:val="00E174DA"/>
    <w:rsid w:val="00E17705"/>
    <w:rsid w:val="00E20EB7"/>
    <w:rsid w:val="00E21327"/>
    <w:rsid w:val="00E2194B"/>
    <w:rsid w:val="00E2202F"/>
    <w:rsid w:val="00E2321D"/>
    <w:rsid w:val="00E2355C"/>
    <w:rsid w:val="00E23563"/>
    <w:rsid w:val="00E23915"/>
    <w:rsid w:val="00E249BD"/>
    <w:rsid w:val="00E25235"/>
    <w:rsid w:val="00E26198"/>
    <w:rsid w:val="00E2656A"/>
    <w:rsid w:val="00E314C0"/>
    <w:rsid w:val="00E316FE"/>
    <w:rsid w:val="00E31AF7"/>
    <w:rsid w:val="00E31BF2"/>
    <w:rsid w:val="00E31C1A"/>
    <w:rsid w:val="00E325C3"/>
    <w:rsid w:val="00E32A7A"/>
    <w:rsid w:val="00E40199"/>
    <w:rsid w:val="00E405AD"/>
    <w:rsid w:val="00E412D0"/>
    <w:rsid w:val="00E41BFA"/>
    <w:rsid w:val="00E41DCA"/>
    <w:rsid w:val="00E4221E"/>
    <w:rsid w:val="00E44B08"/>
    <w:rsid w:val="00E45178"/>
    <w:rsid w:val="00E45355"/>
    <w:rsid w:val="00E46C37"/>
    <w:rsid w:val="00E5197A"/>
    <w:rsid w:val="00E51A50"/>
    <w:rsid w:val="00E52828"/>
    <w:rsid w:val="00E55B39"/>
    <w:rsid w:val="00E55DAB"/>
    <w:rsid w:val="00E56322"/>
    <w:rsid w:val="00E605C7"/>
    <w:rsid w:val="00E60982"/>
    <w:rsid w:val="00E611AC"/>
    <w:rsid w:val="00E617DA"/>
    <w:rsid w:val="00E6183B"/>
    <w:rsid w:val="00E62C62"/>
    <w:rsid w:val="00E63E2A"/>
    <w:rsid w:val="00E654C1"/>
    <w:rsid w:val="00E6552D"/>
    <w:rsid w:val="00E65C74"/>
    <w:rsid w:val="00E65D97"/>
    <w:rsid w:val="00E665E9"/>
    <w:rsid w:val="00E668FA"/>
    <w:rsid w:val="00E72501"/>
    <w:rsid w:val="00E72A5A"/>
    <w:rsid w:val="00E72D04"/>
    <w:rsid w:val="00E732A2"/>
    <w:rsid w:val="00E73354"/>
    <w:rsid w:val="00E7384B"/>
    <w:rsid w:val="00E7472F"/>
    <w:rsid w:val="00E74F85"/>
    <w:rsid w:val="00E7654A"/>
    <w:rsid w:val="00E802D1"/>
    <w:rsid w:val="00E804E5"/>
    <w:rsid w:val="00E8094E"/>
    <w:rsid w:val="00E81663"/>
    <w:rsid w:val="00E81693"/>
    <w:rsid w:val="00E835B0"/>
    <w:rsid w:val="00E835E0"/>
    <w:rsid w:val="00E838D4"/>
    <w:rsid w:val="00E84878"/>
    <w:rsid w:val="00E850BB"/>
    <w:rsid w:val="00E867B4"/>
    <w:rsid w:val="00E8705D"/>
    <w:rsid w:val="00E9242D"/>
    <w:rsid w:val="00E932B6"/>
    <w:rsid w:val="00E942A3"/>
    <w:rsid w:val="00E94C84"/>
    <w:rsid w:val="00E95600"/>
    <w:rsid w:val="00E958EF"/>
    <w:rsid w:val="00E9723F"/>
    <w:rsid w:val="00EA0587"/>
    <w:rsid w:val="00EA14ED"/>
    <w:rsid w:val="00EA33F1"/>
    <w:rsid w:val="00EA34ED"/>
    <w:rsid w:val="00EA4531"/>
    <w:rsid w:val="00EA4AAB"/>
    <w:rsid w:val="00EA4DA7"/>
    <w:rsid w:val="00EA61A3"/>
    <w:rsid w:val="00EA6219"/>
    <w:rsid w:val="00EA66B2"/>
    <w:rsid w:val="00EA6A04"/>
    <w:rsid w:val="00EA72EA"/>
    <w:rsid w:val="00EA79FF"/>
    <w:rsid w:val="00EB2100"/>
    <w:rsid w:val="00EB36F4"/>
    <w:rsid w:val="00EB3ED8"/>
    <w:rsid w:val="00EB5255"/>
    <w:rsid w:val="00EB5B0B"/>
    <w:rsid w:val="00EB5C47"/>
    <w:rsid w:val="00EC08F1"/>
    <w:rsid w:val="00EC15E4"/>
    <w:rsid w:val="00EC216E"/>
    <w:rsid w:val="00EC2693"/>
    <w:rsid w:val="00EC431C"/>
    <w:rsid w:val="00EC55FB"/>
    <w:rsid w:val="00EC6274"/>
    <w:rsid w:val="00EC715B"/>
    <w:rsid w:val="00ED0639"/>
    <w:rsid w:val="00ED0F83"/>
    <w:rsid w:val="00ED3BD2"/>
    <w:rsid w:val="00ED3BD4"/>
    <w:rsid w:val="00ED3C58"/>
    <w:rsid w:val="00ED521F"/>
    <w:rsid w:val="00ED5B07"/>
    <w:rsid w:val="00ED6A11"/>
    <w:rsid w:val="00ED6BD6"/>
    <w:rsid w:val="00EE0AE8"/>
    <w:rsid w:val="00EE112D"/>
    <w:rsid w:val="00EE18CD"/>
    <w:rsid w:val="00EE326C"/>
    <w:rsid w:val="00EE38E4"/>
    <w:rsid w:val="00EE417D"/>
    <w:rsid w:val="00EE5EBB"/>
    <w:rsid w:val="00EF035C"/>
    <w:rsid w:val="00EF15DE"/>
    <w:rsid w:val="00EF1C15"/>
    <w:rsid w:val="00EF2528"/>
    <w:rsid w:val="00EF4658"/>
    <w:rsid w:val="00EF4755"/>
    <w:rsid w:val="00EF4C3C"/>
    <w:rsid w:val="00EF5863"/>
    <w:rsid w:val="00EF6038"/>
    <w:rsid w:val="00EF64C2"/>
    <w:rsid w:val="00EF6D47"/>
    <w:rsid w:val="00EF7114"/>
    <w:rsid w:val="00EF7135"/>
    <w:rsid w:val="00EF77E3"/>
    <w:rsid w:val="00EF7B59"/>
    <w:rsid w:val="00F006FB"/>
    <w:rsid w:val="00F027DB"/>
    <w:rsid w:val="00F0293D"/>
    <w:rsid w:val="00F034E7"/>
    <w:rsid w:val="00F0477D"/>
    <w:rsid w:val="00F06638"/>
    <w:rsid w:val="00F068CE"/>
    <w:rsid w:val="00F06BC4"/>
    <w:rsid w:val="00F101FB"/>
    <w:rsid w:val="00F1097F"/>
    <w:rsid w:val="00F13575"/>
    <w:rsid w:val="00F1492A"/>
    <w:rsid w:val="00F14A7A"/>
    <w:rsid w:val="00F17022"/>
    <w:rsid w:val="00F217B4"/>
    <w:rsid w:val="00F2239C"/>
    <w:rsid w:val="00F22985"/>
    <w:rsid w:val="00F23791"/>
    <w:rsid w:val="00F24541"/>
    <w:rsid w:val="00F24604"/>
    <w:rsid w:val="00F24EF3"/>
    <w:rsid w:val="00F26B45"/>
    <w:rsid w:val="00F26CF4"/>
    <w:rsid w:val="00F26ECA"/>
    <w:rsid w:val="00F27A71"/>
    <w:rsid w:val="00F27E10"/>
    <w:rsid w:val="00F3061E"/>
    <w:rsid w:val="00F31153"/>
    <w:rsid w:val="00F31AFC"/>
    <w:rsid w:val="00F323CC"/>
    <w:rsid w:val="00F328C6"/>
    <w:rsid w:val="00F33359"/>
    <w:rsid w:val="00F336B1"/>
    <w:rsid w:val="00F3383E"/>
    <w:rsid w:val="00F34070"/>
    <w:rsid w:val="00F37254"/>
    <w:rsid w:val="00F37BA6"/>
    <w:rsid w:val="00F41E1D"/>
    <w:rsid w:val="00F42085"/>
    <w:rsid w:val="00F4258B"/>
    <w:rsid w:val="00F4274A"/>
    <w:rsid w:val="00F44421"/>
    <w:rsid w:val="00F44646"/>
    <w:rsid w:val="00F461AA"/>
    <w:rsid w:val="00F465A7"/>
    <w:rsid w:val="00F4693F"/>
    <w:rsid w:val="00F507FE"/>
    <w:rsid w:val="00F50B7C"/>
    <w:rsid w:val="00F510F3"/>
    <w:rsid w:val="00F5141A"/>
    <w:rsid w:val="00F52588"/>
    <w:rsid w:val="00F52DBF"/>
    <w:rsid w:val="00F53C77"/>
    <w:rsid w:val="00F550E6"/>
    <w:rsid w:val="00F579B8"/>
    <w:rsid w:val="00F60483"/>
    <w:rsid w:val="00F60B78"/>
    <w:rsid w:val="00F62573"/>
    <w:rsid w:val="00F62D55"/>
    <w:rsid w:val="00F62F56"/>
    <w:rsid w:val="00F64405"/>
    <w:rsid w:val="00F65324"/>
    <w:rsid w:val="00F657F4"/>
    <w:rsid w:val="00F65C7A"/>
    <w:rsid w:val="00F67DC6"/>
    <w:rsid w:val="00F7272D"/>
    <w:rsid w:val="00F73569"/>
    <w:rsid w:val="00F73688"/>
    <w:rsid w:val="00F7389F"/>
    <w:rsid w:val="00F74345"/>
    <w:rsid w:val="00F76BC9"/>
    <w:rsid w:val="00F802CD"/>
    <w:rsid w:val="00F807CC"/>
    <w:rsid w:val="00F80A0A"/>
    <w:rsid w:val="00F81A73"/>
    <w:rsid w:val="00F82B19"/>
    <w:rsid w:val="00F852BE"/>
    <w:rsid w:val="00F852D2"/>
    <w:rsid w:val="00F87213"/>
    <w:rsid w:val="00F91A4D"/>
    <w:rsid w:val="00F9212D"/>
    <w:rsid w:val="00F92A8F"/>
    <w:rsid w:val="00F92E18"/>
    <w:rsid w:val="00F933AC"/>
    <w:rsid w:val="00F9369D"/>
    <w:rsid w:val="00F93838"/>
    <w:rsid w:val="00F94417"/>
    <w:rsid w:val="00F94C01"/>
    <w:rsid w:val="00F95BDB"/>
    <w:rsid w:val="00F961F8"/>
    <w:rsid w:val="00F965DA"/>
    <w:rsid w:val="00F9686E"/>
    <w:rsid w:val="00F968F6"/>
    <w:rsid w:val="00FA066A"/>
    <w:rsid w:val="00FA07FC"/>
    <w:rsid w:val="00FA101D"/>
    <w:rsid w:val="00FA1D80"/>
    <w:rsid w:val="00FA2A5E"/>
    <w:rsid w:val="00FA369F"/>
    <w:rsid w:val="00FA3E03"/>
    <w:rsid w:val="00FA406A"/>
    <w:rsid w:val="00FA43C9"/>
    <w:rsid w:val="00FA501B"/>
    <w:rsid w:val="00FA5217"/>
    <w:rsid w:val="00FB0CC4"/>
    <w:rsid w:val="00FB0F84"/>
    <w:rsid w:val="00FB1994"/>
    <w:rsid w:val="00FB28CB"/>
    <w:rsid w:val="00FB35C1"/>
    <w:rsid w:val="00FB503A"/>
    <w:rsid w:val="00FB516C"/>
    <w:rsid w:val="00FB5227"/>
    <w:rsid w:val="00FB5277"/>
    <w:rsid w:val="00FB5663"/>
    <w:rsid w:val="00FB6A73"/>
    <w:rsid w:val="00FC11DD"/>
    <w:rsid w:val="00FC37E9"/>
    <w:rsid w:val="00FC485C"/>
    <w:rsid w:val="00FC4E7C"/>
    <w:rsid w:val="00FC513E"/>
    <w:rsid w:val="00FC55E3"/>
    <w:rsid w:val="00FC58B9"/>
    <w:rsid w:val="00FC6D87"/>
    <w:rsid w:val="00FC6F6B"/>
    <w:rsid w:val="00FD0236"/>
    <w:rsid w:val="00FD08D2"/>
    <w:rsid w:val="00FD18F4"/>
    <w:rsid w:val="00FD23DC"/>
    <w:rsid w:val="00FD3D30"/>
    <w:rsid w:val="00FD49C9"/>
    <w:rsid w:val="00FD5360"/>
    <w:rsid w:val="00FD54DB"/>
    <w:rsid w:val="00FD572B"/>
    <w:rsid w:val="00FD5F4F"/>
    <w:rsid w:val="00FD619F"/>
    <w:rsid w:val="00FD7924"/>
    <w:rsid w:val="00FE0E79"/>
    <w:rsid w:val="00FE0F0C"/>
    <w:rsid w:val="00FE1C1B"/>
    <w:rsid w:val="00FE4904"/>
    <w:rsid w:val="00FE4A5A"/>
    <w:rsid w:val="00FE6070"/>
    <w:rsid w:val="00FE6508"/>
    <w:rsid w:val="00FE7B13"/>
    <w:rsid w:val="00FF0D68"/>
    <w:rsid w:val="00FF144D"/>
    <w:rsid w:val="00FF196C"/>
    <w:rsid w:val="00FF2168"/>
    <w:rsid w:val="00FF2AF0"/>
    <w:rsid w:val="00FF479C"/>
    <w:rsid w:val="00FF56DF"/>
    <w:rsid w:val="00FF59C6"/>
    <w:rsid w:val="00FF610A"/>
    <w:rsid w:val="00FF6B29"/>
    <w:rsid w:val="00FF6F8A"/>
    <w:rsid w:val="00FF74D1"/>
    <w:rsid w:val="01290F7E"/>
    <w:rsid w:val="015D1E09"/>
    <w:rsid w:val="02697903"/>
    <w:rsid w:val="02AF36E8"/>
    <w:rsid w:val="02F96569"/>
    <w:rsid w:val="03B34501"/>
    <w:rsid w:val="03E832B3"/>
    <w:rsid w:val="03EA7B21"/>
    <w:rsid w:val="05F83EAE"/>
    <w:rsid w:val="063E7D85"/>
    <w:rsid w:val="06870E1C"/>
    <w:rsid w:val="07293586"/>
    <w:rsid w:val="07295285"/>
    <w:rsid w:val="07636392"/>
    <w:rsid w:val="07770C56"/>
    <w:rsid w:val="08E50C5E"/>
    <w:rsid w:val="090F20A6"/>
    <w:rsid w:val="092217DD"/>
    <w:rsid w:val="093A7294"/>
    <w:rsid w:val="09D27FE6"/>
    <w:rsid w:val="0A263993"/>
    <w:rsid w:val="0A2D3AC2"/>
    <w:rsid w:val="0AA755DF"/>
    <w:rsid w:val="0B120D44"/>
    <w:rsid w:val="0B145DBF"/>
    <w:rsid w:val="0BCE4606"/>
    <w:rsid w:val="0BD27BF6"/>
    <w:rsid w:val="0C3B3C7D"/>
    <w:rsid w:val="0C442248"/>
    <w:rsid w:val="0CAB2EAE"/>
    <w:rsid w:val="0D396ACB"/>
    <w:rsid w:val="0D621C7D"/>
    <w:rsid w:val="0DE4665B"/>
    <w:rsid w:val="0E73034D"/>
    <w:rsid w:val="0ECB7AF8"/>
    <w:rsid w:val="0EE62C14"/>
    <w:rsid w:val="0F13775A"/>
    <w:rsid w:val="0F346E76"/>
    <w:rsid w:val="0F5F45FE"/>
    <w:rsid w:val="0F9A112B"/>
    <w:rsid w:val="106D2F64"/>
    <w:rsid w:val="10B43BAB"/>
    <w:rsid w:val="10B63710"/>
    <w:rsid w:val="10F10820"/>
    <w:rsid w:val="111C2F7A"/>
    <w:rsid w:val="11665CA1"/>
    <w:rsid w:val="13951726"/>
    <w:rsid w:val="13E47608"/>
    <w:rsid w:val="14396509"/>
    <w:rsid w:val="14972AEF"/>
    <w:rsid w:val="14DD2C3C"/>
    <w:rsid w:val="153E27FD"/>
    <w:rsid w:val="15E1100E"/>
    <w:rsid w:val="16087E1D"/>
    <w:rsid w:val="160E0421"/>
    <w:rsid w:val="16212422"/>
    <w:rsid w:val="16F75359"/>
    <w:rsid w:val="170C37D9"/>
    <w:rsid w:val="17701D14"/>
    <w:rsid w:val="17735226"/>
    <w:rsid w:val="189F624C"/>
    <w:rsid w:val="1A1C66C0"/>
    <w:rsid w:val="1A42393B"/>
    <w:rsid w:val="1AAD45DE"/>
    <w:rsid w:val="1B046F80"/>
    <w:rsid w:val="1B3267B5"/>
    <w:rsid w:val="1B40161D"/>
    <w:rsid w:val="1B441859"/>
    <w:rsid w:val="1B6606B1"/>
    <w:rsid w:val="1C267BE2"/>
    <w:rsid w:val="1C5E7925"/>
    <w:rsid w:val="1C7141D4"/>
    <w:rsid w:val="1C750B25"/>
    <w:rsid w:val="1CFD070F"/>
    <w:rsid w:val="1D3D6C70"/>
    <w:rsid w:val="1D5F6196"/>
    <w:rsid w:val="1D6132A5"/>
    <w:rsid w:val="1D8E56D5"/>
    <w:rsid w:val="1E7A43DA"/>
    <w:rsid w:val="1F347A7E"/>
    <w:rsid w:val="1F4C4AEC"/>
    <w:rsid w:val="1FE7539E"/>
    <w:rsid w:val="20671BE0"/>
    <w:rsid w:val="20963CB8"/>
    <w:rsid w:val="20A81A1B"/>
    <w:rsid w:val="20B07FB6"/>
    <w:rsid w:val="20B646FB"/>
    <w:rsid w:val="213969AC"/>
    <w:rsid w:val="213B74B1"/>
    <w:rsid w:val="215A2310"/>
    <w:rsid w:val="21DE318A"/>
    <w:rsid w:val="21E4582C"/>
    <w:rsid w:val="21EF5B80"/>
    <w:rsid w:val="22576990"/>
    <w:rsid w:val="22F47480"/>
    <w:rsid w:val="237B251B"/>
    <w:rsid w:val="23C66971"/>
    <w:rsid w:val="23CC71A6"/>
    <w:rsid w:val="23DE1C48"/>
    <w:rsid w:val="240210CD"/>
    <w:rsid w:val="24070AAC"/>
    <w:rsid w:val="24BF09F7"/>
    <w:rsid w:val="25171DD4"/>
    <w:rsid w:val="252D53FE"/>
    <w:rsid w:val="254C6CA3"/>
    <w:rsid w:val="25EC2D81"/>
    <w:rsid w:val="26024C0B"/>
    <w:rsid w:val="261B2BE7"/>
    <w:rsid w:val="261C0BAA"/>
    <w:rsid w:val="274422CC"/>
    <w:rsid w:val="276A122F"/>
    <w:rsid w:val="277057A2"/>
    <w:rsid w:val="29206EB8"/>
    <w:rsid w:val="29595666"/>
    <w:rsid w:val="29874881"/>
    <w:rsid w:val="29E325E0"/>
    <w:rsid w:val="2A16001A"/>
    <w:rsid w:val="2A452503"/>
    <w:rsid w:val="2ADA7578"/>
    <w:rsid w:val="2AFC02D3"/>
    <w:rsid w:val="2B5F36D8"/>
    <w:rsid w:val="2BA936A8"/>
    <w:rsid w:val="2BBB2497"/>
    <w:rsid w:val="2BE945AE"/>
    <w:rsid w:val="2C033482"/>
    <w:rsid w:val="2C315A5A"/>
    <w:rsid w:val="2C4B1C25"/>
    <w:rsid w:val="2CE766FF"/>
    <w:rsid w:val="2D9E56F5"/>
    <w:rsid w:val="2E4F46A5"/>
    <w:rsid w:val="2E667F96"/>
    <w:rsid w:val="2E8226AB"/>
    <w:rsid w:val="2F4969DF"/>
    <w:rsid w:val="2FD065E6"/>
    <w:rsid w:val="2FD751AC"/>
    <w:rsid w:val="2FD96870"/>
    <w:rsid w:val="30580BC9"/>
    <w:rsid w:val="311E2ED7"/>
    <w:rsid w:val="315619EE"/>
    <w:rsid w:val="315C449C"/>
    <w:rsid w:val="31A27577"/>
    <w:rsid w:val="31B82709"/>
    <w:rsid w:val="31D05482"/>
    <w:rsid w:val="321414E7"/>
    <w:rsid w:val="32400B34"/>
    <w:rsid w:val="329E6876"/>
    <w:rsid w:val="333015F2"/>
    <w:rsid w:val="33432EBF"/>
    <w:rsid w:val="334B6320"/>
    <w:rsid w:val="33C04E02"/>
    <w:rsid w:val="33D934D4"/>
    <w:rsid w:val="33FE2F6A"/>
    <w:rsid w:val="340E07E5"/>
    <w:rsid w:val="34235BF7"/>
    <w:rsid w:val="345206A6"/>
    <w:rsid w:val="34CC52D7"/>
    <w:rsid w:val="358C5FA8"/>
    <w:rsid w:val="358C7346"/>
    <w:rsid w:val="35C15DF1"/>
    <w:rsid w:val="35EA0E10"/>
    <w:rsid w:val="36074A7F"/>
    <w:rsid w:val="36205E0A"/>
    <w:rsid w:val="362B2E09"/>
    <w:rsid w:val="367A26CF"/>
    <w:rsid w:val="36923549"/>
    <w:rsid w:val="36B75FBF"/>
    <w:rsid w:val="36BD0C45"/>
    <w:rsid w:val="370A4392"/>
    <w:rsid w:val="374036B8"/>
    <w:rsid w:val="37424097"/>
    <w:rsid w:val="37E00298"/>
    <w:rsid w:val="38B302F9"/>
    <w:rsid w:val="38D52350"/>
    <w:rsid w:val="38D9630D"/>
    <w:rsid w:val="38DB12EB"/>
    <w:rsid w:val="38F12CD3"/>
    <w:rsid w:val="38F94775"/>
    <w:rsid w:val="392971ED"/>
    <w:rsid w:val="39325651"/>
    <w:rsid w:val="394F2E3F"/>
    <w:rsid w:val="39657AA9"/>
    <w:rsid w:val="3A1D6CFA"/>
    <w:rsid w:val="3A872856"/>
    <w:rsid w:val="3B3763D1"/>
    <w:rsid w:val="3BB816D0"/>
    <w:rsid w:val="3BF90153"/>
    <w:rsid w:val="3BFC46F4"/>
    <w:rsid w:val="3C2F6E1E"/>
    <w:rsid w:val="3C4F64BA"/>
    <w:rsid w:val="3CDA245A"/>
    <w:rsid w:val="3D1E06B7"/>
    <w:rsid w:val="3E6057D8"/>
    <w:rsid w:val="3EDA0523"/>
    <w:rsid w:val="3FAF4E3C"/>
    <w:rsid w:val="407A6407"/>
    <w:rsid w:val="41395AA3"/>
    <w:rsid w:val="4200449D"/>
    <w:rsid w:val="423A3BCC"/>
    <w:rsid w:val="424E57D2"/>
    <w:rsid w:val="42B26C49"/>
    <w:rsid w:val="42C04EB0"/>
    <w:rsid w:val="42CC1B94"/>
    <w:rsid w:val="433A6FE6"/>
    <w:rsid w:val="43480868"/>
    <w:rsid w:val="4350713C"/>
    <w:rsid w:val="435A09ED"/>
    <w:rsid w:val="436653E0"/>
    <w:rsid w:val="43C4431A"/>
    <w:rsid w:val="442261A5"/>
    <w:rsid w:val="447C21B1"/>
    <w:rsid w:val="44B951CC"/>
    <w:rsid w:val="44CD14E0"/>
    <w:rsid w:val="44F20B0B"/>
    <w:rsid w:val="450048F7"/>
    <w:rsid w:val="452E5F4C"/>
    <w:rsid w:val="45612018"/>
    <w:rsid w:val="458946E9"/>
    <w:rsid w:val="45A47C0E"/>
    <w:rsid w:val="46577FD6"/>
    <w:rsid w:val="46D955A7"/>
    <w:rsid w:val="46E44494"/>
    <w:rsid w:val="47102209"/>
    <w:rsid w:val="47133957"/>
    <w:rsid w:val="47A07E0C"/>
    <w:rsid w:val="4870272E"/>
    <w:rsid w:val="48AD5CBA"/>
    <w:rsid w:val="496F72E0"/>
    <w:rsid w:val="497E71AB"/>
    <w:rsid w:val="49DC7715"/>
    <w:rsid w:val="4A023139"/>
    <w:rsid w:val="4A694FB8"/>
    <w:rsid w:val="4A7B576F"/>
    <w:rsid w:val="4A9C2CDA"/>
    <w:rsid w:val="4AF561A9"/>
    <w:rsid w:val="4C0F0FDA"/>
    <w:rsid w:val="4C4A0649"/>
    <w:rsid w:val="4C794E5F"/>
    <w:rsid w:val="4C7E5ECA"/>
    <w:rsid w:val="4C876AA5"/>
    <w:rsid w:val="4D0E00FB"/>
    <w:rsid w:val="4D176606"/>
    <w:rsid w:val="4DEC4FB0"/>
    <w:rsid w:val="4E00744D"/>
    <w:rsid w:val="4E075D8A"/>
    <w:rsid w:val="4EC00FAD"/>
    <w:rsid w:val="4F9843DC"/>
    <w:rsid w:val="4FC62A8C"/>
    <w:rsid w:val="4FE20F0D"/>
    <w:rsid w:val="4FE51552"/>
    <w:rsid w:val="50504C4B"/>
    <w:rsid w:val="509C6E7C"/>
    <w:rsid w:val="50D16158"/>
    <w:rsid w:val="5162104E"/>
    <w:rsid w:val="51785AC8"/>
    <w:rsid w:val="517C698A"/>
    <w:rsid w:val="52E77A54"/>
    <w:rsid w:val="53A039CC"/>
    <w:rsid w:val="53A1505A"/>
    <w:rsid w:val="53A21199"/>
    <w:rsid w:val="53BC376E"/>
    <w:rsid w:val="54063E08"/>
    <w:rsid w:val="543437E8"/>
    <w:rsid w:val="54D678DA"/>
    <w:rsid w:val="54F710B1"/>
    <w:rsid w:val="54F73313"/>
    <w:rsid w:val="54F80955"/>
    <w:rsid w:val="551C66CE"/>
    <w:rsid w:val="555170A7"/>
    <w:rsid w:val="5587536D"/>
    <w:rsid w:val="559B174B"/>
    <w:rsid w:val="55A3225E"/>
    <w:rsid w:val="55CE0CF4"/>
    <w:rsid w:val="56B22A9C"/>
    <w:rsid w:val="57173F76"/>
    <w:rsid w:val="57513737"/>
    <w:rsid w:val="57B72A76"/>
    <w:rsid w:val="57C3426C"/>
    <w:rsid w:val="57CE1F93"/>
    <w:rsid w:val="588743D1"/>
    <w:rsid w:val="5887701A"/>
    <w:rsid w:val="593152B9"/>
    <w:rsid w:val="593C29B5"/>
    <w:rsid w:val="59502C83"/>
    <w:rsid w:val="59C0439F"/>
    <w:rsid w:val="59D22C99"/>
    <w:rsid w:val="5A8D3F12"/>
    <w:rsid w:val="5ABE2233"/>
    <w:rsid w:val="5BB27DF8"/>
    <w:rsid w:val="5BDF5D95"/>
    <w:rsid w:val="5BF77A99"/>
    <w:rsid w:val="5BFE7528"/>
    <w:rsid w:val="5E2467F1"/>
    <w:rsid w:val="5E8072D1"/>
    <w:rsid w:val="5E9C013C"/>
    <w:rsid w:val="5ED778F8"/>
    <w:rsid w:val="5F1A2B43"/>
    <w:rsid w:val="5FA16C1A"/>
    <w:rsid w:val="5FB837BB"/>
    <w:rsid w:val="5FF31D40"/>
    <w:rsid w:val="5FF612D7"/>
    <w:rsid w:val="60CC405A"/>
    <w:rsid w:val="61E215D8"/>
    <w:rsid w:val="62002D74"/>
    <w:rsid w:val="621B3775"/>
    <w:rsid w:val="62364782"/>
    <w:rsid w:val="630E5F9C"/>
    <w:rsid w:val="6394356A"/>
    <w:rsid w:val="63C61B2C"/>
    <w:rsid w:val="63C67212"/>
    <w:rsid w:val="63D40BE9"/>
    <w:rsid w:val="64102431"/>
    <w:rsid w:val="64A5243A"/>
    <w:rsid w:val="64A87ED9"/>
    <w:rsid w:val="64F531DE"/>
    <w:rsid w:val="65373578"/>
    <w:rsid w:val="66852B1C"/>
    <w:rsid w:val="670F2E73"/>
    <w:rsid w:val="671F124A"/>
    <w:rsid w:val="67764E13"/>
    <w:rsid w:val="677A33C6"/>
    <w:rsid w:val="681F6961"/>
    <w:rsid w:val="684E3556"/>
    <w:rsid w:val="6851350D"/>
    <w:rsid w:val="68610A2F"/>
    <w:rsid w:val="68805514"/>
    <w:rsid w:val="689F6284"/>
    <w:rsid w:val="68E2754D"/>
    <w:rsid w:val="68EA6F8F"/>
    <w:rsid w:val="68F96B26"/>
    <w:rsid w:val="69316E2F"/>
    <w:rsid w:val="694E2071"/>
    <w:rsid w:val="69766163"/>
    <w:rsid w:val="697A3B33"/>
    <w:rsid w:val="69D44760"/>
    <w:rsid w:val="6A520EC7"/>
    <w:rsid w:val="6A88643F"/>
    <w:rsid w:val="6AF87E20"/>
    <w:rsid w:val="6B322639"/>
    <w:rsid w:val="6B8D78EE"/>
    <w:rsid w:val="6BB824DA"/>
    <w:rsid w:val="6C636C38"/>
    <w:rsid w:val="6C9742D8"/>
    <w:rsid w:val="6DB34098"/>
    <w:rsid w:val="6DB545B6"/>
    <w:rsid w:val="6DE02FB4"/>
    <w:rsid w:val="6E2310A6"/>
    <w:rsid w:val="6E272DA2"/>
    <w:rsid w:val="6E514CED"/>
    <w:rsid w:val="6E594A34"/>
    <w:rsid w:val="6EB563D5"/>
    <w:rsid w:val="6EB81B4D"/>
    <w:rsid w:val="6ED92677"/>
    <w:rsid w:val="6F225983"/>
    <w:rsid w:val="6FFC5590"/>
    <w:rsid w:val="706D1DD0"/>
    <w:rsid w:val="70856B87"/>
    <w:rsid w:val="70D527EE"/>
    <w:rsid w:val="715B5300"/>
    <w:rsid w:val="71A13B5B"/>
    <w:rsid w:val="71B55E69"/>
    <w:rsid w:val="71D27F8A"/>
    <w:rsid w:val="72553024"/>
    <w:rsid w:val="725633D2"/>
    <w:rsid w:val="73122968"/>
    <w:rsid w:val="731F5D5E"/>
    <w:rsid w:val="73450387"/>
    <w:rsid w:val="73C51AD5"/>
    <w:rsid w:val="741E793C"/>
    <w:rsid w:val="745E3944"/>
    <w:rsid w:val="746E7FB9"/>
    <w:rsid w:val="75797B0E"/>
    <w:rsid w:val="7602037A"/>
    <w:rsid w:val="761027C4"/>
    <w:rsid w:val="761F32A1"/>
    <w:rsid w:val="7635099D"/>
    <w:rsid w:val="76795419"/>
    <w:rsid w:val="76CF54D5"/>
    <w:rsid w:val="76EB0092"/>
    <w:rsid w:val="77313DE9"/>
    <w:rsid w:val="775657AF"/>
    <w:rsid w:val="77762421"/>
    <w:rsid w:val="77795837"/>
    <w:rsid w:val="77B56B1F"/>
    <w:rsid w:val="77C35740"/>
    <w:rsid w:val="77F94BCA"/>
    <w:rsid w:val="780F09F4"/>
    <w:rsid w:val="785F73BF"/>
    <w:rsid w:val="78A90480"/>
    <w:rsid w:val="7A364017"/>
    <w:rsid w:val="7A570CA4"/>
    <w:rsid w:val="7A8265E1"/>
    <w:rsid w:val="7B686D42"/>
    <w:rsid w:val="7B841746"/>
    <w:rsid w:val="7C560182"/>
    <w:rsid w:val="7C6C5AC7"/>
    <w:rsid w:val="7C7D3FA8"/>
    <w:rsid w:val="7CC6544B"/>
    <w:rsid w:val="7D0239FF"/>
    <w:rsid w:val="7D5E40CD"/>
    <w:rsid w:val="7DCD56F2"/>
    <w:rsid w:val="7DFF1D3A"/>
    <w:rsid w:val="7E0B1F99"/>
    <w:rsid w:val="7E5F7DF8"/>
    <w:rsid w:val="7ED71E7C"/>
    <w:rsid w:val="7F001CE7"/>
    <w:rsid w:val="7F484791"/>
    <w:rsid w:val="7FB51766"/>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dashstyle="dash" endarrow="block"/>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qFormat="1" w:unhideWhenUsed="0" w:uiPriority="39" w:semiHidden="0" w:name="toc 1" w:locked="1"/>
    <w:lsdException w:uiPriority="0" w:name="toc 2" w:locked="1"/>
    <w:lsdException w:uiPriority="0" w:name="toc 3" w:locked="1"/>
    <w:lsdException w:qFormat="1" w:unhideWhenUsed="0" w:uiPriority="0" w:semiHidden="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nhideWhenUsed="0" w:uiPriority="0" w:semiHidden="0" w:name="Normal Indent" w:locked="1"/>
    <w:lsdException w:uiPriority="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ocked="1"/>
    <w:lsdException w:qFormat="1"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0" w:semiHidden="0" w:name="annotation reference"/>
    <w:lsdException w:uiPriority="0" w:name="line number" w:locked="1"/>
    <w:lsdException w:qFormat="1" w:unhideWhenUsed="0" w:uiPriority="0" w:semiHidden="0" w:name="page number" w:locked="1"/>
    <w:lsdException w:uiPriority="0" w:name="endnote reference" w:locked="1"/>
    <w:lsdException w:uiPriority="0" w:name="endnote text" w:locked="1"/>
    <w:lsdException w:uiPriority="0" w:name="table of authorities" w:locked="1"/>
    <w:lsdException w:uiPriority="0" w:name="macro" w:locked="1"/>
    <w:lsdException w:uiPriority="0" w:name="toa heading" w:locked="1"/>
    <w:lsdException w:qFormat="1" w:unhideWhenUsed="0" w:uiPriority="0" w:semiHidden="0" w:name="List" w:locked="1"/>
    <w:lsdException w:uiPriority="0" w:name="List Bullet" w:locked="1"/>
    <w:lsdException w:unhideWhenUsed="0" w:uiPriority="0" w:semiHidden="0" w:name="List Number" w:locked="1"/>
    <w:lsdException w:uiPriority="0" w:name="List 2" w:locked="1"/>
    <w:lsdException w:uiPriority="0" w:name="List 3" w:locked="1"/>
    <w:lsdException w:unhideWhenUsed="0" w:uiPriority="0" w:semiHidden="0" w:name="List 4" w:locked="1"/>
    <w:lsdException w:unhideWhenUsed="0" w:uiPriority="0" w:semiHidden="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uiPriority="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99" w:semiHidden="0" w:name="Body Text First Indent 2" w:locked="1"/>
    <w:lsdException w:uiPriority="0" w:name="Note Heading" w:locked="1"/>
    <w:lsdException w:qFormat="1" w:unhideWhenUsed="0" w:uiPriority="0" w:semiHidden="0" w:name="Body Text 2" w:locked="1"/>
    <w:lsdException w:uiPriority="0" w:name="Body Text 3" w:locked="1"/>
    <w:lsdException w:uiPriority="0" w:name="Body Text Indent 2" w:locked="1"/>
    <w:lsdException w:uiPriority="0" w:name="Body Text Indent 3" w:locked="1"/>
    <w:lsdException w:uiPriority="0" w:name="Block Text" w:locked="1"/>
    <w:lsdException w:qFormat="1" w:uiPriority="99" w:semiHidden="0" w:name="Hyperlink" w:locked="1"/>
    <w:lsdException w:qFormat="1" w:uiPriority="0" w:name="FollowedHyperlink" w:locked="1"/>
    <w:lsdException w:qFormat="1" w:unhideWhenUsed="0" w:uiPriority="22" w:semiHidden="0" w:name="Strong" w:locked="1"/>
    <w:lsdException w:qFormat="1" w:unhideWhenUsed="0" w:uiPriority="0" w:semiHidden="0" w:name="Emphasis" w:locked="1"/>
    <w:lsdException w:uiPriority="0" w:name="Document Map" w:locked="1"/>
    <w:lsdException w:qFormat="1" w:unhideWhenUsed="0" w:uiPriority="0" w:semiHidden="0" w:name="Plain Text" w:locked="1"/>
    <w:lsdException w:uiPriority="0" w:name="E-mail Signature" w:locked="1"/>
    <w:lsdException w:qFormat="1" w:unhideWhenUsed="0" w:uiPriority="99"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qFormat="1" w:unhideWhenUsed="0" w:uiPriority="0" w:semiHidden="0" w:name="HTML Preformatted" w:locked="1"/>
    <w:lsdException w:uiPriority="0" w:name="HTML Sample" w:locked="1"/>
    <w:lsdException w:qFormat="1" w:unhideWhenUsed="0" w:uiPriority="0" w:semiHidden="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0" w:semiHidden="0" w:name="Table Grid"/>
    <w:lsdException w:qFormat="1"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36"/>
    <w:qFormat/>
    <w:locked/>
    <w:uiPriority w:val="0"/>
    <w:pPr>
      <w:keepNext/>
      <w:keepLines/>
      <w:spacing w:before="260" w:after="260" w:line="416" w:lineRule="auto"/>
      <w:outlineLvl w:val="1"/>
    </w:pPr>
    <w:rPr>
      <w:rFonts w:ascii="等线 Light" w:hAnsi="等线 Light" w:eastAsia="等线 Light"/>
      <w:b/>
      <w:bCs/>
      <w:sz w:val="32"/>
      <w:szCs w:val="32"/>
    </w:rPr>
  </w:style>
  <w:style w:type="paragraph" w:styleId="4">
    <w:name w:val="heading 3"/>
    <w:basedOn w:val="1"/>
    <w:next w:val="1"/>
    <w:link w:val="37"/>
    <w:qFormat/>
    <w:locked/>
    <w:uiPriority w:val="0"/>
    <w:pPr>
      <w:keepNext/>
      <w:keepLines/>
      <w:spacing w:before="260" w:after="260" w:line="416" w:lineRule="auto"/>
      <w:outlineLvl w:val="2"/>
    </w:pPr>
    <w:rPr>
      <w:b/>
      <w:bCs/>
      <w:sz w:val="32"/>
      <w:szCs w:val="32"/>
    </w:rPr>
  </w:style>
  <w:style w:type="character" w:default="1" w:styleId="28">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38"/>
    <w:qFormat/>
    <w:locked/>
    <w:uiPriority w:val="0"/>
    <w:pPr>
      <w:adjustRightInd w:val="0"/>
      <w:spacing w:line="312" w:lineRule="atLeast"/>
      <w:ind w:firstLine="420"/>
      <w:textAlignment w:val="baseline"/>
    </w:pPr>
    <w:rPr>
      <w:rFonts w:ascii="宋体" w:hAnsi="Courier New"/>
      <w:kern w:val="0"/>
      <w:szCs w:val="20"/>
    </w:rPr>
  </w:style>
  <w:style w:type="paragraph" w:styleId="6">
    <w:name w:val="caption"/>
    <w:basedOn w:val="1"/>
    <w:next w:val="1"/>
    <w:unhideWhenUsed/>
    <w:qFormat/>
    <w:locked/>
    <w:uiPriority w:val="0"/>
    <w:rPr>
      <w:rFonts w:ascii="等线 Light" w:hAnsi="等线 Light" w:eastAsia="黑体"/>
      <w:sz w:val="20"/>
      <w:szCs w:val="20"/>
    </w:rPr>
  </w:style>
  <w:style w:type="paragraph" w:styleId="7">
    <w:name w:val="annotation text"/>
    <w:basedOn w:val="1"/>
    <w:link w:val="39"/>
    <w:qFormat/>
    <w:uiPriority w:val="0"/>
    <w:pPr>
      <w:jc w:val="left"/>
    </w:pPr>
    <w:rPr>
      <w:kern w:val="0"/>
      <w:sz w:val="24"/>
      <w:szCs w:val="20"/>
    </w:rPr>
  </w:style>
  <w:style w:type="paragraph" w:styleId="8">
    <w:name w:val="Body Text"/>
    <w:basedOn w:val="1"/>
    <w:link w:val="40"/>
    <w:qFormat/>
    <w:uiPriority w:val="0"/>
    <w:pPr>
      <w:widowControl/>
      <w:snapToGrid w:val="0"/>
      <w:spacing w:before="60" w:after="160" w:line="259" w:lineRule="auto"/>
      <w:ind w:right="113"/>
    </w:pPr>
    <w:rPr>
      <w:kern w:val="0"/>
      <w:sz w:val="18"/>
      <w:szCs w:val="20"/>
    </w:rPr>
  </w:style>
  <w:style w:type="paragraph" w:styleId="9">
    <w:name w:val="Body Text Indent"/>
    <w:basedOn w:val="1"/>
    <w:next w:val="10"/>
    <w:link w:val="41"/>
    <w:qFormat/>
    <w:uiPriority w:val="0"/>
    <w:pPr>
      <w:spacing w:after="120"/>
      <w:ind w:left="420" w:leftChars="200"/>
    </w:pPr>
    <w:rPr>
      <w:kern w:val="0"/>
      <w:sz w:val="24"/>
      <w:szCs w:val="20"/>
    </w:rPr>
  </w:style>
  <w:style w:type="paragraph" w:customStyle="1" w:styleId="10">
    <w:name w:val="样式 正文文本缩进 + 行距: 1.5 倍行距"/>
    <w:basedOn w:val="1"/>
    <w:qFormat/>
    <w:uiPriority w:val="0"/>
    <w:pPr>
      <w:spacing w:after="120" w:line="360" w:lineRule="auto"/>
      <w:ind w:left="90" w:leftChars="32" w:firstLine="560" w:firstLineChars="200"/>
    </w:pPr>
    <w:rPr>
      <w:rFonts w:cs="宋体"/>
    </w:rPr>
  </w:style>
  <w:style w:type="paragraph" w:styleId="11">
    <w:name w:val="Plain Text"/>
    <w:basedOn w:val="1"/>
    <w:link w:val="42"/>
    <w:qFormat/>
    <w:locked/>
    <w:uiPriority w:val="0"/>
    <w:rPr>
      <w:rFonts w:ascii="宋体" w:hAnsi="Courier New"/>
      <w:szCs w:val="21"/>
    </w:rPr>
  </w:style>
  <w:style w:type="paragraph" w:styleId="12">
    <w:name w:val="Date"/>
    <w:basedOn w:val="1"/>
    <w:next w:val="1"/>
    <w:link w:val="43"/>
    <w:qFormat/>
    <w:uiPriority w:val="0"/>
    <w:pPr>
      <w:ind w:left="100" w:leftChars="2500"/>
    </w:pPr>
    <w:rPr>
      <w:kern w:val="0"/>
      <w:sz w:val="24"/>
      <w:szCs w:val="20"/>
    </w:rPr>
  </w:style>
  <w:style w:type="paragraph" w:styleId="13">
    <w:name w:val="Balloon Text"/>
    <w:basedOn w:val="1"/>
    <w:link w:val="44"/>
    <w:qFormat/>
    <w:uiPriority w:val="0"/>
    <w:rPr>
      <w:kern w:val="0"/>
      <w:sz w:val="18"/>
      <w:szCs w:val="20"/>
    </w:rPr>
  </w:style>
  <w:style w:type="paragraph" w:styleId="14">
    <w:name w:val="footer"/>
    <w:basedOn w:val="1"/>
    <w:link w:val="45"/>
    <w:qFormat/>
    <w:uiPriority w:val="99"/>
    <w:pPr>
      <w:tabs>
        <w:tab w:val="center" w:pos="4153"/>
        <w:tab w:val="right" w:pos="8306"/>
      </w:tabs>
      <w:snapToGrid w:val="0"/>
      <w:jc w:val="left"/>
    </w:pPr>
    <w:rPr>
      <w:kern w:val="0"/>
      <w:sz w:val="18"/>
      <w:szCs w:val="20"/>
    </w:rPr>
  </w:style>
  <w:style w:type="paragraph" w:styleId="15">
    <w:name w:val="header"/>
    <w:basedOn w:val="1"/>
    <w:link w:val="46"/>
    <w:qFormat/>
    <w:uiPriority w:val="99"/>
    <w:pPr>
      <w:pBdr>
        <w:bottom w:val="single" w:color="auto" w:sz="6" w:space="1"/>
      </w:pBdr>
      <w:tabs>
        <w:tab w:val="center" w:pos="4153"/>
        <w:tab w:val="right" w:pos="8306"/>
      </w:tabs>
      <w:snapToGrid w:val="0"/>
      <w:jc w:val="center"/>
    </w:pPr>
    <w:rPr>
      <w:kern w:val="0"/>
      <w:sz w:val="18"/>
      <w:szCs w:val="20"/>
    </w:rPr>
  </w:style>
  <w:style w:type="paragraph" w:styleId="16">
    <w:name w:val="toc 1"/>
    <w:basedOn w:val="1"/>
    <w:next w:val="1"/>
    <w:qFormat/>
    <w:locked/>
    <w:uiPriority w:val="39"/>
    <w:pPr>
      <w:spacing w:before="120" w:after="120"/>
      <w:jc w:val="left"/>
    </w:pPr>
    <w:rPr>
      <w:b/>
      <w:bCs/>
      <w:caps/>
      <w:sz w:val="24"/>
      <w:szCs w:val="20"/>
    </w:rPr>
  </w:style>
  <w:style w:type="paragraph" w:styleId="17">
    <w:name w:val="toc 4"/>
    <w:basedOn w:val="1"/>
    <w:next w:val="1"/>
    <w:qFormat/>
    <w:locked/>
    <w:uiPriority w:val="0"/>
    <w:pPr>
      <w:ind w:left="1260" w:leftChars="600"/>
    </w:pPr>
  </w:style>
  <w:style w:type="paragraph" w:styleId="18">
    <w:name w:val="List"/>
    <w:basedOn w:val="1"/>
    <w:qFormat/>
    <w:locked/>
    <w:uiPriority w:val="0"/>
    <w:pPr>
      <w:ind w:left="200" w:hanging="200" w:hangingChars="200"/>
      <w:contextualSpacing/>
    </w:pPr>
  </w:style>
  <w:style w:type="paragraph" w:styleId="19">
    <w:name w:val="Body Text 2"/>
    <w:basedOn w:val="1"/>
    <w:link w:val="47"/>
    <w:qFormat/>
    <w:locked/>
    <w:uiPriority w:val="0"/>
    <w:pPr>
      <w:spacing w:after="120" w:line="480" w:lineRule="auto"/>
    </w:pPr>
  </w:style>
  <w:style w:type="paragraph" w:styleId="20">
    <w:name w:val="HTML Preformatted"/>
    <w:basedOn w:val="1"/>
    <w:link w:val="48"/>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21">
    <w:name w:val="Normal (Web)"/>
    <w:basedOn w:val="1"/>
    <w:link w:val="49"/>
    <w:qFormat/>
    <w:uiPriority w:val="99"/>
    <w:pPr>
      <w:widowControl/>
      <w:spacing w:before="100" w:beforeAutospacing="1" w:after="100" w:afterAutospacing="1"/>
      <w:jc w:val="left"/>
    </w:pPr>
    <w:rPr>
      <w:rFonts w:ascii="宋体" w:hAnsi="宋体"/>
      <w:kern w:val="0"/>
      <w:sz w:val="24"/>
      <w:szCs w:val="20"/>
    </w:rPr>
  </w:style>
  <w:style w:type="paragraph" w:styleId="22">
    <w:name w:val="annotation subject"/>
    <w:basedOn w:val="7"/>
    <w:next w:val="7"/>
    <w:link w:val="50"/>
    <w:semiHidden/>
    <w:qFormat/>
    <w:uiPriority w:val="0"/>
    <w:rPr>
      <w:b/>
      <w:kern w:val="2"/>
    </w:rPr>
  </w:style>
  <w:style w:type="paragraph" w:styleId="23">
    <w:name w:val="Body Text First Indent"/>
    <w:basedOn w:val="8"/>
    <w:qFormat/>
    <w:locked/>
    <w:uiPriority w:val="0"/>
    <w:pPr>
      <w:adjustRightInd w:val="0"/>
      <w:spacing w:after="0" w:line="336" w:lineRule="auto"/>
      <w:ind w:firstLine="200" w:firstLineChars="200"/>
    </w:pPr>
    <w:rPr>
      <w:rFonts w:ascii="宋体" w:hAnsi="宋体"/>
      <w:snapToGrid w:val="0"/>
      <w:color w:val="000000"/>
      <w:sz w:val="24"/>
    </w:rPr>
  </w:style>
  <w:style w:type="paragraph" w:styleId="24">
    <w:name w:val="Body Text First Indent 2"/>
    <w:basedOn w:val="9"/>
    <w:next w:val="1"/>
    <w:link w:val="51"/>
    <w:qFormat/>
    <w:locked/>
    <w:uiPriority w:val="99"/>
    <w:pPr>
      <w:ind w:firstLine="420" w:firstLineChars="200"/>
    </w:pPr>
    <w:rPr>
      <w:kern w:val="2"/>
      <w:sz w:val="21"/>
      <w:szCs w:val="24"/>
    </w:rPr>
  </w:style>
  <w:style w:type="table" w:styleId="26">
    <w:name w:val="Table Grid"/>
    <w:basedOn w:val="2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7">
    <w:name w:val="Table Theme"/>
    <w:basedOn w:val="25"/>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qFormat/>
    <w:locked/>
    <w:uiPriority w:val="22"/>
    <w:rPr>
      <w:b/>
      <w:bCs/>
    </w:rPr>
  </w:style>
  <w:style w:type="character" w:styleId="30">
    <w:name w:val="page number"/>
    <w:qFormat/>
    <w:locked/>
    <w:uiPriority w:val="0"/>
  </w:style>
  <w:style w:type="character" w:styleId="31">
    <w:name w:val="FollowedHyperlink"/>
    <w:basedOn w:val="28"/>
    <w:semiHidden/>
    <w:unhideWhenUsed/>
    <w:qFormat/>
    <w:locked/>
    <w:uiPriority w:val="0"/>
    <w:rPr>
      <w:color w:val="954F72" w:themeColor="followedHyperlink"/>
      <w:u w:val="single"/>
      <w14:textFill>
        <w14:solidFill>
          <w14:schemeClr w14:val="folHlink"/>
        </w14:solidFill>
      </w14:textFill>
    </w:rPr>
  </w:style>
  <w:style w:type="character" w:styleId="32">
    <w:name w:val="Emphasis"/>
    <w:qFormat/>
    <w:locked/>
    <w:uiPriority w:val="0"/>
    <w:rPr>
      <w:i/>
    </w:rPr>
  </w:style>
  <w:style w:type="character" w:styleId="33">
    <w:name w:val="HTML Typewriter"/>
    <w:qFormat/>
    <w:locked/>
    <w:uiPriority w:val="0"/>
    <w:rPr>
      <w:rFonts w:hint="default" w:ascii="Consolas" w:hAnsi="Consolas" w:eastAsia="Consolas" w:cs="Consolas"/>
      <w:sz w:val="22"/>
      <w:szCs w:val="22"/>
    </w:rPr>
  </w:style>
  <w:style w:type="character" w:styleId="34">
    <w:name w:val="Hyperlink"/>
    <w:unhideWhenUsed/>
    <w:qFormat/>
    <w:locked/>
    <w:uiPriority w:val="99"/>
    <w:rPr>
      <w:color w:val="0000FF"/>
      <w:u w:val="single"/>
    </w:rPr>
  </w:style>
  <w:style w:type="character" w:styleId="35">
    <w:name w:val="annotation reference"/>
    <w:qFormat/>
    <w:uiPriority w:val="0"/>
    <w:rPr>
      <w:sz w:val="21"/>
    </w:rPr>
  </w:style>
  <w:style w:type="character" w:customStyle="1" w:styleId="36">
    <w:name w:val="标题 2 Char"/>
    <w:link w:val="3"/>
    <w:qFormat/>
    <w:uiPriority w:val="0"/>
    <w:rPr>
      <w:rFonts w:ascii="等线 Light" w:hAnsi="等线 Light" w:eastAsia="等线 Light"/>
      <w:b/>
      <w:bCs/>
      <w:kern w:val="2"/>
      <w:sz w:val="32"/>
      <w:szCs w:val="32"/>
    </w:rPr>
  </w:style>
  <w:style w:type="character" w:customStyle="1" w:styleId="37">
    <w:name w:val="标题 3 Char"/>
    <w:link w:val="4"/>
    <w:semiHidden/>
    <w:qFormat/>
    <w:uiPriority w:val="0"/>
    <w:rPr>
      <w:b/>
      <w:bCs/>
      <w:kern w:val="2"/>
      <w:sz w:val="32"/>
      <w:szCs w:val="32"/>
    </w:rPr>
  </w:style>
  <w:style w:type="character" w:customStyle="1" w:styleId="38">
    <w:name w:val="正文缩进 Char"/>
    <w:link w:val="5"/>
    <w:qFormat/>
    <w:uiPriority w:val="0"/>
    <w:rPr>
      <w:rFonts w:ascii="宋体" w:hAnsi="Courier New"/>
      <w:sz w:val="21"/>
    </w:rPr>
  </w:style>
  <w:style w:type="character" w:customStyle="1" w:styleId="39">
    <w:name w:val="批注文字 Char"/>
    <w:link w:val="7"/>
    <w:qFormat/>
    <w:locked/>
    <w:uiPriority w:val="0"/>
    <w:rPr>
      <w:rFonts w:ascii="Times New Roman" w:hAnsi="Times New Roman" w:eastAsia="宋体"/>
      <w:sz w:val="24"/>
    </w:rPr>
  </w:style>
  <w:style w:type="character" w:customStyle="1" w:styleId="40">
    <w:name w:val="正文文本 Char"/>
    <w:link w:val="8"/>
    <w:qFormat/>
    <w:locked/>
    <w:uiPriority w:val="0"/>
    <w:rPr>
      <w:sz w:val="18"/>
    </w:rPr>
  </w:style>
  <w:style w:type="character" w:customStyle="1" w:styleId="41">
    <w:name w:val="正文文本缩进 Char"/>
    <w:link w:val="9"/>
    <w:qFormat/>
    <w:locked/>
    <w:uiPriority w:val="0"/>
    <w:rPr>
      <w:rFonts w:ascii="Times New Roman" w:hAnsi="Times New Roman" w:eastAsia="宋体"/>
      <w:sz w:val="24"/>
    </w:rPr>
  </w:style>
  <w:style w:type="character" w:customStyle="1" w:styleId="42">
    <w:name w:val="纯文本 Char"/>
    <w:link w:val="11"/>
    <w:qFormat/>
    <w:uiPriority w:val="0"/>
    <w:rPr>
      <w:rFonts w:ascii="宋体" w:hAnsi="Courier New" w:cs="Courier New"/>
      <w:kern w:val="2"/>
      <w:sz w:val="21"/>
      <w:szCs w:val="21"/>
    </w:rPr>
  </w:style>
  <w:style w:type="character" w:customStyle="1" w:styleId="43">
    <w:name w:val="日期 Char"/>
    <w:link w:val="12"/>
    <w:qFormat/>
    <w:locked/>
    <w:uiPriority w:val="0"/>
    <w:rPr>
      <w:rFonts w:ascii="Times New Roman" w:hAnsi="Times New Roman" w:eastAsia="宋体"/>
      <w:sz w:val="24"/>
    </w:rPr>
  </w:style>
  <w:style w:type="character" w:customStyle="1" w:styleId="44">
    <w:name w:val="批注框文本 Char"/>
    <w:link w:val="13"/>
    <w:semiHidden/>
    <w:qFormat/>
    <w:locked/>
    <w:uiPriority w:val="0"/>
    <w:rPr>
      <w:rFonts w:ascii="Times New Roman" w:hAnsi="Times New Roman" w:eastAsia="宋体"/>
      <w:sz w:val="18"/>
    </w:rPr>
  </w:style>
  <w:style w:type="character" w:customStyle="1" w:styleId="45">
    <w:name w:val="页脚 Char"/>
    <w:link w:val="14"/>
    <w:qFormat/>
    <w:locked/>
    <w:uiPriority w:val="99"/>
    <w:rPr>
      <w:sz w:val="18"/>
    </w:rPr>
  </w:style>
  <w:style w:type="character" w:customStyle="1" w:styleId="46">
    <w:name w:val="页眉 Char"/>
    <w:link w:val="15"/>
    <w:qFormat/>
    <w:locked/>
    <w:uiPriority w:val="99"/>
    <w:rPr>
      <w:sz w:val="18"/>
    </w:rPr>
  </w:style>
  <w:style w:type="character" w:customStyle="1" w:styleId="47">
    <w:name w:val="正文文本 2 Char"/>
    <w:link w:val="19"/>
    <w:qFormat/>
    <w:uiPriority w:val="0"/>
    <w:rPr>
      <w:kern w:val="2"/>
      <w:sz w:val="21"/>
      <w:szCs w:val="24"/>
    </w:rPr>
  </w:style>
  <w:style w:type="character" w:customStyle="1" w:styleId="48">
    <w:name w:val="HTML 预设格式 Char"/>
    <w:link w:val="20"/>
    <w:qFormat/>
    <w:uiPriority w:val="0"/>
    <w:rPr>
      <w:rFonts w:ascii="宋体" w:hAnsi="宋体"/>
      <w:sz w:val="24"/>
      <w:szCs w:val="24"/>
    </w:rPr>
  </w:style>
  <w:style w:type="character" w:customStyle="1" w:styleId="49">
    <w:name w:val="普通(网站) Char"/>
    <w:link w:val="21"/>
    <w:qFormat/>
    <w:locked/>
    <w:uiPriority w:val="99"/>
    <w:rPr>
      <w:rFonts w:ascii="宋体" w:hAnsi="宋体" w:eastAsia="宋体"/>
      <w:sz w:val="24"/>
    </w:rPr>
  </w:style>
  <w:style w:type="character" w:customStyle="1" w:styleId="50">
    <w:name w:val="批注主题 Char"/>
    <w:link w:val="22"/>
    <w:semiHidden/>
    <w:qFormat/>
    <w:locked/>
    <w:uiPriority w:val="0"/>
    <w:rPr>
      <w:rFonts w:ascii="Times New Roman" w:hAnsi="Times New Roman" w:eastAsia="宋体"/>
      <w:b/>
      <w:kern w:val="2"/>
      <w:sz w:val="24"/>
    </w:rPr>
  </w:style>
  <w:style w:type="character" w:customStyle="1" w:styleId="51">
    <w:name w:val="正文首行缩进 2 Char1"/>
    <w:link w:val="24"/>
    <w:qFormat/>
    <w:uiPriority w:val="99"/>
    <w:rPr>
      <w:rFonts w:ascii="Times New Roman" w:hAnsi="Times New Roman" w:eastAsia="宋体"/>
      <w:kern w:val="2"/>
      <w:sz w:val="21"/>
      <w:szCs w:val="24"/>
    </w:rPr>
  </w:style>
  <w:style w:type="paragraph" w:customStyle="1" w:styleId="52">
    <w:name w:val="报告表正文"/>
    <w:basedOn w:val="1"/>
    <w:qFormat/>
    <w:uiPriority w:val="0"/>
    <w:pPr>
      <w:adjustRightInd w:val="0"/>
      <w:spacing w:line="312" w:lineRule="auto"/>
      <w:ind w:left="113" w:right="113" w:firstLine="482"/>
      <w:jc w:val="left"/>
      <w:textAlignment w:val="baseline"/>
    </w:pPr>
    <w:rPr>
      <w:rFonts w:ascii="Calibri" w:hAnsi="Calibri"/>
      <w:kern w:val="0"/>
      <w:sz w:val="24"/>
    </w:rPr>
  </w:style>
  <w:style w:type="character" w:customStyle="1" w:styleId="53">
    <w:name w:val="页脚 字符"/>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p0"/>
    <w:basedOn w:val="1"/>
    <w:qFormat/>
    <w:uiPriority w:val="0"/>
    <w:pPr>
      <w:widowControl/>
    </w:pPr>
    <w:rPr>
      <w:kern w:val="0"/>
      <w:szCs w:val="21"/>
    </w:rPr>
  </w:style>
  <w:style w:type="character" w:customStyle="1" w:styleId="62">
    <w:name w:val="表格内容 Char"/>
    <w:link w:val="63"/>
    <w:qFormat/>
    <w:uiPriority w:val="0"/>
    <w:rPr>
      <w:kern w:val="2"/>
      <w:sz w:val="21"/>
      <w:szCs w:val="21"/>
    </w:rPr>
  </w:style>
  <w:style w:type="paragraph" w:customStyle="1" w:styleId="63">
    <w:name w:val="表格内容"/>
    <w:basedOn w:val="1"/>
    <w:link w:val="62"/>
    <w:qFormat/>
    <w:uiPriority w:val="0"/>
    <w:pPr>
      <w:adjustRightInd w:val="0"/>
      <w:snapToGrid w:val="0"/>
      <w:jc w:val="center"/>
    </w:pPr>
    <w:rPr>
      <w:szCs w:val="21"/>
    </w:rPr>
  </w:style>
  <w:style w:type="paragraph" w:customStyle="1" w:styleId="64">
    <w:name w:val="Default"/>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65">
    <w:name w:val="Table Paragraph"/>
    <w:basedOn w:val="1"/>
    <w:qFormat/>
    <w:uiPriority w:val="0"/>
    <w:pPr>
      <w:jc w:val="left"/>
    </w:pPr>
    <w:rPr>
      <w:rFonts w:ascii="Calibri" w:hAnsi="Calibri"/>
      <w:kern w:val="0"/>
      <w:sz w:val="22"/>
      <w:szCs w:val="22"/>
      <w:lang w:eastAsia="en-US"/>
    </w:rPr>
  </w:style>
  <w:style w:type="character" w:customStyle="1" w:styleId="66">
    <w:name w:val="font61"/>
    <w:qFormat/>
    <w:uiPriority w:val="0"/>
    <w:rPr>
      <w:rFonts w:hint="default" w:ascii="Calibri" w:hAnsi="Calibri" w:cs="Calibri"/>
      <w:color w:val="000000"/>
      <w:sz w:val="21"/>
      <w:szCs w:val="21"/>
      <w:u w:val="none"/>
      <w:vertAlign w:val="superscript"/>
    </w:rPr>
  </w:style>
  <w:style w:type="character" w:customStyle="1" w:styleId="67">
    <w:name w:val="font51"/>
    <w:qFormat/>
    <w:uiPriority w:val="0"/>
    <w:rPr>
      <w:rFonts w:hint="default" w:ascii="Calibri" w:hAnsi="Calibri" w:cs="Calibri"/>
      <w:color w:val="000000"/>
      <w:sz w:val="21"/>
      <w:szCs w:val="21"/>
      <w:u w:val="none"/>
      <w:vertAlign w:val="superscript"/>
    </w:rPr>
  </w:style>
  <w:style w:type="character" w:customStyle="1" w:styleId="68">
    <w:name w:val="font21"/>
    <w:qFormat/>
    <w:uiPriority w:val="0"/>
    <w:rPr>
      <w:rFonts w:hint="eastAsia" w:ascii="宋体" w:hAnsi="宋体" w:eastAsia="宋体" w:cs="宋体"/>
      <w:color w:val="000000"/>
      <w:sz w:val="21"/>
      <w:szCs w:val="21"/>
      <w:u w:val="none"/>
    </w:rPr>
  </w:style>
  <w:style w:type="character" w:customStyle="1" w:styleId="69">
    <w:name w:val="正文文本 2 字符"/>
    <w:qFormat/>
    <w:uiPriority w:val="0"/>
    <w:rPr>
      <w:kern w:val="2"/>
      <w:sz w:val="21"/>
      <w:szCs w:val="24"/>
    </w:rPr>
  </w:style>
  <w:style w:type="paragraph" w:customStyle="1" w:styleId="70">
    <w:name w:val="样式 样式 正文 首行缩进:  2 字符 + (中文) 楷体_GB2312 + 首行缩进:  2 字符"/>
    <w:basedOn w:val="1"/>
    <w:qFormat/>
    <w:uiPriority w:val="0"/>
    <w:pPr>
      <w:adjustRightInd w:val="0"/>
      <w:snapToGrid w:val="0"/>
      <w:spacing w:line="500" w:lineRule="exact"/>
      <w:ind w:firstLine="480" w:firstLineChars="200"/>
    </w:pPr>
    <w:rPr>
      <w:rFonts w:ascii="宋体" w:hAnsi="宋体" w:cs="宋体"/>
      <w:kern w:val="36"/>
      <w:sz w:val="24"/>
      <w:szCs w:val="20"/>
    </w:rPr>
  </w:style>
  <w:style w:type="paragraph" w:customStyle="1" w:styleId="71">
    <w:name w:val="表内样式"/>
    <w:basedOn w:val="1"/>
    <w:next w:val="1"/>
    <w:qFormat/>
    <w:uiPriority w:val="0"/>
    <w:pPr>
      <w:jc w:val="center"/>
    </w:pPr>
    <w:rPr>
      <w:kern w:val="0"/>
    </w:rPr>
  </w:style>
  <w:style w:type="paragraph" w:styleId="72">
    <w:name w:val="List Paragraph"/>
    <w:basedOn w:val="1"/>
    <w:qFormat/>
    <w:uiPriority w:val="0"/>
    <w:pPr>
      <w:widowControl/>
      <w:ind w:firstLine="420" w:firstLineChars="200"/>
      <w:jc w:val="left"/>
    </w:pPr>
    <w:rPr>
      <w:rFonts w:ascii="宋体" w:hAnsi="宋体" w:cs="宋体"/>
      <w:kern w:val="0"/>
      <w:sz w:val="24"/>
    </w:rPr>
  </w:style>
  <w:style w:type="paragraph" w:customStyle="1" w:styleId="73">
    <w:name w:val="表文字"/>
    <w:basedOn w:val="1"/>
    <w:qFormat/>
    <w:uiPriority w:val="0"/>
    <w:pPr>
      <w:spacing w:line="240" w:lineRule="atLeast"/>
      <w:jc w:val="center"/>
    </w:pPr>
    <w:rPr>
      <w:rFonts w:ascii="宋体" w:hAnsi="宋体"/>
      <w:szCs w:val="28"/>
    </w:rPr>
  </w:style>
  <w:style w:type="paragraph" w:customStyle="1" w:styleId="74">
    <w:name w:val="样式 样式 样式 样式 小四 左 首行缩进:  2 字符 + 首行缩进:  2 字符 Char + 右  0 字符1 + 首行缩...3"/>
    <w:basedOn w:val="1"/>
    <w:qFormat/>
    <w:uiPriority w:val="0"/>
    <w:pPr>
      <w:adjustRightInd w:val="0"/>
      <w:spacing w:line="360" w:lineRule="auto"/>
      <w:ind w:firstLine="480" w:firstLineChars="200"/>
      <w:jc w:val="left"/>
      <w:textAlignment w:val="baseline"/>
    </w:pPr>
    <w:rPr>
      <w:rFonts w:cs="宋体"/>
      <w:sz w:val="24"/>
      <w:szCs w:val="20"/>
    </w:rPr>
  </w:style>
  <w:style w:type="paragraph" w:customStyle="1" w:styleId="75">
    <w:name w:val="Char"/>
    <w:basedOn w:val="1"/>
    <w:qFormat/>
    <w:uiPriority w:val="0"/>
    <w:rPr>
      <w:rFonts w:ascii="宋体" w:hAnsi="宋体" w:eastAsia="等线" w:cs="宋体"/>
      <w:sz w:val="24"/>
    </w:rPr>
  </w:style>
  <w:style w:type="character" w:customStyle="1" w:styleId="76">
    <w:name w:val="普通(网站) 字符"/>
    <w:qFormat/>
    <w:locked/>
    <w:uiPriority w:val="0"/>
    <w:rPr>
      <w:rFonts w:ascii="宋体" w:hAnsi="宋体" w:eastAsia="宋体"/>
      <w:sz w:val="24"/>
    </w:rPr>
  </w:style>
  <w:style w:type="paragraph" w:customStyle="1" w:styleId="77">
    <w:name w:val="Char 标题"/>
    <w:basedOn w:val="1"/>
    <w:qFormat/>
    <w:uiPriority w:val="0"/>
    <w:pPr>
      <w:keepNext/>
      <w:widowControl/>
      <w:spacing w:before="194" w:after="194"/>
      <w:jc w:val="center"/>
      <w:outlineLvl w:val="0"/>
    </w:pPr>
    <w:rPr>
      <w:rFonts w:ascii="宋体" w:hAnsi="宋体" w:cs="宋体"/>
      <w:b/>
      <w:bCs/>
      <w:sz w:val="44"/>
      <w:szCs w:val="20"/>
    </w:rPr>
  </w:style>
  <w:style w:type="paragraph" w:customStyle="1" w:styleId="78">
    <w:name w:val="表头"/>
    <w:basedOn w:val="1"/>
    <w:qFormat/>
    <w:uiPriority w:val="0"/>
    <w:pPr>
      <w:adjustRightInd w:val="0"/>
      <w:snapToGrid w:val="0"/>
      <w:spacing w:line="500" w:lineRule="exact"/>
      <w:jc w:val="center"/>
    </w:pPr>
    <w:rPr>
      <w:rFonts w:cs="宋体"/>
      <w:b/>
      <w:bCs/>
      <w:szCs w:val="21"/>
    </w:rPr>
  </w:style>
  <w:style w:type="paragraph" w:customStyle="1" w:styleId="79">
    <w:name w:val="居中正文"/>
    <w:basedOn w:val="23"/>
    <w:qFormat/>
    <w:uiPriority w:val="0"/>
    <w:pPr>
      <w:widowControl w:val="0"/>
      <w:snapToGrid/>
      <w:spacing w:before="120" w:line="360" w:lineRule="auto"/>
      <w:ind w:firstLine="0" w:firstLineChars="0"/>
      <w:jc w:val="center"/>
      <w:textAlignment w:val="baseline"/>
    </w:pPr>
    <w:rPr>
      <w:rFonts w:hAnsi="Times New Roman"/>
      <w:snapToGrid/>
      <w:color w:val="auto"/>
      <w:kern w:val="28"/>
    </w:rPr>
  </w:style>
  <w:style w:type="paragraph" w:customStyle="1" w:styleId="80">
    <w:name w:val="样式 样式 正文 行距: 固定值 25 磅 + 首行缩进:  2 字符"/>
    <w:basedOn w:val="1"/>
    <w:qFormat/>
    <w:uiPriority w:val="0"/>
    <w:pPr>
      <w:adjustRightInd w:val="0"/>
      <w:snapToGrid w:val="0"/>
      <w:spacing w:line="500" w:lineRule="exact"/>
      <w:ind w:firstLine="200" w:firstLineChars="200"/>
    </w:pPr>
    <w:rPr>
      <w:rFonts w:cs="宋体"/>
      <w:sz w:val="24"/>
      <w:szCs w:val="20"/>
    </w:rPr>
  </w:style>
  <w:style w:type="paragraph" w:customStyle="1" w:styleId="81">
    <w:name w:val="样式 正文 行距: 固定值 25 磅"/>
    <w:basedOn w:val="1"/>
    <w:qFormat/>
    <w:uiPriority w:val="0"/>
    <w:pPr>
      <w:adjustRightInd w:val="0"/>
      <w:spacing w:line="500" w:lineRule="exact"/>
      <w:ind w:firstLine="200" w:firstLineChars="200"/>
    </w:pPr>
    <w:rPr>
      <w:rFonts w:cs="宋体"/>
      <w:sz w:val="24"/>
    </w:rPr>
  </w:style>
  <w:style w:type="paragraph" w:customStyle="1" w:styleId="82">
    <w:name w:val="默认段落字体 Para Char Char Char Char"/>
    <w:basedOn w:val="1"/>
    <w:qFormat/>
    <w:uiPriority w:val="0"/>
  </w:style>
  <w:style w:type="paragraph" w:customStyle="1" w:styleId="83">
    <w:name w:val="表格填充1"/>
    <w:basedOn w:val="11"/>
    <w:link w:val="104"/>
    <w:qFormat/>
    <w:uiPriority w:val="0"/>
    <w:pPr>
      <w:snapToGrid w:val="0"/>
    </w:pPr>
    <w:rPr>
      <w:rFonts w:hAnsi="Times New Roman" w:eastAsia="仿宋_GB2312"/>
      <w:snapToGrid w:val="0"/>
      <w:sz w:val="28"/>
      <w:szCs w:val="20"/>
    </w:rPr>
  </w:style>
  <w:style w:type="paragraph" w:customStyle="1" w:styleId="84">
    <w:name w:val="表"/>
    <w:basedOn w:val="18"/>
    <w:qFormat/>
    <w:uiPriority w:val="0"/>
    <w:pPr>
      <w:keepNext/>
      <w:keepLines/>
      <w:spacing w:before="60" w:after="60" w:line="240" w:lineRule="exact"/>
      <w:ind w:left="0" w:firstLine="0" w:firstLineChars="0"/>
      <w:jc w:val="center"/>
    </w:pPr>
    <w:rPr>
      <w:szCs w:val="21"/>
    </w:rPr>
  </w:style>
  <w:style w:type="paragraph" w:customStyle="1" w:styleId="85">
    <w:name w:val="正文王"/>
    <w:basedOn w:val="1"/>
    <w:semiHidden/>
    <w:qFormat/>
    <w:uiPriority w:val="0"/>
    <w:pPr>
      <w:spacing w:line="360" w:lineRule="auto"/>
      <w:ind w:firstLine="720" w:firstLineChars="200"/>
    </w:pPr>
    <w:rPr>
      <w:sz w:val="24"/>
    </w:rPr>
  </w:style>
  <w:style w:type="paragraph" w:customStyle="1" w:styleId="86">
    <w:name w:val="Default1"/>
    <w:basedOn w:val="1"/>
    <w:qFormat/>
    <w:uiPriority w:val="0"/>
    <w:pPr>
      <w:autoSpaceDE w:val="0"/>
      <w:autoSpaceDN w:val="0"/>
      <w:adjustRightInd w:val="0"/>
      <w:jc w:val="left"/>
    </w:pPr>
    <w:rPr>
      <w:rFonts w:ascii="宋体" w:cs="宋体"/>
      <w:color w:val="000000"/>
      <w:kern w:val="0"/>
      <w:sz w:val="24"/>
    </w:rPr>
  </w:style>
  <w:style w:type="paragraph" w:customStyle="1" w:styleId="87">
    <w:name w:val="xl35"/>
    <w:basedOn w:val="1"/>
    <w:next w:val="1"/>
    <w:qFormat/>
    <w:uiPriority w:val="0"/>
    <w:pPr>
      <w:widowControl/>
      <w:pBdr>
        <w:left w:val="single" w:color="auto" w:sz="12" w:space="0"/>
      </w:pBdr>
      <w:spacing w:before="100" w:beforeAutospacing="1" w:after="100" w:afterAutospacing="1"/>
      <w:jc w:val="center"/>
    </w:pPr>
    <w:rPr>
      <w:rFonts w:hint="eastAsia" w:ascii="Arial Unicode MS" w:hAnsi="Arial Unicode MS"/>
      <w:kern w:val="0"/>
      <w:sz w:val="16"/>
      <w:szCs w:val="16"/>
    </w:rPr>
  </w:style>
  <w:style w:type="paragraph" w:customStyle="1" w:styleId="88">
    <w:name w:val="正文 首行缩进:  2 字符"/>
    <w:basedOn w:val="1"/>
    <w:qFormat/>
    <w:uiPriority w:val="0"/>
    <w:pPr>
      <w:snapToGrid w:val="0"/>
      <w:spacing w:line="500" w:lineRule="exact"/>
      <w:ind w:firstLine="480" w:firstLineChars="200"/>
      <w:jc w:val="left"/>
    </w:pPr>
    <w:rPr>
      <w:rFonts w:cs="宋体"/>
      <w:sz w:val="24"/>
      <w:szCs w:val="20"/>
    </w:rPr>
  </w:style>
  <w:style w:type="character" w:customStyle="1" w:styleId="89">
    <w:name w:val="15"/>
    <w:qFormat/>
    <w:uiPriority w:val="0"/>
    <w:rPr>
      <w:rFonts w:hint="default" w:ascii="Times New Roman" w:hAnsi="Times New Roman" w:cs="Times New Roman"/>
    </w:rPr>
  </w:style>
  <w:style w:type="character" w:customStyle="1" w:styleId="90">
    <w:name w:val="正文首行缩进 2 Char"/>
    <w:qFormat/>
    <w:uiPriority w:val="0"/>
    <w:rPr>
      <w:rFonts w:ascii="Times New Roman" w:hAnsi="Times New Roman" w:eastAsia="宋体"/>
      <w:kern w:val="2"/>
      <w:sz w:val="21"/>
      <w:szCs w:val="24"/>
    </w:rPr>
  </w:style>
  <w:style w:type="table" w:customStyle="1" w:styleId="91">
    <w:name w:val="表格主题2"/>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
    <w:name w:val="表格题注"/>
    <w:basedOn w:val="1"/>
    <w:link w:val="93"/>
    <w:qFormat/>
    <w:uiPriority w:val="0"/>
    <w:pPr>
      <w:keepNext/>
      <w:jc w:val="center"/>
    </w:pPr>
    <w:rPr>
      <w:b/>
      <w:color w:val="0000FF"/>
      <w:sz w:val="24"/>
      <w:szCs w:val="28"/>
    </w:rPr>
  </w:style>
  <w:style w:type="character" w:customStyle="1" w:styleId="93">
    <w:name w:val="表格题注 字符"/>
    <w:link w:val="92"/>
    <w:qFormat/>
    <w:uiPriority w:val="0"/>
    <w:rPr>
      <w:b/>
      <w:color w:val="0000FF"/>
      <w:kern w:val="2"/>
      <w:sz w:val="24"/>
      <w:szCs w:val="28"/>
    </w:rPr>
  </w:style>
  <w:style w:type="character" w:customStyle="1" w:styleId="94">
    <w:name w:val="批注文字 字符2"/>
    <w:qFormat/>
    <w:locked/>
    <w:uiPriority w:val="0"/>
    <w:rPr>
      <w:rFonts w:ascii="Times New Roman" w:hAnsi="Times New Roman" w:eastAsia="宋体"/>
      <w:sz w:val="24"/>
    </w:rPr>
  </w:style>
  <w:style w:type="character" w:customStyle="1" w:styleId="95">
    <w:name w:val="批注框文本 字符1"/>
    <w:semiHidden/>
    <w:qFormat/>
    <w:locked/>
    <w:uiPriority w:val="0"/>
    <w:rPr>
      <w:rFonts w:ascii="Times New Roman" w:hAnsi="Times New Roman" w:eastAsia="宋体"/>
      <w:sz w:val="18"/>
    </w:rPr>
  </w:style>
  <w:style w:type="character" w:customStyle="1" w:styleId="96">
    <w:name w:val="正文首行缩进 2 字符1"/>
    <w:qFormat/>
    <w:uiPriority w:val="0"/>
    <w:rPr>
      <w:rFonts w:ascii="Times New Roman" w:hAnsi="Times New Roman" w:eastAsia="宋体"/>
      <w:kern w:val="2"/>
      <w:sz w:val="21"/>
      <w:szCs w:val="24"/>
    </w:rPr>
  </w:style>
  <w:style w:type="paragraph" w:customStyle="1" w:styleId="97">
    <w:name w:val="样式"/>
    <w:qFormat/>
    <w:uiPriority w:val="0"/>
    <w:pPr>
      <w:widowControl w:val="0"/>
      <w:autoSpaceDE w:val="0"/>
      <w:autoSpaceDN w:val="0"/>
      <w:adjustRightInd w:val="0"/>
    </w:pPr>
    <w:rPr>
      <w:rFonts w:ascii="宋体" w:hAnsi="宋体" w:eastAsia="宋体" w:cs="宋体"/>
      <w:bCs/>
      <w:kern w:val="2"/>
      <w:sz w:val="24"/>
      <w:szCs w:val="24"/>
      <w:lang w:val="en-US" w:eastAsia="zh-CN" w:bidi="ar-SA"/>
    </w:rPr>
  </w:style>
  <w:style w:type="paragraph" w:customStyle="1" w:styleId="98">
    <w:name w:val="文字描述"/>
    <w:basedOn w:val="1"/>
    <w:link w:val="99"/>
    <w:qFormat/>
    <w:uiPriority w:val="0"/>
    <w:pPr>
      <w:adjustRightInd w:val="0"/>
      <w:snapToGrid w:val="0"/>
      <w:spacing w:line="360" w:lineRule="auto"/>
      <w:ind w:firstLine="200" w:firstLineChars="200"/>
    </w:pPr>
    <w:rPr>
      <w:spacing w:val="-2"/>
      <w:sz w:val="24"/>
      <w:lang w:val="zh-CN"/>
    </w:rPr>
  </w:style>
  <w:style w:type="character" w:customStyle="1" w:styleId="99">
    <w:name w:val="文字描述 Char"/>
    <w:link w:val="98"/>
    <w:qFormat/>
    <w:uiPriority w:val="0"/>
    <w:rPr>
      <w:spacing w:val="-2"/>
      <w:kern w:val="2"/>
      <w:sz w:val="24"/>
      <w:szCs w:val="24"/>
      <w:lang w:val="zh-CN"/>
    </w:rPr>
  </w:style>
  <w:style w:type="character" w:customStyle="1" w:styleId="100">
    <w:name w:val="1、大表格内 Char Char"/>
    <w:link w:val="101"/>
    <w:qFormat/>
    <w:uiPriority w:val="0"/>
    <w:rPr>
      <w:kern w:val="2"/>
      <w:sz w:val="24"/>
      <w:szCs w:val="22"/>
    </w:rPr>
  </w:style>
  <w:style w:type="paragraph" w:customStyle="1" w:styleId="101">
    <w:name w:val="1、大表格内"/>
    <w:basedOn w:val="1"/>
    <w:link w:val="100"/>
    <w:qFormat/>
    <w:uiPriority w:val="0"/>
    <w:pPr>
      <w:keepNext/>
      <w:keepLines/>
      <w:autoSpaceDE w:val="0"/>
      <w:autoSpaceDN w:val="0"/>
      <w:adjustRightInd w:val="0"/>
      <w:spacing w:line="360" w:lineRule="auto"/>
      <w:ind w:firstLine="480" w:firstLineChars="200"/>
      <w:textAlignment w:val="bottom"/>
    </w:pPr>
    <w:rPr>
      <w:sz w:val="24"/>
      <w:szCs w:val="22"/>
    </w:rPr>
  </w:style>
  <w:style w:type="character" w:customStyle="1" w:styleId="102">
    <w:name w:val="表格格式6月24日 Char"/>
    <w:link w:val="103"/>
    <w:qFormat/>
    <w:uiPriority w:val="0"/>
    <w:rPr>
      <w:bCs/>
      <w:sz w:val="21"/>
      <w:szCs w:val="21"/>
    </w:rPr>
  </w:style>
  <w:style w:type="paragraph" w:customStyle="1" w:styleId="103">
    <w:name w:val="表格格式6月24日"/>
    <w:basedOn w:val="1"/>
    <w:link w:val="102"/>
    <w:qFormat/>
    <w:uiPriority w:val="0"/>
    <w:pPr>
      <w:adjustRightInd w:val="0"/>
      <w:snapToGrid w:val="0"/>
      <w:jc w:val="center"/>
    </w:pPr>
    <w:rPr>
      <w:bCs/>
      <w:kern w:val="0"/>
      <w:szCs w:val="21"/>
    </w:rPr>
  </w:style>
  <w:style w:type="character" w:customStyle="1" w:styleId="104">
    <w:name w:val="表格填充1 Char"/>
    <w:link w:val="83"/>
    <w:qFormat/>
    <w:locked/>
    <w:uiPriority w:val="0"/>
    <w:rPr>
      <w:rFonts w:ascii="宋体" w:eastAsia="仿宋_GB2312"/>
      <w:snapToGrid w:val="0"/>
      <w:kern w:val="2"/>
      <w:sz w:val="28"/>
    </w:rPr>
  </w:style>
  <w:style w:type="character" w:customStyle="1" w:styleId="105">
    <w:name w:val="正文文本缩进 Char1"/>
    <w:basedOn w:val="28"/>
    <w:qFormat/>
    <w:uiPriority w:val="0"/>
    <w:rPr>
      <w:rFonts w:ascii="Times New Roman" w:hAnsi="Times New Roman" w:eastAsia="宋体" w:cs="Times New Roman"/>
      <w:kern w:val="0"/>
      <w:sz w:val="24"/>
      <w:szCs w:val="20"/>
    </w:rPr>
  </w:style>
  <w:style w:type="character" w:customStyle="1" w:styleId="106">
    <w:name w:val="纯文本 Char2"/>
    <w:qFormat/>
    <w:uiPriority w:val="0"/>
    <w:rPr>
      <w:rFonts w:ascii="宋体" w:hAnsi="Courier New" w:cs="Courier New"/>
      <w:kern w:val="2"/>
      <w:sz w:val="21"/>
      <w:szCs w:val="21"/>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header" Target="header1.xml"/><Relationship Id="rId72" Type="http://schemas.openxmlformats.org/officeDocument/2006/relationships/fontTable" Target="fontTable.xml"/><Relationship Id="rId71" Type="http://schemas.openxmlformats.org/officeDocument/2006/relationships/customXml" Target="../customXml/item2.xml"/><Relationship Id="rId70" Type="http://schemas.openxmlformats.org/officeDocument/2006/relationships/numbering" Target="numbering.xml"/><Relationship Id="rId7" Type="http://schemas.openxmlformats.org/officeDocument/2006/relationships/footer" Target="footer5.xml"/><Relationship Id="rId69" Type="http://schemas.openxmlformats.org/officeDocument/2006/relationships/customXml" Target="../customXml/item1.xml"/><Relationship Id="rId68" Type="http://schemas.openxmlformats.org/officeDocument/2006/relationships/image" Target="media/image52.jpeg"/><Relationship Id="rId67" Type="http://schemas.openxmlformats.org/officeDocument/2006/relationships/image" Target="media/image51.png"/><Relationship Id="rId66" Type="http://schemas.openxmlformats.org/officeDocument/2006/relationships/image" Target="media/image50.jpe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4.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jpe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jpe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image" Target="media/image13.wmf"/><Relationship Id="rId28" Type="http://schemas.openxmlformats.org/officeDocument/2006/relationships/image" Target="media/image12.wmf"/><Relationship Id="rId27" Type="http://schemas.openxmlformats.org/officeDocument/2006/relationships/image" Target="media/image11.png"/><Relationship Id="rId26" Type="http://schemas.openxmlformats.org/officeDocument/2006/relationships/image" Target="media/image10.emf"/><Relationship Id="rId25" Type="http://schemas.openxmlformats.org/officeDocument/2006/relationships/oleObject" Target="embeddings/oleObject1.bin"/><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9881FC-8730-4499-BB84-7B7FDA8BDFE7}">
  <ds:schemaRefs/>
</ds:datastoreItem>
</file>

<file path=docProps/app.xml><?xml version="1.0" encoding="utf-8"?>
<Properties xmlns="http://schemas.openxmlformats.org/officeDocument/2006/extended-properties" xmlns:vt="http://schemas.openxmlformats.org/officeDocument/2006/docPropsVTypes">
  <Template>Normal</Template>
  <Company>Organization</Company>
  <Pages>114</Pages>
  <Words>309</Words>
  <Characters>409</Characters>
  <Lines>444</Lines>
  <Paragraphs>125</Paragraphs>
  <TotalTime>426</TotalTime>
  <ScaleCrop>false</ScaleCrop>
  <LinksUpToDate>false</LinksUpToDate>
  <CharactersWithSpaces>413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2024-12-18T03:00:00Z</dcterms:created>
  <dc:creator>lhj</dc:creator>
  <cp:lastModifiedBy>三秋</cp:lastModifiedBy>
  <cp:lastPrinted>2025-03-18T02:58:00Z</cp:lastPrinted>
  <dcterms:modified xsi:type="dcterms:W3CDTF">2025-04-22T02:08:06Z</dcterms:modified>
  <dc:title>附件2</dc:title>
  <cp:revision>70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664DED0A81D34DB4B53F980592F82758_13</vt:lpwstr>
  </property>
  <property fmtid="{D5CDD505-2E9C-101B-9397-08002B2CF9AE}" pid="4" name="KSOTemplateDocerSaveRecord">
    <vt:lpwstr>eyJoZGlkIjoiZmU0MTgwZDgzYWNjN2MxMjM3YjhmYzcwMmE0NWVmMWUiLCJ1c2VySWQiOiIxMTI3NTkxMTE5In0=</vt:lpwstr>
  </property>
</Properties>
</file>